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imes New Roman" w:hAnsi="Times New Roman" w:eastAsia="黑体"/>
          <w:sz w:val="48"/>
          <w:szCs w:val="48"/>
        </w:rPr>
      </w:pPr>
    </w:p>
    <w:p>
      <w:pPr>
        <w:spacing w:line="360" w:lineRule="auto"/>
        <w:jc w:val="center"/>
        <w:rPr>
          <w:rFonts w:ascii="Times New Roman" w:hAnsi="Times New Roman" w:eastAsia="黑体"/>
          <w:sz w:val="48"/>
          <w:szCs w:val="48"/>
        </w:rPr>
      </w:pPr>
    </w:p>
    <w:p>
      <w:pPr>
        <w:keepNext w:val="0"/>
        <w:keepLines w:val="0"/>
        <w:pageBreakBefore w:val="0"/>
        <w:widowControl/>
        <w:kinsoku/>
        <w:wordWrap/>
        <w:overflowPunct/>
        <w:topLinePunct w:val="0"/>
        <w:autoSpaceDE/>
        <w:autoSpaceDN/>
        <w:bidi w:val="0"/>
        <w:adjustRightInd/>
        <w:snapToGrid w:val="0"/>
        <w:spacing w:line="360" w:lineRule="auto"/>
        <w:jc w:val="center"/>
        <w:textAlignment w:val="auto"/>
        <w:rPr>
          <w:rFonts w:ascii="Times New Roman" w:hAnsi="Times New Roman" w:eastAsia="黑体"/>
          <w:sz w:val="48"/>
          <w:szCs w:val="48"/>
        </w:rPr>
      </w:pPr>
      <w:r>
        <w:rPr>
          <w:rFonts w:hint="eastAsia" w:ascii="Times New Roman" w:hAnsi="Times New Roman" w:eastAsia="黑体"/>
          <w:sz w:val="48"/>
          <w:szCs w:val="48"/>
        </w:rPr>
        <w:t>湄洲湾港斗尾港区斗尾作业区7#泊位及</w:t>
      </w:r>
    </w:p>
    <w:p>
      <w:pPr>
        <w:keepNext w:val="0"/>
        <w:keepLines w:val="0"/>
        <w:pageBreakBefore w:val="0"/>
        <w:widowControl/>
        <w:kinsoku/>
        <w:wordWrap/>
        <w:overflowPunct/>
        <w:topLinePunct w:val="0"/>
        <w:autoSpaceDE/>
        <w:autoSpaceDN/>
        <w:bidi w:val="0"/>
        <w:adjustRightInd/>
        <w:snapToGrid w:val="0"/>
        <w:spacing w:line="360" w:lineRule="auto"/>
        <w:jc w:val="center"/>
        <w:textAlignment w:val="auto"/>
        <w:rPr>
          <w:rFonts w:ascii="Times New Roman" w:hAnsi="Times New Roman" w:eastAsia="黑体"/>
          <w:sz w:val="48"/>
          <w:szCs w:val="48"/>
        </w:rPr>
      </w:pPr>
      <w:r>
        <w:rPr>
          <w:rFonts w:hint="eastAsia" w:ascii="Times New Roman" w:hAnsi="Times New Roman" w:eastAsia="黑体"/>
          <w:sz w:val="48"/>
          <w:szCs w:val="48"/>
        </w:rPr>
        <w:t>港丰石化仓储项目货种调整改扩建工程</w:t>
      </w:r>
    </w:p>
    <w:p>
      <w:pPr>
        <w:keepNext w:val="0"/>
        <w:keepLines w:val="0"/>
        <w:pageBreakBefore w:val="0"/>
        <w:widowControl/>
        <w:kinsoku/>
        <w:wordWrap/>
        <w:overflowPunct/>
        <w:topLinePunct w:val="0"/>
        <w:autoSpaceDE/>
        <w:autoSpaceDN/>
        <w:bidi w:val="0"/>
        <w:adjustRightInd/>
        <w:snapToGrid w:val="0"/>
        <w:spacing w:line="360" w:lineRule="auto"/>
        <w:jc w:val="center"/>
        <w:textAlignment w:val="auto"/>
        <w:rPr>
          <w:rFonts w:ascii="Times New Roman" w:hAnsi="Times New Roman"/>
          <w:b/>
          <w:sz w:val="48"/>
          <w:szCs w:val="48"/>
        </w:rPr>
      </w:pPr>
      <w:r>
        <w:rPr>
          <w:rFonts w:hint="eastAsia" w:ascii="Times New Roman" w:hAnsi="Times New Roman" w:eastAsia="黑体"/>
          <w:sz w:val="48"/>
          <w:szCs w:val="48"/>
        </w:rPr>
        <w:t>竣工环保验收</w:t>
      </w:r>
      <w:r>
        <w:rPr>
          <w:rFonts w:ascii="Times New Roman" w:hAnsi="Times New Roman" w:eastAsia="黑体"/>
          <w:sz w:val="48"/>
          <w:szCs w:val="48"/>
        </w:rPr>
        <w:t>监测报告</w:t>
      </w:r>
    </w:p>
    <w:p>
      <w:pPr>
        <w:snapToGrid w:val="0"/>
        <w:spacing w:line="360" w:lineRule="auto"/>
        <w:rPr>
          <w:rFonts w:ascii="Times New Roman" w:hAnsi="Times New Roman"/>
          <w:sz w:val="28"/>
        </w:rPr>
      </w:pPr>
    </w:p>
    <w:p>
      <w:pPr>
        <w:snapToGrid w:val="0"/>
        <w:spacing w:line="360" w:lineRule="auto"/>
        <w:rPr>
          <w:rFonts w:ascii="Times New Roman" w:hAnsi="Times New Roman"/>
          <w:sz w:val="28"/>
        </w:rPr>
      </w:pPr>
    </w:p>
    <w:p>
      <w:pPr>
        <w:snapToGrid w:val="0"/>
        <w:spacing w:line="360" w:lineRule="auto"/>
        <w:rPr>
          <w:rFonts w:ascii="Times New Roman" w:hAnsi="Times New Roman"/>
          <w:sz w:val="28"/>
        </w:rPr>
      </w:pPr>
    </w:p>
    <w:p>
      <w:pPr>
        <w:snapToGrid w:val="0"/>
        <w:spacing w:line="360" w:lineRule="auto"/>
        <w:rPr>
          <w:rFonts w:ascii="Times New Roman" w:hAnsi="Times New Roman"/>
          <w:sz w:val="28"/>
        </w:rPr>
      </w:pPr>
    </w:p>
    <w:p>
      <w:pPr>
        <w:rPr>
          <w:rFonts w:ascii="Times New Roman" w:hAnsi="Times New Roman"/>
          <w:sz w:val="28"/>
        </w:rPr>
      </w:pPr>
    </w:p>
    <w:p>
      <w:pPr>
        <w:rPr>
          <w:rFonts w:ascii="Times New Roman" w:hAnsi="Times New Roman"/>
          <w:sz w:val="28"/>
        </w:rPr>
      </w:pPr>
    </w:p>
    <w:p>
      <w:pPr>
        <w:rPr>
          <w:rFonts w:ascii="Times New Roman" w:hAnsi="Times New Roman"/>
          <w:sz w:val="28"/>
        </w:rPr>
      </w:pPr>
    </w:p>
    <w:p>
      <w:pPr>
        <w:rPr>
          <w:rFonts w:ascii="Times New Roman" w:hAnsi="Times New Roman"/>
          <w:sz w:val="28"/>
        </w:rPr>
      </w:pPr>
    </w:p>
    <w:p>
      <w:pPr>
        <w:rPr>
          <w:rFonts w:ascii="Times New Roman" w:hAnsi="Times New Roman"/>
          <w:sz w:val="28"/>
        </w:rPr>
      </w:pPr>
    </w:p>
    <w:p>
      <w:pPr>
        <w:snapToGrid w:val="0"/>
        <w:spacing w:line="360" w:lineRule="auto"/>
        <w:rPr>
          <w:rFonts w:ascii="Times New Roman" w:hAnsi="Times New Roman"/>
          <w:sz w:val="28"/>
        </w:rPr>
      </w:pPr>
    </w:p>
    <w:p>
      <w:pPr>
        <w:snapToGrid w:val="0"/>
        <w:spacing w:line="360" w:lineRule="auto"/>
        <w:rPr>
          <w:rFonts w:ascii="Times New Roman" w:hAnsi="Times New Roman"/>
          <w:sz w:val="28"/>
        </w:rPr>
      </w:pPr>
    </w:p>
    <w:p>
      <w:pPr>
        <w:snapToGrid w:val="0"/>
        <w:spacing w:line="360" w:lineRule="auto"/>
        <w:rPr>
          <w:rFonts w:ascii="Times New Roman" w:hAnsi="Times New Roman"/>
          <w:sz w:val="28"/>
        </w:rPr>
      </w:pPr>
    </w:p>
    <w:p>
      <w:pPr>
        <w:snapToGrid w:val="0"/>
        <w:spacing w:line="360" w:lineRule="auto"/>
        <w:rPr>
          <w:rFonts w:ascii="Times New Roman" w:hAnsi="Times New Roman"/>
          <w:sz w:val="28"/>
        </w:rPr>
      </w:pPr>
    </w:p>
    <w:p>
      <w:pPr>
        <w:snapToGrid w:val="0"/>
        <w:spacing w:line="360" w:lineRule="auto"/>
        <w:jc w:val="center"/>
        <w:rPr>
          <w:rFonts w:ascii="Times New Roman" w:hAnsi="Times New Roman"/>
          <w:sz w:val="28"/>
        </w:rPr>
      </w:pPr>
      <w:r>
        <w:rPr>
          <w:rFonts w:ascii="Times New Roman" w:hAnsi="Times New Roman"/>
          <w:sz w:val="28"/>
        </w:rPr>
        <w:t>建设单位：福建港丰能源有限公司</w:t>
      </w:r>
    </w:p>
    <w:p>
      <w:pPr>
        <w:snapToGrid w:val="0"/>
        <w:spacing w:line="360" w:lineRule="auto"/>
        <w:jc w:val="center"/>
        <w:rPr>
          <w:rFonts w:ascii="Times New Roman" w:hAnsi="Times New Roman"/>
          <w:sz w:val="28"/>
        </w:rPr>
      </w:pPr>
      <w:r>
        <w:rPr>
          <w:rFonts w:ascii="Times New Roman" w:hAnsi="Times New Roman"/>
          <w:sz w:val="28"/>
        </w:rPr>
        <w:t>编制单位：福建省环境科学研究院</w:t>
      </w:r>
    </w:p>
    <w:p>
      <w:pPr>
        <w:snapToGrid w:val="0"/>
        <w:spacing w:line="360" w:lineRule="auto"/>
        <w:rPr>
          <w:rFonts w:ascii="Times New Roman" w:hAnsi="Times New Roman"/>
          <w:sz w:val="28"/>
          <w:highlight w:val="yellow"/>
        </w:rPr>
      </w:pPr>
    </w:p>
    <w:p>
      <w:pPr>
        <w:snapToGrid w:val="0"/>
        <w:spacing w:line="360" w:lineRule="auto"/>
        <w:jc w:val="center"/>
        <w:rPr>
          <w:rFonts w:ascii="Times New Roman" w:hAnsi="Times New Roman"/>
          <w:sz w:val="28"/>
          <w:highlight w:val="yellow"/>
        </w:rPr>
      </w:pPr>
      <w:r>
        <w:rPr>
          <w:rFonts w:ascii="Times New Roman" w:hAnsi="Times New Roman"/>
          <w:b/>
          <w:sz w:val="30"/>
        </w:rPr>
        <w:t>202</w:t>
      </w:r>
      <w:r>
        <w:rPr>
          <w:rFonts w:hint="eastAsia" w:ascii="Times New Roman" w:hAnsi="Times New Roman"/>
          <w:b/>
          <w:sz w:val="30"/>
          <w:lang w:val="en-US" w:eastAsia="zh-CN"/>
        </w:rPr>
        <w:t>3</w:t>
      </w:r>
      <w:r>
        <w:rPr>
          <w:rFonts w:ascii="Times New Roman" w:hAnsi="Times New Roman"/>
          <w:b/>
          <w:sz w:val="30"/>
        </w:rPr>
        <w:t>年</w:t>
      </w:r>
      <w:r>
        <w:rPr>
          <w:rFonts w:hint="eastAsia" w:ascii="Times New Roman" w:hAnsi="Times New Roman"/>
          <w:b/>
          <w:sz w:val="30"/>
          <w:lang w:val="en-US" w:eastAsia="zh-CN"/>
        </w:rPr>
        <w:t>4</w:t>
      </w:r>
      <w:r>
        <w:rPr>
          <w:rFonts w:ascii="Times New Roman" w:hAnsi="Times New Roman"/>
          <w:b/>
          <w:sz w:val="30"/>
        </w:rPr>
        <w:t>月</w:t>
      </w:r>
    </w:p>
    <w:p>
      <w:pPr>
        <w:rPr>
          <w:rFonts w:ascii="Times New Roman" w:hAnsi="Times New Roman"/>
        </w:rPr>
      </w:pPr>
    </w:p>
    <w:p>
      <w:pPr>
        <w:rPr>
          <w:rFonts w:hint="default"/>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rPr>
          <w:rFonts w:ascii="Times New Roman" w:hAnsi="Times New Roman" w:eastAsia="仿宋_GB2312"/>
          <w:sz w:val="32"/>
        </w:rPr>
      </w:pPr>
      <w:r>
        <w:rPr>
          <w:rFonts w:ascii="Times New Roman" w:hAnsi="Times New Roman" w:eastAsia="仿宋_GB2312"/>
          <w:b/>
          <w:sz w:val="28"/>
        </w:rPr>
        <w:t>建设单位：</w:t>
      </w:r>
      <w:r>
        <w:rPr>
          <w:rFonts w:ascii="Times New Roman" w:hAnsi="Times New Roman" w:eastAsia="仿宋_GB2312"/>
          <w:sz w:val="28"/>
        </w:rPr>
        <w:t>福建港丰能源有限公司</w:t>
      </w:r>
    </w:p>
    <w:p>
      <w:pPr>
        <w:spacing w:line="360" w:lineRule="auto"/>
        <w:rPr>
          <w:rFonts w:ascii="Times New Roman" w:hAnsi="Times New Roman" w:eastAsia="仿宋_GB2312"/>
          <w:sz w:val="28"/>
        </w:rPr>
      </w:pPr>
      <w:r>
        <w:rPr>
          <w:rFonts w:hint="eastAsia" w:ascii="Times New Roman" w:hAnsi="Times New Roman" w:eastAsia="仿宋_GB2312"/>
          <w:b/>
          <w:sz w:val="28"/>
        </w:rPr>
        <w:t>建设</w:t>
      </w:r>
      <w:r>
        <w:rPr>
          <w:rFonts w:ascii="Times New Roman" w:hAnsi="Times New Roman" w:eastAsia="仿宋_GB2312"/>
          <w:b/>
          <w:sz w:val="28"/>
        </w:rPr>
        <w:t>单位法人代表:</w:t>
      </w:r>
      <w:r>
        <w:rPr>
          <w:rFonts w:ascii="Times New Roman" w:hAnsi="Times New Roman" w:eastAsia="仿宋_GB2312"/>
          <w:sz w:val="28"/>
        </w:rPr>
        <w:tab/>
      </w:r>
      <w:r>
        <w:rPr>
          <w:rFonts w:hint="eastAsia" w:ascii="Times New Roman" w:hAnsi="Times New Roman" w:eastAsia="仿宋_GB2312"/>
          <w:sz w:val="28"/>
          <w:lang w:eastAsia="zh-Hans"/>
        </w:rPr>
        <w:t>甘毅</w:t>
      </w:r>
    </w:p>
    <w:p>
      <w:pPr>
        <w:spacing w:line="360" w:lineRule="auto"/>
        <w:rPr>
          <w:rFonts w:ascii="Times New Roman" w:hAnsi="Times New Roman" w:eastAsia="仿宋_GB2312"/>
          <w:b/>
          <w:sz w:val="28"/>
        </w:rPr>
      </w:pPr>
    </w:p>
    <w:p>
      <w:pPr>
        <w:spacing w:line="360" w:lineRule="auto"/>
        <w:rPr>
          <w:rFonts w:ascii="Times New Roman" w:hAnsi="Times New Roman" w:eastAsia="仿宋_GB2312"/>
          <w:sz w:val="28"/>
        </w:rPr>
      </w:pPr>
      <w:r>
        <w:rPr>
          <w:rFonts w:hint="eastAsia" w:ascii="Times New Roman" w:hAnsi="Times New Roman" w:eastAsia="仿宋_GB2312"/>
          <w:b/>
          <w:sz w:val="28"/>
        </w:rPr>
        <w:t>编制</w:t>
      </w:r>
      <w:r>
        <w:rPr>
          <w:rFonts w:ascii="Times New Roman" w:hAnsi="Times New Roman" w:eastAsia="仿宋_GB2312"/>
          <w:b/>
          <w:sz w:val="28"/>
        </w:rPr>
        <w:t>单位：</w:t>
      </w:r>
      <w:r>
        <w:rPr>
          <w:rFonts w:ascii="Times New Roman" w:hAnsi="Times New Roman" w:eastAsia="仿宋_GB2312"/>
          <w:sz w:val="28"/>
        </w:rPr>
        <w:t>福建省环境科学研究院</w:t>
      </w:r>
    </w:p>
    <w:p>
      <w:pPr>
        <w:spacing w:line="360" w:lineRule="auto"/>
        <w:rPr>
          <w:rFonts w:ascii="Times New Roman" w:hAnsi="Times New Roman" w:eastAsia="仿宋_GB2312"/>
          <w:sz w:val="28"/>
        </w:rPr>
      </w:pPr>
      <w:r>
        <w:rPr>
          <w:rFonts w:hint="eastAsia" w:ascii="Times New Roman" w:hAnsi="Times New Roman" w:eastAsia="仿宋_GB2312"/>
          <w:b/>
          <w:sz w:val="28"/>
        </w:rPr>
        <w:t>编制</w:t>
      </w:r>
      <w:r>
        <w:rPr>
          <w:rFonts w:ascii="Times New Roman" w:hAnsi="Times New Roman" w:eastAsia="仿宋_GB2312"/>
          <w:b/>
          <w:sz w:val="28"/>
        </w:rPr>
        <w:t>单位法人代表：</w:t>
      </w:r>
      <w:r>
        <w:rPr>
          <w:rFonts w:hint="eastAsia" w:ascii="Times New Roman" w:hAnsi="Times New Roman" w:eastAsia="仿宋_GB2312"/>
          <w:sz w:val="28"/>
        </w:rPr>
        <w:t>张玉珍</w:t>
      </w:r>
      <w:r>
        <w:rPr>
          <w:rFonts w:ascii="Times New Roman" w:hAnsi="Times New Roman" w:eastAsia="仿宋_GB2312"/>
          <w:sz w:val="28"/>
        </w:rPr>
        <w:t>（教授级高工）</w:t>
      </w:r>
    </w:p>
    <w:p>
      <w:pPr>
        <w:spacing w:line="360" w:lineRule="auto"/>
        <w:rPr>
          <w:rFonts w:ascii="Times New Roman" w:hAnsi="Times New Roman" w:eastAsia="仿宋_GB2312"/>
          <w:sz w:val="28"/>
        </w:rPr>
      </w:pPr>
    </w:p>
    <w:p>
      <w:pPr>
        <w:spacing w:line="360" w:lineRule="auto"/>
        <w:rPr>
          <w:rFonts w:hint="default" w:ascii="Times New Roman" w:hAnsi="Times New Roman" w:eastAsia="仿宋_GB2312"/>
          <w:sz w:val="28"/>
          <w:lang w:val="en-US" w:eastAsia="zh-CN"/>
        </w:rPr>
      </w:pPr>
      <w:r>
        <w:rPr>
          <w:rFonts w:ascii="Times New Roman" w:hAnsi="Times New Roman" w:eastAsia="仿宋_GB2312"/>
          <w:b/>
          <w:sz w:val="28"/>
        </w:rPr>
        <w:t>项目负责人：</w:t>
      </w:r>
      <w:r>
        <w:rPr>
          <w:rFonts w:hint="eastAsia" w:ascii="Times New Roman" w:hAnsi="Times New Roman" w:eastAsia="仿宋_GB2312"/>
          <w:sz w:val="28"/>
          <w:lang w:val="en-US" w:eastAsia="zh-CN"/>
        </w:rPr>
        <w:t>叶勇</w:t>
      </w:r>
    </w:p>
    <w:p>
      <w:pPr>
        <w:spacing w:line="360" w:lineRule="auto"/>
        <w:rPr>
          <w:rFonts w:ascii="Times New Roman" w:hAnsi="Times New Roman" w:eastAsia="仿宋_GB2312"/>
          <w:sz w:val="28"/>
        </w:rPr>
      </w:pPr>
      <w:r>
        <w:rPr>
          <w:rFonts w:ascii="Times New Roman" w:hAnsi="Times New Roman" w:eastAsia="仿宋_GB2312"/>
          <w:b/>
          <w:sz w:val="28"/>
        </w:rPr>
        <w:t>编制人员：</w:t>
      </w:r>
      <w:r>
        <w:rPr>
          <w:rFonts w:ascii="Times New Roman" w:hAnsi="Times New Roman" w:eastAsia="仿宋_GB2312"/>
          <w:sz w:val="28"/>
        </w:rPr>
        <w:t>叶勇、</w:t>
      </w:r>
      <w:r>
        <w:rPr>
          <w:rFonts w:hint="eastAsia" w:ascii="Times New Roman" w:hAnsi="Times New Roman" w:eastAsia="仿宋_GB2312"/>
          <w:sz w:val="28"/>
          <w:lang w:eastAsia="zh-CN"/>
        </w:rPr>
        <w:t>陈雯铃、</w:t>
      </w:r>
      <w:r>
        <w:rPr>
          <w:rFonts w:ascii="Times New Roman" w:hAnsi="Times New Roman" w:eastAsia="仿宋_GB2312"/>
          <w:sz w:val="28"/>
        </w:rPr>
        <w:t>郭建泷、黄会荣</w:t>
      </w:r>
    </w:p>
    <w:p>
      <w:pPr>
        <w:spacing w:line="360" w:lineRule="auto"/>
        <w:rPr>
          <w:rFonts w:ascii="Times New Roman" w:hAnsi="Times New Roman" w:eastAsia="仿宋_GB2312"/>
          <w:b/>
          <w:sz w:val="28"/>
          <w:highlight w:val="yellow"/>
        </w:rPr>
      </w:pPr>
    </w:p>
    <w:p>
      <w:pPr>
        <w:rPr>
          <w:rFonts w:ascii="Times New Roman" w:hAnsi="Times New Roman" w:eastAsia="仿宋_GB2312"/>
          <w:b/>
          <w:sz w:val="28"/>
          <w:highlight w:val="yellow"/>
        </w:rPr>
      </w:pPr>
    </w:p>
    <w:p>
      <w:pPr>
        <w:rPr>
          <w:rFonts w:ascii="Times New Roman" w:hAnsi="Times New Roman" w:eastAsia="仿宋_GB2312"/>
          <w:b/>
          <w:sz w:val="28"/>
          <w:highlight w:val="yellow"/>
        </w:rPr>
      </w:pPr>
    </w:p>
    <w:p>
      <w:pPr>
        <w:rPr>
          <w:rFonts w:ascii="Times New Roman" w:hAnsi="Times New Roman" w:eastAsia="仿宋_GB2312"/>
          <w:b/>
          <w:sz w:val="28"/>
          <w:highlight w:val="yellow"/>
        </w:rPr>
      </w:pPr>
    </w:p>
    <w:p>
      <w:pPr>
        <w:rPr>
          <w:rFonts w:ascii="Times New Roman" w:hAnsi="Times New Roman" w:eastAsia="仿宋_GB2312"/>
          <w:b/>
          <w:sz w:val="28"/>
          <w:highlight w:val="yellow"/>
        </w:rPr>
      </w:pPr>
    </w:p>
    <w:p/>
    <w:tbl>
      <w:tblPr>
        <w:tblStyle w:val="14"/>
        <w:tblW w:w="8522" w:type="dxa"/>
        <w:tblInd w:w="0" w:type="dxa"/>
        <w:tblLayout w:type="fixed"/>
        <w:tblCellMar>
          <w:top w:w="0" w:type="dxa"/>
          <w:left w:w="108" w:type="dxa"/>
          <w:bottom w:w="0" w:type="dxa"/>
          <w:right w:w="108" w:type="dxa"/>
        </w:tblCellMar>
      </w:tblPr>
      <w:tblGrid>
        <w:gridCol w:w="4261"/>
        <w:gridCol w:w="4261"/>
      </w:tblGrid>
      <w:tr>
        <w:tblPrEx>
          <w:tblLayout w:type="fixed"/>
          <w:tblCellMar>
            <w:top w:w="0" w:type="dxa"/>
            <w:left w:w="108" w:type="dxa"/>
            <w:bottom w:w="0" w:type="dxa"/>
            <w:right w:w="108" w:type="dxa"/>
          </w:tblCellMar>
        </w:tblPrEx>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建设单位        （盖章）</w:t>
            </w:r>
          </w:p>
        </w:tc>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编制单位          （盖章）</w:t>
            </w:r>
          </w:p>
        </w:tc>
      </w:tr>
      <w:tr>
        <w:tblPrEx>
          <w:tblLayout w:type="fixed"/>
          <w:tblCellMar>
            <w:top w:w="0" w:type="dxa"/>
            <w:left w:w="108" w:type="dxa"/>
            <w:bottom w:w="0" w:type="dxa"/>
            <w:right w:w="108" w:type="dxa"/>
          </w:tblCellMar>
        </w:tblPrEx>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电话：0595-87383133</w:t>
            </w:r>
          </w:p>
        </w:tc>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电话：0591-87729935</w:t>
            </w:r>
          </w:p>
        </w:tc>
      </w:tr>
      <w:tr>
        <w:tblPrEx>
          <w:tblLayout w:type="fixed"/>
          <w:tblCellMar>
            <w:top w:w="0" w:type="dxa"/>
            <w:left w:w="108" w:type="dxa"/>
            <w:bottom w:w="0" w:type="dxa"/>
            <w:right w:w="108" w:type="dxa"/>
          </w:tblCellMar>
        </w:tblPrEx>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传真：0595-87383133</w:t>
            </w:r>
          </w:p>
        </w:tc>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传真：0591-87739252</w:t>
            </w:r>
          </w:p>
        </w:tc>
      </w:tr>
      <w:tr>
        <w:tblPrEx>
          <w:tblLayout w:type="fixed"/>
          <w:tblCellMar>
            <w:top w:w="0" w:type="dxa"/>
            <w:left w:w="108" w:type="dxa"/>
            <w:bottom w:w="0" w:type="dxa"/>
            <w:right w:w="108" w:type="dxa"/>
          </w:tblCellMar>
        </w:tblPrEx>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邮编：362142</w:t>
            </w:r>
          </w:p>
        </w:tc>
        <w:tc>
          <w:tcPr>
            <w:tcW w:w="4261" w:type="dxa"/>
          </w:tcPr>
          <w:p>
            <w:pPr>
              <w:spacing w:after="156" w:afterLines="50" w:line="360" w:lineRule="auto"/>
              <w:rPr>
                <w:rFonts w:ascii="Times New Roman" w:hAnsi="Times New Roman" w:eastAsia="仿宋_GB2312"/>
                <w:sz w:val="28"/>
              </w:rPr>
            </w:pPr>
            <w:r>
              <w:rPr>
                <w:rFonts w:ascii="Times New Roman" w:hAnsi="Times New Roman" w:eastAsia="仿宋_GB2312"/>
                <w:sz w:val="28"/>
              </w:rPr>
              <w:t>邮编：350013</w:t>
            </w:r>
          </w:p>
        </w:tc>
      </w:tr>
      <w:tr>
        <w:tblPrEx>
          <w:tblLayout w:type="fixed"/>
          <w:tblCellMar>
            <w:top w:w="0" w:type="dxa"/>
            <w:left w:w="108" w:type="dxa"/>
            <w:bottom w:w="0" w:type="dxa"/>
            <w:right w:w="108" w:type="dxa"/>
          </w:tblCellMar>
        </w:tblPrEx>
        <w:tc>
          <w:tcPr>
            <w:tcW w:w="4261" w:type="dxa"/>
          </w:tcPr>
          <w:p>
            <w:pPr>
              <w:spacing w:line="360" w:lineRule="auto"/>
              <w:ind w:left="840" w:hanging="840" w:hangingChars="300"/>
              <w:rPr>
                <w:rFonts w:ascii="Times New Roman" w:hAnsi="Times New Roman" w:eastAsia="仿宋_GB2312"/>
                <w:sz w:val="28"/>
              </w:rPr>
            </w:pPr>
            <w:r>
              <w:rPr>
                <w:rFonts w:ascii="Times New Roman" w:hAnsi="Times New Roman" w:eastAsia="仿宋_GB2312"/>
                <w:sz w:val="28"/>
              </w:rPr>
              <w:t>地址：</w:t>
            </w:r>
            <w:r>
              <w:rPr>
                <w:rFonts w:hint="eastAsia" w:ascii="Times New Roman" w:hAnsi="Times New Roman" w:eastAsia="仿宋_GB2312"/>
                <w:sz w:val="28"/>
              </w:rPr>
              <w:t>泉州市惠安县净峰镇杜厝村2025号</w:t>
            </w:r>
          </w:p>
        </w:tc>
        <w:tc>
          <w:tcPr>
            <w:tcW w:w="4261" w:type="dxa"/>
          </w:tcPr>
          <w:p>
            <w:pPr>
              <w:spacing w:line="360" w:lineRule="auto"/>
              <w:ind w:left="840" w:hanging="840" w:hangingChars="300"/>
              <w:rPr>
                <w:rFonts w:ascii="Times New Roman" w:hAnsi="Times New Roman" w:eastAsia="仿宋_GB2312"/>
                <w:sz w:val="28"/>
              </w:rPr>
            </w:pPr>
            <w:r>
              <w:rPr>
                <w:rFonts w:ascii="Times New Roman" w:hAnsi="Times New Roman" w:eastAsia="仿宋_GB2312"/>
                <w:sz w:val="28"/>
              </w:rPr>
              <w:t>地址：福州市茶园小区环北三村10号</w:t>
            </w:r>
          </w:p>
        </w:tc>
      </w:tr>
    </w:tbl>
    <w:p>
      <w:pPr>
        <w:rPr>
          <w:rFonts w:hint="default"/>
        </w:rPr>
      </w:pPr>
    </w:p>
    <w:p>
      <w:pPr>
        <w:rPr>
          <w:rFonts w:hint="default"/>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widowControl w:val="0"/>
        <w:tabs>
          <w:tab w:val="right" w:leader="dot" w:pos="8306"/>
        </w:tabs>
        <w:kinsoku/>
        <w:wordWrap/>
        <w:overflowPunct/>
        <w:topLinePunct w:val="0"/>
        <w:autoSpaceDE/>
        <w:autoSpaceDN/>
        <w:bidi w:val="0"/>
        <w:adjustRightInd/>
        <w:snapToGrid/>
        <w:spacing w:line="360" w:lineRule="auto"/>
        <w:jc w:val="center"/>
        <w:textAlignment w:val="auto"/>
        <w:outlineLvl w:val="0"/>
        <w:rPr>
          <w:rFonts w:hint="default" w:ascii="Times New Roman" w:hAnsi="Times New Roman" w:eastAsia="宋体" w:cs="Times New Roman"/>
          <w:color w:val="FF0000"/>
          <w:kern w:val="2"/>
          <w:sz w:val="24"/>
          <w:szCs w:val="24"/>
          <w:lang w:val="en-US" w:eastAsia="zh-CN" w:bidi="ar-SA"/>
        </w:rPr>
      </w:pPr>
      <w:bookmarkStart w:id="0" w:name="_Toc23774"/>
      <w:bookmarkStart w:id="1" w:name="_Toc30979"/>
      <w:bookmarkStart w:id="2" w:name="_Toc26947"/>
      <w:bookmarkStart w:id="3" w:name="_Toc24967"/>
      <w:bookmarkStart w:id="4" w:name="_Toc30175"/>
      <w:bookmarkStart w:id="5" w:name="_Toc3349"/>
      <w:bookmarkStart w:id="6" w:name="_Toc29944"/>
      <w:bookmarkStart w:id="7" w:name="_Toc18256"/>
      <w:bookmarkStart w:id="8" w:name="_Toc24723"/>
      <w:bookmarkStart w:id="9" w:name="_Toc12995"/>
      <w:bookmarkStart w:id="10" w:name="_Toc26621"/>
      <w:r>
        <w:rPr>
          <w:rFonts w:ascii="Times New Roman" w:hAnsi="Times New Roman"/>
          <w:color w:val="auto"/>
          <w:sz w:val="36"/>
          <w:szCs w:val="40"/>
        </w:rPr>
        <w:t>目</w:t>
      </w:r>
      <w:r>
        <w:rPr>
          <w:rFonts w:hint="eastAsia" w:eastAsia="宋体"/>
          <w:color w:val="auto"/>
          <w:sz w:val="36"/>
          <w:szCs w:val="40"/>
          <w:lang w:val="en-US" w:eastAsia="zh-CN"/>
        </w:rPr>
        <w:t xml:space="preserve"> </w:t>
      </w:r>
      <w:r>
        <w:rPr>
          <w:rFonts w:ascii="Times New Roman" w:hAnsi="Times New Roman"/>
          <w:color w:val="auto"/>
          <w:sz w:val="36"/>
          <w:szCs w:val="40"/>
        </w:rPr>
        <w:t>录</w:t>
      </w:r>
      <w:bookmarkEnd w:id="0"/>
      <w:bookmarkEnd w:id="1"/>
      <w:bookmarkEnd w:id="2"/>
      <w:bookmarkEnd w:id="3"/>
      <w:bookmarkEnd w:id="4"/>
      <w:bookmarkEnd w:id="5"/>
      <w:bookmarkEnd w:id="6"/>
      <w:bookmarkEnd w:id="7"/>
      <w:bookmarkEnd w:id="8"/>
      <w:bookmarkEnd w:id="9"/>
      <w:bookmarkEnd w:id="10"/>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color w:val="FF0000"/>
          <w:sz w:val="24"/>
          <w:szCs w:val="24"/>
        </w:rPr>
        <w:instrText xml:space="preserve">TOC \o "1-2" \h \u </w:instrText>
      </w:r>
      <w:r>
        <w:rPr>
          <w:rFonts w:hint="default" w:ascii="Times New Roman" w:hAnsi="Times New Roman" w:eastAsia="宋体" w:cs="Times New Roman"/>
          <w:color w:val="FF0000"/>
          <w:sz w:val="24"/>
          <w:szCs w:val="24"/>
        </w:rPr>
        <w:fldChar w:fldCharType="separate"/>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_Toc24410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 xml:space="preserve">1. </w:t>
      </w:r>
      <w:r>
        <w:rPr>
          <w:rFonts w:hint="default" w:ascii="Times New Roman" w:hAnsi="Times New Roman" w:eastAsia="宋体" w:cs="Times New Roman"/>
          <w:sz w:val="24"/>
          <w:szCs w:val="24"/>
          <w:lang w:eastAsia="zh-CN"/>
        </w:rPr>
        <w:t>项目概况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_Toc24410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_Toc25288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 验收依据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_Toc25288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_Toc31453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法规政策</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_Toc31453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_Toc23286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标准规范</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_Toc23286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_Toc21327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其他相关文件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_Toc21327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_Toc11074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 xml:space="preserve">3. </w:t>
      </w:r>
      <w:r>
        <w:rPr>
          <w:rFonts w:hint="default" w:ascii="Times New Roman" w:hAnsi="Times New Roman" w:eastAsia="宋体" w:cs="Times New Roman"/>
          <w:sz w:val="24"/>
          <w:szCs w:val="24"/>
          <w:lang w:eastAsia="zh-CN"/>
        </w:rPr>
        <w:t>项目</w:t>
      </w:r>
      <w:r>
        <w:rPr>
          <w:rFonts w:hint="default" w:ascii="Times New Roman" w:hAnsi="Times New Roman" w:eastAsia="宋体" w:cs="Times New Roman"/>
          <w:sz w:val="24"/>
          <w:szCs w:val="24"/>
        </w:rPr>
        <w:t>建设情况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_Toc11074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_Toc32672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项目地理位置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_Toc32672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_Toc20564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 xml:space="preserve">3.2 </w:t>
      </w:r>
      <w:r>
        <w:rPr>
          <w:rFonts w:hint="default" w:ascii="Times New Roman" w:hAnsi="Times New Roman" w:eastAsia="宋体" w:cs="Times New Roman"/>
          <w:sz w:val="24"/>
          <w:szCs w:val="24"/>
          <w:lang w:eastAsia="zh-CN"/>
        </w:rPr>
        <w:t>港丰码头</w:t>
      </w:r>
      <w:r>
        <w:rPr>
          <w:rFonts w:hint="default" w:ascii="Times New Roman" w:hAnsi="Times New Roman" w:eastAsia="宋体" w:cs="Times New Roman"/>
          <w:sz w:val="24"/>
          <w:szCs w:val="24"/>
        </w:rPr>
        <w:t>建设内容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_Toc20564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_Toc3455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eastAsia="zh-CN"/>
        </w:rPr>
        <w:t>港丰石化仓储项目</w:t>
      </w:r>
      <w:r>
        <w:rPr>
          <w:rFonts w:hint="default" w:ascii="Times New Roman" w:hAnsi="Times New Roman" w:eastAsia="宋体" w:cs="Times New Roman"/>
          <w:sz w:val="24"/>
          <w:szCs w:val="24"/>
        </w:rPr>
        <w:t>建设内容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_Toc3455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_Toc15903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 xml:space="preserve"> 水源及水平衡</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_Toc15903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_Toc21001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 xml:space="preserve"> 工艺技术及产污环节</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_Toc21001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_Toc19036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 xml:space="preserve"> 项目变动情况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_Toc19036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_Toc5345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 环境保护设施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_Toc5345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_Toc27588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4.1 污染物</w:t>
      </w:r>
      <w:r>
        <w:rPr>
          <w:rFonts w:hint="default" w:ascii="Times New Roman" w:hAnsi="Times New Roman" w:eastAsia="宋体" w:cs="Times New Roman"/>
          <w:sz w:val="24"/>
          <w:szCs w:val="24"/>
          <w:lang w:val="en-US" w:eastAsia="zh-CN"/>
        </w:rPr>
        <w:t>治理/处置设施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_Toc27588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_Toc4343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4.2</w:t>
      </w:r>
      <w:r>
        <w:rPr>
          <w:rFonts w:hint="default" w:ascii="Times New Roman" w:hAnsi="Times New Roman" w:eastAsia="宋体" w:cs="Times New Roman"/>
          <w:sz w:val="24"/>
          <w:szCs w:val="24"/>
          <w:lang w:val="en-US" w:eastAsia="zh-CN"/>
        </w:rPr>
        <w:t xml:space="preserve"> 其他环境保护设施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_Toc4343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_Toc31803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 xml:space="preserve"> 环保设施投资及</w:t>
      </w:r>
      <w:r>
        <w:rPr>
          <w:rFonts w:hint="default" w:ascii="Times New Roman" w:hAnsi="Times New Roman" w:eastAsia="宋体" w:cs="Times New Roman"/>
          <w:sz w:val="24"/>
          <w:szCs w:val="24"/>
          <w:lang w:eastAsia="zh-Hans"/>
        </w:rPr>
        <w:t>“</w:t>
      </w:r>
      <w:r>
        <w:rPr>
          <w:rFonts w:hint="default" w:ascii="Times New Roman" w:hAnsi="Times New Roman" w:eastAsia="宋体" w:cs="Times New Roman"/>
          <w:sz w:val="24"/>
          <w:szCs w:val="24"/>
        </w:rPr>
        <w:t>三同时</w:t>
      </w:r>
      <w:r>
        <w:rPr>
          <w:rFonts w:hint="default" w:ascii="Times New Roman" w:hAnsi="Times New Roman" w:eastAsia="宋体" w:cs="Times New Roman"/>
          <w:sz w:val="24"/>
          <w:szCs w:val="24"/>
          <w:lang w:eastAsia="zh-Hans"/>
        </w:rPr>
        <w:t>”</w:t>
      </w:r>
      <w:r>
        <w:rPr>
          <w:rFonts w:hint="default" w:ascii="Times New Roman" w:hAnsi="Times New Roman" w:eastAsia="宋体" w:cs="Times New Roman"/>
          <w:sz w:val="24"/>
          <w:szCs w:val="24"/>
        </w:rPr>
        <w:t>落实情况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_Toc31803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_Toc24710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 环评主要结论及审批部门审批决定</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_Toc24710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_Toc23890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5.1 环境影响报告书回顾</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_Toc23890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_Toc22038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 xml:space="preserve"> 环境影响报告书批复意见（摘录）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_Toc22038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_Toc6594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 验收执行标准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_Toc6594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_Toc13261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 验收监测内容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_Toc13261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_Toc26731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 质量保证及质量控制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_Toc26731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_Toc4015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w:t>
      </w:r>
      <w:r>
        <w:rPr>
          <w:rFonts w:hint="default" w:ascii="Times New Roman" w:hAnsi="Times New Roman" w:eastAsia="宋体" w:cs="Times New Roman"/>
          <w:sz w:val="24"/>
          <w:szCs w:val="24"/>
          <w:lang w:eastAsia="zh-Hans"/>
        </w:rPr>
        <w:t xml:space="preserve">.1 </w:t>
      </w:r>
      <w:r>
        <w:rPr>
          <w:rFonts w:hint="default" w:ascii="Times New Roman" w:hAnsi="Times New Roman" w:eastAsia="宋体" w:cs="Times New Roman"/>
          <w:sz w:val="24"/>
          <w:szCs w:val="24"/>
        </w:rPr>
        <w:t>质量控制数据汇总表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_Toc4015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_Toc24380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8.2 仪器设备检定/校准情况表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_Toc24380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_Toc8830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8.3 检测人员持证上岗</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_Toc8830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_Toc32045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 验收监测结果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_Toc32045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_Toc4398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9.1</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生产工况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_Toc4398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_Toc29870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9.2</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环保设施调试运行效果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_Toc29870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_Toc2197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9.3</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工程建设对环境的影响</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_Toc2197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_Toc31447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 环境管理检查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_Toc31447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_Toc7839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10.1 环境影响报告书批复落实情况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_Toc7839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_Toc30287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10.2 环境保护</w:t>
      </w:r>
      <w:r>
        <w:rPr>
          <w:rFonts w:hint="default" w:ascii="Times New Roman" w:hAnsi="Times New Roman" w:eastAsia="宋体" w:cs="Times New Roman"/>
          <w:sz w:val="24"/>
          <w:szCs w:val="24"/>
          <w:lang w:eastAsia="zh-Hans"/>
        </w:rPr>
        <w:t>“</w:t>
      </w:r>
      <w:r>
        <w:rPr>
          <w:rFonts w:hint="default" w:ascii="Times New Roman" w:hAnsi="Times New Roman" w:eastAsia="宋体" w:cs="Times New Roman"/>
          <w:sz w:val="24"/>
          <w:szCs w:val="24"/>
        </w:rPr>
        <w:t>三同时</w:t>
      </w:r>
      <w:r>
        <w:rPr>
          <w:rFonts w:hint="default" w:ascii="Times New Roman" w:hAnsi="Times New Roman" w:eastAsia="宋体" w:cs="Times New Roman"/>
          <w:sz w:val="24"/>
          <w:szCs w:val="24"/>
          <w:lang w:eastAsia="zh-Hans"/>
        </w:rPr>
        <w:t>”</w:t>
      </w:r>
      <w:r>
        <w:rPr>
          <w:rFonts w:hint="default" w:ascii="Times New Roman" w:hAnsi="Times New Roman" w:eastAsia="宋体" w:cs="Times New Roman"/>
          <w:sz w:val="24"/>
          <w:szCs w:val="24"/>
        </w:rPr>
        <w:t>制度执行情况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_Toc30287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_Toc19987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10.3 排污许可证申领情况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_Toc19987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_Toc29307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 xml:space="preserve">4 </w:t>
      </w:r>
      <w:r>
        <w:rPr>
          <w:rFonts w:hint="default" w:ascii="Times New Roman" w:hAnsi="Times New Roman" w:eastAsia="宋体" w:cs="Times New Roman"/>
          <w:sz w:val="24"/>
          <w:szCs w:val="24"/>
        </w:rPr>
        <w:t>环境保护机构设置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_Toc29307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_Toc27034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 xml:space="preserve">5 </w:t>
      </w:r>
      <w:r>
        <w:rPr>
          <w:rFonts w:hint="default" w:ascii="Times New Roman" w:hAnsi="Times New Roman" w:eastAsia="宋体" w:cs="Times New Roman"/>
          <w:sz w:val="24"/>
          <w:szCs w:val="24"/>
        </w:rPr>
        <w:t>环境保护设施建成及运行记录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_Toc27034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_Toc24809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 xml:space="preserve">6 </w:t>
      </w:r>
      <w:r>
        <w:rPr>
          <w:rFonts w:hint="default" w:ascii="Times New Roman" w:hAnsi="Times New Roman" w:eastAsia="宋体" w:cs="Times New Roman"/>
          <w:sz w:val="24"/>
          <w:szCs w:val="24"/>
        </w:rPr>
        <w:t>环境监测计划和日常监测</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_Toc24809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_Toc2023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 xml:space="preserve">7 </w:t>
      </w:r>
      <w:r>
        <w:rPr>
          <w:rFonts w:hint="default" w:ascii="Times New Roman" w:hAnsi="Times New Roman" w:eastAsia="宋体" w:cs="Times New Roman"/>
          <w:sz w:val="24"/>
          <w:szCs w:val="24"/>
        </w:rPr>
        <w:t>工业固体废物、危险废物的处置管理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_Toc2023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_Toc17241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 xml:space="preserve">8 </w:t>
      </w:r>
      <w:r>
        <w:rPr>
          <w:rFonts w:hint="default" w:ascii="Times New Roman" w:hAnsi="Times New Roman" w:eastAsia="宋体" w:cs="Times New Roman"/>
          <w:sz w:val="24"/>
          <w:szCs w:val="24"/>
        </w:rPr>
        <w:t>突发环境事件应急预案备案</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_Toc17241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_Toc14896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w:t>
      </w:r>
      <w:r>
        <w:rPr>
          <w:rFonts w:hint="default" w:ascii="Times New Roman" w:hAnsi="Times New Roman" w:eastAsia="宋体" w:cs="Times New Roman"/>
          <w:sz w:val="24"/>
          <w:szCs w:val="24"/>
          <w:lang w:val="en-US" w:eastAsia="zh-CN"/>
        </w:rPr>
        <w:t xml:space="preserve">9 </w:t>
      </w:r>
      <w:r>
        <w:rPr>
          <w:rFonts w:hint="default" w:ascii="Times New Roman" w:hAnsi="Times New Roman" w:eastAsia="宋体" w:cs="Times New Roman"/>
          <w:sz w:val="24"/>
          <w:szCs w:val="24"/>
        </w:rPr>
        <w:t>大气防护距离设置情况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_Toc14896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_Toc10071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10.1</w:t>
      </w:r>
      <w:r>
        <w:rPr>
          <w:rFonts w:hint="default" w:ascii="Times New Roman" w:hAnsi="Times New Roman" w:eastAsia="宋体" w:cs="Times New Roman"/>
          <w:sz w:val="24"/>
          <w:szCs w:val="24"/>
          <w:lang w:val="en-US" w:eastAsia="zh-CN"/>
        </w:rPr>
        <w:t xml:space="preserve">0 </w:t>
      </w:r>
      <w:r>
        <w:rPr>
          <w:rFonts w:hint="default" w:ascii="Times New Roman" w:hAnsi="Times New Roman" w:eastAsia="宋体" w:cs="Times New Roman"/>
          <w:sz w:val="24"/>
          <w:szCs w:val="24"/>
        </w:rPr>
        <w:t>厂区绿化</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_Toc10071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_Toc7344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10.1</w:t>
      </w:r>
      <w:r>
        <w:rPr>
          <w:rFonts w:hint="default" w:ascii="Times New Roman" w:hAnsi="Times New Roman" w:eastAsia="宋体" w:cs="Times New Roman"/>
          <w:sz w:val="24"/>
          <w:szCs w:val="24"/>
          <w:lang w:val="en-US" w:eastAsia="zh-CN"/>
        </w:rPr>
        <w:t xml:space="preserve">1 </w:t>
      </w:r>
      <w:r>
        <w:rPr>
          <w:rFonts w:hint="default" w:ascii="Times New Roman" w:hAnsi="Times New Roman" w:eastAsia="宋体" w:cs="Times New Roman"/>
          <w:sz w:val="24"/>
          <w:szCs w:val="24"/>
        </w:rPr>
        <w:t>施工期、试运行期间环保投诉及处理情况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_Toc7344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_Toc14708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10.1</w:t>
      </w:r>
      <w:r>
        <w:rPr>
          <w:rFonts w:hint="default" w:ascii="Times New Roman" w:hAnsi="Times New Roman" w:eastAsia="宋体" w:cs="Times New Roman"/>
          <w:sz w:val="24"/>
          <w:szCs w:val="24"/>
          <w:lang w:val="en-US" w:eastAsia="zh-CN"/>
        </w:rPr>
        <w:t xml:space="preserve">2 </w:t>
      </w:r>
      <w:r>
        <w:rPr>
          <w:rFonts w:hint="default" w:ascii="Times New Roman" w:hAnsi="Times New Roman" w:eastAsia="宋体" w:cs="Times New Roman"/>
          <w:sz w:val="24"/>
          <w:szCs w:val="24"/>
        </w:rPr>
        <w:t>小结</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_Toc14708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_Toc13421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 公众参与</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_Toc13421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_Toc14498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11.1</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信息公开</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_Toc14498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_Toc20948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lang w:val="en-US" w:eastAsia="zh-CN"/>
        </w:rPr>
        <w:t xml:space="preserve">2 </w:t>
      </w:r>
      <w:r>
        <w:rPr>
          <w:rFonts w:hint="default" w:ascii="Times New Roman" w:hAnsi="Times New Roman" w:eastAsia="宋体" w:cs="Times New Roman"/>
          <w:sz w:val="24"/>
          <w:szCs w:val="24"/>
        </w:rPr>
        <w:t>公众意见反馈情况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_Toc20948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_Toc17723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 验收监测结论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_Toc17723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_Toc23747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12.1</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环保设施调试运行效果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_Toc23747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_Toc29924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12.2 工程建设对环境的影响</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_Toc29924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FF0000"/>
          <w:sz w:val="24"/>
          <w:szCs w:val="24"/>
        </w:rPr>
        <w:fldChar w:fldCharType="begin"/>
      </w:r>
      <w:r>
        <w:rPr>
          <w:rFonts w:hint="default" w:ascii="Times New Roman" w:hAnsi="Times New Roman" w:eastAsia="宋体" w:cs="Times New Roman"/>
          <w:sz w:val="24"/>
          <w:szCs w:val="24"/>
        </w:rPr>
        <w:instrText xml:space="preserve"> HYPERLINK \l _Toc13441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12.3</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_Toc13441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color w:val="FF0000"/>
          <w:sz w:val="24"/>
          <w:szCs w:val="24"/>
        </w:rP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宋体" w:cs="Times New Roman"/>
          <w:sz w:val="24"/>
          <w:szCs w:val="24"/>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rPr>
          <w:rFonts w:hint="default" w:ascii="Times New Roman" w:hAnsi="Times New Roman" w:eastAsia="宋体" w:cs="Times New Roman"/>
          <w:color w:val="FF0000"/>
          <w:sz w:val="24"/>
          <w:szCs w:val="24"/>
        </w:rPr>
        <w:fldChar w:fldCharType="end"/>
      </w:r>
    </w:p>
    <w:p>
      <w:pPr>
        <w:outlineLvl w:val="0"/>
        <w:rPr>
          <w:rFonts w:ascii="Times New Roman" w:hAnsi="Times New Roman"/>
          <w:b/>
          <w:bCs/>
          <w:sz w:val="36"/>
          <w:szCs w:val="36"/>
        </w:rPr>
      </w:pPr>
      <w:bookmarkStart w:id="11" w:name="_Toc21593_WPSOffice_Level1"/>
      <w:bookmarkStart w:id="12" w:name="_Toc15103"/>
      <w:bookmarkStart w:id="13" w:name="_Toc28861"/>
      <w:bookmarkStart w:id="14" w:name="_Toc27058"/>
      <w:bookmarkStart w:id="15" w:name="_Toc9733"/>
      <w:bookmarkStart w:id="16" w:name="_Toc29598"/>
      <w:bookmarkStart w:id="17" w:name="_Toc9725_WPSOffice_Level1"/>
      <w:bookmarkStart w:id="18" w:name="_Toc9899_WPSOffice_Level1"/>
      <w:bookmarkStart w:id="19" w:name="_Toc7219_WPSOffice_Level1"/>
      <w:bookmarkStart w:id="20" w:name="_Toc9473_WPSOffice_Level1"/>
      <w:bookmarkStart w:id="21" w:name="_Toc18114_WPSOffice_Level1"/>
      <w:bookmarkStart w:id="22" w:name="_Toc391"/>
      <w:bookmarkStart w:id="23" w:name="_Toc18270"/>
      <w:bookmarkStart w:id="24" w:name="_Toc30293_WPSOffice_Level1"/>
      <w:bookmarkStart w:id="25" w:name="_Toc1451_WPSOffice_Level1"/>
      <w:bookmarkStart w:id="26" w:name="_Toc8287_WPSOffice_Level1"/>
      <w:bookmarkStart w:id="27" w:name="_Toc1111_WPSOffice_Level1"/>
      <w:bookmarkStart w:id="28" w:name="_Toc87237775"/>
      <w:bookmarkStart w:id="29" w:name="_Toc25591"/>
      <w:bookmarkStart w:id="30" w:name="_Toc14520_WPSOffice_Level1"/>
      <w:bookmarkStart w:id="31" w:name="_Toc3943_WPSOffice_Level1"/>
      <w:bookmarkStart w:id="32" w:name="_Toc12289_WPSOffice_Level1"/>
      <w:bookmarkStart w:id="33" w:name="_Toc22383_WPSOffice_Level1"/>
      <w:bookmarkStart w:id="34" w:name="_Toc11291_WPSOffice_Level1"/>
      <w:bookmarkStart w:id="35" w:name="_Toc13245"/>
      <w:bookmarkStart w:id="36" w:name="_Toc4083_WPSOffice_Level1"/>
      <w:bookmarkStart w:id="37" w:name="_Toc523930314"/>
      <w:bookmarkStart w:id="38" w:name="_Toc99233594"/>
      <w:bookmarkStart w:id="39" w:name="_Toc9056_WPSOffice_Level1"/>
      <w:bookmarkStart w:id="40" w:name="_Toc28324_WPSOffice_Level1"/>
      <w:bookmarkStart w:id="41" w:name="_Toc28013"/>
      <w:bookmarkStart w:id="42" w:name="_Toc31969_WPSOffice_Level1"/>
      <w:bookmarkStart w:id="43" w:name="_Toc10376"/>
      <w:bookmarkStart w:id="44" w:name="_Toc3820"/>
      <w:bookmarkStart w:id="45" w:name="_Toc12815_WPSOffice_Level1"/>
      <w:bookmarkStart w:id="46" w:name="_Toc22611_WPSOffice_Level1"/>
      <w:bookmarkStart w:id="47" w:name="_Toc27353"/>
      <w:bookmarkStart w:id="48" w:name="_Toc22937_WPSOffice_Level1"/>
      <w:bookmarkStart w:id="49" w:name="_Toc10731_WPSOffice_Level1"/>
      <w:bookmarkStart w:id="50" w:name="_Toc3356_WPSOffice_Level1"/>
      <w:bookmarkStart w:id="51" w:name="_Toc21747_WPSOffice_Level1"/>
      <w:bookmarkStart w:id="52" w:name="_Toc6851_WPSOffice_Level1"/>
      <w:bookmarkStart w:id="53" w:name="_Toc24657"/>
      <w:bookmarkStart w:id="54" w:name="_Toc10901_WPSOffice_Level1"/>
      <w:r>
        <w:rPr>
          <w:rFonts w:ascii="Times New Roman" w:hAnsi="Times New Roman"/>
          <w:b/>
          <w:bCs/>
          <w:sz w:val="36"/>
          <w:szCs w:val="36"/>
        </w:rPr>
        <w:t>附件</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附件1</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w:t>
      </w:r>
      <w:r>
        <w:rPr>
          <w:color w:val="000000" w:themeColor="text1"/>
          <w:lang w:val="en-US"/>
          <w14:textFill>
            <w14:solidFill>
              <w14:schemeClr w14:val="tx1"/>
            </w14:solidFill>
          </w14:textFill>
        </w:rPr>
        <w:t>项目委托书</w:t>
      </w:r>
      <w:r>
        <w:rPr>
          <w:color w:val="000000" w:themeColor="text1"/>
          <w14:textFill>
            <w14:solidFill>
              <w14:schemeClr w14:val="tx1"/>
            </w14:solidFill>
          </w14:textFill>
        </w:rPr>
        <w:t>》；</w:t>
      </w:r>
    </w:p>
    <w:p>
      <w:pPr>
        <w:pStyle w:val="19"/>
        <w:ind w:firstLine="480"/>
        <w:rPr>
          <w:color w:val="000000" w:themeColor="text1"/>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r>
        <w:rPr>
          <w:color w:val="000000" w:themeColor="text1"/>
          <w:lang w:val="en-US"/>
          <w14:textFill>
            <w14:solidFill>
              <w14:schemeClr w14:val="tx1"/>
            </w14:solidFill>
          </w14:textFill>
        </w:rPr>
        <w:t>中华人民共和国港口经营许可证</w:t>
      </w:r>
      <w:r>
        <w:rPr>
          <w:color w:val="000000" w:themeColor="text1"/>
          <w14:textFill>
            <w14:solidFill>
              <w14:schemeClr w14:val="tx1"/>
            </w14:solidFill>
          </w14:textFill>
        </w:rPr>
        <w:t>》（（闽湄）港经证（</w:t>
      </w:r>
      <w:r>
        <w:rPr>
          <w:rFonts w:hint="default"/>
          <w:color w:val="000000" w:themeColor="text1"/>
          <w14:textFill>
            <w14:solidFill>
              <w14:schemeClr w14:val="tx1"/>
            </w14:solidFill>
          </w14:textFill>
        </w:rPr>
        <w:t>2206</w:t>
      </w:r>
      <w:r>
        <w:rPr>
          <w:color w:val="000000" w:themeColor="text1"/>
          <w14:textFill>
            <w14:solidFill>
              <w14:schemeClr w14:val="tx1"/>
            </w14:solidFill>
          </w14:textFill>
        </w:rPr>
        <w:t>）</w:t>
      </w:r>
      <w:r>
        <w:rPr>
          <w:rFonts w:hint="eastAsia"/>
          <w:color w:val="000000" w:themeColor="text1"/>
          <w:lang w:val="en-US" w:eastAsia="zh-Hans"/>
          <w14:textFill>
            <w14:solidFill>
              <w14:schemeClr w14:val="tx1"/>
            </w14:solidFill>
          </w14:textFill>
        </w:rPr>
        <w:t>号</w:t>
      </w:r>
      <w:r>
        <w:rPr>
          <w:color w:val="000000" w:themeColor="text1"/>
          <w14:textFill>
            <w14:solidFill>
              <w14:schemeClr w14:val="tx1"/>
            </w14:solidFill>
          </w14:textFill>
        </w:rPr>
        <w:t>）；</w:t>
      </w:r>
    </w:p>
    <w:p>
      <w:pPr>
        <w:pStyle w:val="19"/>
        <w:ind w:firstLine="480"/>
        <w:jc w:val="left"/>
        <w:rPr>
          <w:color w:val="000000" w:themeColor="text1"/>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color w:val="000000" w:themeColor="text1"/>
          <w:lang w:val="en-US"/>
          <w14:textFill>
            <w14:solidFill>
              <w14:schemeClr w14:val="tx1"/>
            </w14:solidFill>
          </w14:textFill>
        </w:rPr>
        <w:t>《泉州市生态环境局关于</w:t>
      </w:r>
      <w:r>
        <w:rPr>
          <w:rFonts w:hint="eastAsia"/>
          <w:color w:val="000000" w:themeColor="text1"/>
          <w:lang w:val="en-US" w:eastAsia="zh-CN"/>
          <w14:textFill>
            <w14:solidFill>
              <w14:schemeClr w14:val="tx1"/>
            </w14:solidFill>
          </w14:textFill>
        </w:rPr>
        <w:t>〈</w:t>
      </w:r>
      <w:r>
        <w:rPr>
          <w:rFonts w:hint="eastAsia"/>
          <w:color w:val="000000" w:themeColor="text1"/>
          <w:lang w:val="en-US"/>
          <w14:textFill>
            <w14:solidFill>
              <w14:schemeClr w14:val="tx1"/>
            </w14:solidFill>
          </w14:textFill>
        </w:rPr>
        <w:t>湄洲湾港斗尾港区斗尾作业区7#泊位及港丰石化仓储项目货种调整改扩建工程环境影响报告书</w:t>
      </w:r>
      <w:r>
        <w:rPr>
          <w:rFonts w:hint="eastAsia"/>
          <w:color w:val="000000" w:themeColor="text1"/>
          <w:lang w:val="en-US" w:eastAsia="zh-CN"/>
          <w14:textFill>
            <w14:solidFill>
              <w14:schemeClr w14:val="tx1"/>
            </w14:solidFill>
          </w14:textFill>
        </w:rPr>
        <w:t>〉的</w:t>
      </w:r>
      <w:r>
        <w:rPr>
          <w:color w:val="000000" w:themeColor="text1"/>
          <w:lang w:val="en-US"/>
          <w14:textFill>
            <w14:solidFill>
              <w14:schemeClr w14:val="tx1"/>
            </w14:solidFill>
          </w14:textFill>
        </w:rPr>
        <w:t>批复意见》（泉惠环评〔202</w:t>
      </w:r>
      <w:r>
        <w:rPr>
          <w:rFonts w:hint="eastAsia"/>
          <w:color w:val="000000" w:themeColor="text1"/>
          <w:lang w:val="en-US" w:eastAsia="zh-CN"/>
          <w14:textFill>
            <w14:solidFill>
              <w14:schemeClr w14:val="tx1"/>
            </w14:solidFill>
          </w14:textFill>
        </w:rPr>
        <w:t>2</w:t>
      </w:r>
      <w:r>
        <w:rPr>
          <w:color w:val="000000" w:themeColor="text1"/>
          <w:lang w:val="en-US"/>
          <w14:textFill>
            <w14:solidFill>
              <w14:schemeClr w14:val="tx1"/>
            </w14:solidFill>
          </w14:textFill>
        </w:rPr>
        <w:t>〕书</w:t>
      </w:r>
      <w:r>
        <w:rPr>
          <w:rFonts w:hint="eastAsia"/>
          <w:color w:val="000000" w:themeColor="text1"/>
          <w:lang w:val="en-US" w:eastAsia="zh-CN"/>
          <w14:textFill>
            <w14:solidFill>
              <w14:schemeClr w14:val="tx1"/>
            </w14:solidFill>
          </w14:textFill>
        </w:rPr>
        <w:t>2</w:t>
      </w:r>
      <w:r>
        <w:rPr>
          <w:color w:val="000000" w:themeColor="text1"/>
          <w:lang w:val="en-US"/>
          <w14:textFill>
            <w14:solidFill>
              <w14:schemeClr w14:val="tx1"/>
            </w14:solidFill>
          </w14:textFill>
        </w:rPr>
        <w:t>号）</w:t>
      </w:r>
      <w:r>
        <w:rPr>
          <w:color w:val="000000" w:themeColor="text1"/>
          <w14:textFill>
            <w14:solidFill>
              <w14:schemeClr w14:val="tx1"/>
            </w14:solidFill>
          </w14:textFill>
        </w:rPr>
        <w:t>；</w:t>
      </w:r>
    </w:p>
    <w:p>
      <w:pPr>
        <w:pStyle w:val="19"/>
        <w:ind w:firstLine="480"/>
        <w:jc w:val="left"/>
        <w:rPr>
          <w:color w:val="000000" w:themeColor="text1"/>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w:t>
      </w:r>
      <w:r>
        <w:rPr>
          <w:color w:val="000000" w:themeColor="text1"/>
          <w:lang w:val="en-US"/>
          <w14:textFill>
            <w14:solidFill>
              <w14:schemeClr w14:val="tx1"/>
            </w14:solidFill>
          </w14:textFill>
        </w:rPr>
        <w:t>排污许可证</w:t>
      </w:r>
      <w:r>
        <w:rPr>
          <w:color w:val="000000" w:themeColor="text1"/>
          <w14:textFill>
            <w14:solidFill>
              <w14:schemeClr w14:val="tx1"/>
            </w14:solidFill>
          </w14:textFill>
        </w:rPr>
        <w:t>》（</w:t>
      </w:r>
      <w:r>
        <w:rPr>
          <w:color w:val="000000" w:themeColor="text1"/>
          <w:lang w:val="en-US"/>
          <w14:textFill>
            <w14:solidFill>
              <w14:schemeClr w14:val="tx1"/>
            </w14:solidFill>
          </w14:textFill>
        </w:rPr>
        <w:t>证书编号</w:t>
      </w:r>
      <w:r>
        <w:rPr>
          <w:color w:val="000000" w:themeColor="text1"/>
          <w14:textFill>
            <w14:solidFill>
              <w14:schemeClr w14:val="tx1"/>
            </w14:solidFill>
          </w14:textFill>
        </w:rPr>
        <w:t>：91350521579269307X001V）；</w:t>
      </w:r>
    </w:p>
    <w:p>
      <w:pPr>
        <w:pStyle w:val="19"/>
        <w:ind w:firstLine="480"/>
        <w:jc w:val="left"/>
        <w:rPr>
          <w:color w:val="000000" w:themeColor="text1"/>
          <w:lang w:val="en-US"/>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5</w:t>
      </w:r>
      <w:r>
        <w:rPr>
          <w:rFonts w:hint="eastAsia"/>
          <w:color w:val="000000" w:themeColor="text1"/>
          <w:lang w:eastAsia="zh-CN"/>
          <w14:textFill>
            <w14:solidFill>
              <w14:schemeClr w14:val="tx1"/>
            </w14:solidFill>
          </w14:textFill>
        </w:rPr>
        <w:t>：</w:t>
      </w:r>
      <w:r>
        <w:rPr>
          <w:color w:val="000000" w:themeColor="text1"/>
          <w:lang w:val="en-US"/>
          <w14:textFill>
            <w14:solidFill>
              <w14:schemeClr w14:val="tx1"/>
            </w14:solidFill>
          </w14:textFill>
        </w:rPr>
        <w:t>企业突发环境事件应急预案备案表（备案编号：</w:t>
      </w:r>
      <w:r>
        <w:rPr>
          <w:color w:val="000000" w:themeColor="text1"/>
          <w:w w:val="100"/>
          <w:sz w:val="22"/>
          <w:szCs w:val="22"/>
          <w:lang w:val="en-US"/>
          <w14:textFill>
            <w14:solidFill>
              <w14:schemeClr w14:val="tx1"/>
            </w14:solidFill>
          </w14:textFill>
        </w:rPr>
        <w:t>350521-202</w:t>
      </w:r>
      <w:r>
        <w:rPr>
          <w:rFonts w:hint="default"/>
          <w:color w:val="000000" w:themeColor="text1"/>
          <w:w w:val="100"/>
          <w:sz w:val="22"/>
          <w:szCs w:val="22"/>
          <w14:textFill>
            <w14:solidFill>
              <w14:schemeClr w14:val="tx1"/>
            </w14:solidFill>
          </w14:textFill>
        </w:rPr>
        <w:t>2</w:t>
      </w:r>
      <w:r>
        <w:rPr>
          <w:color w:val="000000" w:themeColor="text1"/>
          <w:w w:val="100"/>
          <w:sz w:val="22"/>
          <w:szCs w:val="22"/>
          <w:lang w:val="en-US"/>
          <w14:textFill>
            <w14:solidFill>
              <w14:schemeClr w14:val="tx1"/>
            </w14:solidFill>
          </w14:textFill>
        </w:rPr>
        <w:t>-0</w:t>
      </w:r>
      <w:r>
        <w:rPr>
          <w:rFonts w:hint="default"/>
          <w:color w:val="000000" w:themeColor="text1"/>
          <w:w w:val="100"/>
          <w:sz w:val="22"/>
          <w:szCs w:val="22"/>
          <w14:textFill>
            <w14:solidFill>
              <w14:schemeClr w14:val="tx1"/>
            </w14:solidFill>
          </w14:textFill>
        </w:rPr>
        <w:t>03</w:t>
      </w:r>
      <w:r>
        <w:rPr>
          <w:color w:val="000000" w:themeColor="text1"/>
          <w:w w:val="100"/>
          <w:sz w:val="22"/>
          <w:szCs w:val="22"/>
          <w:lang w:val="en-US"/>
          <w14:textFill>
            <w14:solidFill>
              <w14:schemeClr w14:val="tx1"/>
            </w14:solidFill>
          </w14:textFill>
        </w:rPr>
        <w:t>-H</w:t>
      </w:r>
      <w:r>
        <w:rPr>
          <w:color w:val="000000" w:themeColor="text1"/>
          <w:lang w:val="en-US"/>
          <w14:textFill>
            <w14:solidFill>
              <w14:schemeClr w14:val="tx1"/>
            </w14:solidFill>
          </w14:textFill>
        </w:rPr>
        <w:t>）</w:t>
      </w:r>
      <w:r>
        <w:rPr>
          <w:color w:val="000000" w:themeColor="text1"/>
          <w14:textFill>
            <w14:solidFill>
              <w14:schemeClr w14:val="tx1"/>
            </w14:solidFill>
          </w14:textFill>
        </w:rPr>
        <w:t>；</w:t>
      </w:r>
    </w:p>
    <w:p>
      <w:pPr>
        <w:pStyle w:val="19"/>
        <w:ind w:firstLine="480"/>
        <w:jc w:val="left"/>
        <w:rPr>
          <w:color w:val="000000" w:themeColor="text1"/>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6：兴通防溢油应急作业协议</w:t>
      </w:r>
      <w:r>
        <w:rPr>
          <w:color w:val="000000" w:themeColor="text1"/>
          <w14:textFill>
            <w14:solidFill>
              <w14:schemeClr w14:val="tx1"/>
            </w14:solidFill>
          </w14:textFill>
        </w:rPr>
        <w:t>；</w:t>
      </w:r>
    </w:p>
    <w:p>
      <w:pPr>
        <w:pStyle w:val="19"/>
        <w:ind w:firstLine="480"/>
        <w:jc w:val="left"/>
        <w:rPr>
          <w:color w:val="000000" w:themeColor="text1"/>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7：兴业东江危废处置合同、生活垃圾清运协议</w:t>
      </w:r>
      <w:r>
        <w:rPr>
          <w:color w:val="000000" w:themeColor="text1"/>
          <w14:textFill>
            <w14:solidFill>
              <w14:schemeClr w14:val="tx1"/>
            </w14:solidFill>
          </w14:textFill>
        </w:rPr>
        <w:t>；</w:t>
      </w:r>
    </w:p>
    <w:p>
      <w:pPr>
        <w:pStyle w:val="19"/>
        <w:ind w:firstLine="480"/>
        <w:jc w:val="left"/>
        <w:rPr>
          <w:rFonts w:hint="eastAsia"/>
          <w:color w:val="000000" w:themeColor="text1"/>
          <w:lang w:eastAsia="zh-CN"/>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8：验收监测</w:t>
      </w:r>
      <w:r>
        <w:rPr>
          <w:rFonts w:hint="eastAsia"/>
          <w:color w:val="000000" w:themeColor="text1"/>
          <w:lang w:eastAsia="zh-CN"/>
          <w14:textFill>
            <w14:solidFill>
              <w14:schemeClr w14:val="tx1"/>
            </w14:solidFill>
          </w14:textFill>
        </w:rPr>
        <w:t>工况证明；</w:t>
      </w:r>
    </w:p>
    <w:p>
      <w:pPr>
        <w:pStyle w:val="19"/>
        <w:ind w:firstLine="480"/>
        <w:jc w:val="left"/>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附件9：</w:t>
      </w:r>
      <w:r>
        <w:rPr>
          <w:rFonts w:hint="eastAsia"/>
          <w:color w:val="000000" w:themeColor="text1"/>
          <w:lang w:eastAsia="zh-CN"/>
          <w14:textFill>
            <w14:solidFill>
              <w14:schemeClr w14:val="tx1"/>
            </w14:solidFill>
          </w14:textFill>
        </w:rPr>
        <w:t>环保竣工验收监测报告；</w:t>
      </w:r>
    </w:p>
    <w:p>
      <w:pPr>
        <w:pStyle w:val="19"/>
        <w:ind w:firstLine="480"/>
        <w:rPr>
          <w:color w:val="000000" w:themeColor="text1"/>
          <w14:textFill>
            <w14:solidFill>
              <w14:schemeClr w14:val="tx1"/>
            </w14:solidFill>
          </w14:textFill>
        </w:rPr>
      </w:pPr>
      <w:r>
        <w:rPr>
          <w:color w:val="000000" w:themeColor="text1"/>
          <w:lang w:val="en-US"/>
          <w14:textFill>
            <w14:solidFill>
              <w14:schemeClr w14:val="tx1"/>
            </w14:solidFill>
          </w14:textFill>
        </w:rPr>
        <w:t>附件</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建设项目工程竣工环境保护</w:t>
      </w:r>
      <w:r>
        <w:rPr>
          <w:rFonts w:hint="eastAsia"/>
          <w:color w:val="000000" w:themeColor="text1"/>
          <w:lang w:eastAsia="zh-Hans"/>
          <w14:textFill>
            <w14:solidFill>
              <w14:schemeClr w14:val="tx1"/>
            </w14:solidFill>
          </w14:textFill>
        </w:rPr>
        <w:t>“</w:t>
      </w:r>
      <w:r>
        <w:rPr>
          <w:color w:val="000000" w:themeColor="text1"/>
          <w14:textFill>
            <w14:solidFill>
              <w14:schemeClr w14:val="tx1"/>
            </w14:solidFill>
          </w14:textFill>
        </w:rPr>
        <w:t>三同时</w:t>
      </w:r>
      <w:r>
        <w:rPr>
          <w:rFonts w:hint="eastAsia"/>
          <w:color w:val="000000" w:themeColor="text1"/>
          <w:lang w:eastAsia="zh-Hans"/>
          <w14:textFill>
            <w14:solidFill>
              <w14:schemeClr w14:val="tx1"/>
            </w14:solidFill>
          </w14:textFill>
        </w:rPr>
        <w:t>”</w:t>
      </w:r>
      <w:r>
        <w:rPr>
          <w:color w:val="000000" w:themeColor="text1"/>
          <w14:textFill>
            <w14:solidFill>
              <w14:schemeClr w14:val="tx1"/>
            </w14:solidFill>
          </w14:textFill>
        </w:rPr>
        <w:t>验收登记表；</w:t>
      </w:r>
    </w:p>
    <w:p>
      <w:pPr>
        <w:pStyle w:val="19"/>
        <w:ind w:firstLine="480"/>
        <w:rPr>
          <w:color w:val="000000" w:themeColor="text1"/>
          <w:lang w:val="en-US" w:eastAsia="zh-Hans"/>
          <w14:textFill>
            <w14:solidFill>
              <w14:schemeClr w14:val="tx1"/>
            </w14:solidFill>
          </w14:textFill>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3"/>
          <w:cols w:space="425" w:num="1"/>
          <w:docGrid w:type="lines" w:linePitch="312" w:charSpace="0"/>
        </w:sectPr>
      </w:pPr>
      <w:r>
        <w:rPr>
          <w:rFonts w:hint="eastAsia"/>
          <w:color w:val="000000" w:themeColor="text1"/>
          <w:lang w:val="en-US" w:eastAsia="zh-Hans"/>
          <w14:textFill>
            <w14:solidFill>
              <w14:schemeClr w14:val="tx1"/>
            </w14:solidFill>
          </w14:textFill>
        </w:rPr>
        <w:t>附件</w:t>
      </w:r>
      <w:r>
        <w:rPr>
          <w:rFonts w:hint="eastAsia"/>
          <w:color w:val="000000" w:themeColor="text1"/>
          <w:lang w:val="en-US" w:eastAsia="zh-CN"/>
          <w14:textFill>
            <w14:solidFill>
              <w14:schemeClr w14:val="tx1"/>
            </w14:solidFill>
          </w14:textFill>
        </w:rPr>
        <w:t>11：</w:t>
      </w:r>
      <w:r>
        <w:rPr>
          <w:rFonts w:hint="eastAsia"/>
          <w:color w:val="000000" w:themeColor="text1"/>
          <w:lang w:val="en-US" w:eastAsia="zh-Hans"/>
          <w14:textFill>
            <w14:solidFill>
              <w14:schemeClr w14:val="tx1"/>
            </w14:solidFill>
          </w14:textFill>
        </w:rPr>
        <w:t>其他需要说明的事项</w:t>
      </w:r>
      <w:r>
        <w:rPr>
          <w:color w:val="000000" w:themeColor="text1"/>
          <w:lang w:eastAsia="zh-Hans"/>
          <w14:textFill>
            <w14:solidFill>
              <w14:schemeClr w14:val="tx1"/>
            </w14:solidFill>
          </w14:textFill>
        </w:rPr>
        <w:t>。</w:t>
      </w:r>
    </w:p>
    <w:p>
      <w:pPr>
        <w:keepNext/>
        <w:keepLines/>
        <w:tabs>
          <w:tab w:val="left" w:pos="1960"/>
        </w:tabs>
        <w:spacing w:before="156" w:beforeLines="50" w:after="156" w:afterLines="50" w:line="360" w:lineRule="auto"/>
        <w:jc w:val="left"/>
        <w:outlineLvl w:val="0"/>
        <w:rPr>
          <w:rStyle w:val="20"/>
          <w:rFonts w:hint="eastAsia" w:ascii="Times New Roman" w:hAnsi="Times New Roman" w:eastAsia="黑体"/>
          <w:lang w:eastAsia="zh-CN"/>
        </w:rPr>
      </w:pPr>
      <w:bookmarkStart w:id="55" w:name="_Toc18137_WPSOffice_Level1"/>
      <w:bookmarkStart w:id="56" w:name="_Toc24410"/>
      <w:r>
        <w:rPr>
          <w:rStyle w:val="20"/>
          <w:rFonts w:ascii="Times New Roman" w:hAnsi="Times New Roman" w:eastAsia="黑体"/>
        </w:rPr>
        <w:t xml:space="preserve">1. </w:t>
      </w:r>
      <w:bookmarkEnd w:id="55"/>
      <w:r>
        <w:rPr>
          <w:rStyle w:val="20"/>
          <w:rFonts w:hint="eastAsia" w:ascii="Times New Roman" w:hAnsi="Times New Roman" w:eastAsia="黑体"/>
          <w:lang w:eastAsia="zh-CN"/>
        </w:rPr>
        <w:t>项目概况</w:t>
      </w:r>
      <w:bookmarkEnd w:id="56"/>
    </w:p>
    <w:p>
      <w:pPr>
        <w:pStyle w:val="19"/>
        <w:ind w:firstLine="480"/>
        <w:rPr>
          <w:rFonts w:hint="eastAsia"/>
          <w:lang w:eastAsia="zh-Hans"/>
        </w:rPr>
      </w:pPr>
      <w:r>
        <w:t>福建港丰能源有限公司在斗尾港东周半岛中化在建石化码头南侧及陆岛交通码头北侧</w:t>
      </w:r>
      <w:r>
        <w:rPr>
          <w:lang w:eastAsia="zh-Hans"/>
        </w:rPr>
        <w:t>建设</w:t>
      </w:r>
      <w:r>
        <w:t>大型、规范的以石油化工产品贸易为主、储存中转业务为辅的专业化石油化工产品仓储物流区</w:t>
      </w:r>
      <w:r>
        <w:rPr>
          <w:lang w:eastAsia="zh-Hans"/>
        </w:rPr>
        <w:t>及配套泊位工程（7#泊位工程）</w:t>
      </w:r>
      <w:r>
        <w:t>。</w:t>
      </w:r>
      <w:r>
        <w:rPr>
          <w:lang w:eastAsia="zh-Hans"/>
        </w:rPr>
        <w:t>其中，仓储物流项目建设规模为61座储罐，总罐容44.35万m</w:t>
      </w:r>
      <w:r>
        <w:rPr>
          <w:vertAlign w:val="superscript"/>
          <w:lang w:eastAsia="zh-Hans"/>
        </w:rPr>
        <w:t>3</w:t>
      </w:r>
      <w:r>
        <w:rPr>
          <w:lang w:eastAsia="zh-Hans"/>
        </w:rPr>
        <w:t>；分两期建设，一期建设储罐29座（1#～4#罐组），总罐容11.05万m</w:t>
      </w:r>
      <w:r>
        <w:rPr>
          <w:vertAlign w:val="superscript"/>
          <w:lang w:eastAsia="zh-Hans"/>
        </w:rPr>
        <w:t>3</w:t>
      </w:r>
      <w:r>
        <w:rPr>
          <w:lang w:eastAsia="zh-Hans"/>
        </w:rPr>
        <w:t>，二期建设储罐32座（5#～8#罐组），总罐容33.3万m</w:t>
      </w:r>
      <w:r>
        <w:rPr>
          <w:vertAlign w:val="superscript"/>
          <w:lang w:eastAsia="zh-Hans"/>
        </w:rPr>
        <w:t>3</w:t>
      </w:r>
      <w:r>
        <w:rPr>
          <w:lang w:eastAsia="zh-Hans"/>
        </w:rPr>
        <w:t>；7#泊位工程建设3万吨级石化泊位一个，码头泊位岸线长320m，年设计吞吐量157.5万吨。仓储</w:t>
      </w:r>
      <w:r>
        <w:rPr>
          <w:rFonts w:hint="eastAsia"/>
          <w:lang w:eastAsia="zh-Hans"/>
        </w:rPr>
        <w:t>项目</w:t>
      </w:r>
      <w:r>
        <w:rPr>
          <w:lang w:eastAsia="zh-Hans"/>
        </w:rPr>
        <w:t>一期工程及7#泊位工程已于2022年3月31日通过竣工环境保护验收；仓储项目二期工程已于2022年</w:t>
      </w:r>
      <w:r>
        <w:rPr>
          <w:rFonts w:hint="eastAsia"/>
          <w:lang w:val="en-US" w:eastAsia="zh-CN"/>
        </w:rPr>
        <w:t>11</w:t>
      </w:r>
      <w:r>
        <w:rPr>
          <w:lang w:eastAsia="zh-Hans"/>
        </w:rPr>
        <w:t>月3</w:t>
      </w:r>
      <w:r>
        <w:rPr>
          <w:rFonts w:hint="eastAsia"/>
          <w:lang w:val="en-US" w:eastAsia="zh-CN"/>
        </w:rPr>
        <w:t>0</w:t>
      </w:r>
      <w:r>
        <w:rPr>
          <w:lang w:eastAsia="zh-Hans"/>
        </w:rPr>
        <w:t>日通过竣工环境保护验收。</w:t>
      </w:r>
    </w:p>
    <w:p>
      <w:pPr>
        <w:pStyle w:val="19"/>
        <w:ind w:firstLine="480"/>
        <w:rPr>
          <w:lang w:eastAsia="zh-Hans"/>
        </w:rPr>
      </w:pPr>
      <w:r>
        <w:t>受国内外经济形式和市场情况变化的影响，港丰公司结合已建设工程的情况，提出对7#泊位3万吨级码头和后方仓储区的货种进行</w:t>
      </w:r>
      <w:r>
        <w:rPr>
          <w:rFonts w:hint="eastAsia"/>
        </w:rPr>
        <w:t>调整或新增</w:t>
      </w:r>
      <w:r>
        <w:t>，</w:t>
      </w:r>
      <w:r>
        <w:rPr>
          <w:rFonts w:hint="eastAsia"/>
          <w:lang w:eastAsia="zh-Hans"/>
        </w:rPr>
        <w:t>并</w:t>
      </w:r>
      <w:r>
        <w:t>对仓储区货种的储存方案进行调整</w:t>
      </w:r>
      <w:r>
        <w:rPr>
          <w:rFonts w:hint="eastAsia"/>
        </w:rPr>
        <w:t>，码头、仓储货种调整后码头设计年吞吐量1</w:t>
      </w:r>
      <w:r>
        <w:t>78</w:t>
      </w:r>
      <w:r>
        <w:rPr>
          <w:rFonts w:hint="eastAsia"/>
        </w:rPr>
        <w:t>万吨，仓储区储罐及总罐容保持不变</w:t>
      </w:r>
      <w:r>
        <w:t>。2022</w:t>
      </w:r>
      <w:r>
        <w:rPr>
          <w:rFonts w:hint="eastAsia"/>
          <w:lang w:eastAsia="zh-Hans"/>
        </w:rPr>
        <w:t>年</w:t>
      </w:r>
      <w:r>
        <w:rPr>
          <w:lang w:eastAsia="zh-Hans"/>
        </w:rPr>
        <w:t>3</w:t>
      </w:r>
      <w:r>
        <w:rPr>
          <w:rFonts w:hint="eastAsia"/>
          <w:lang w:eastAsia="zh-Hans"/>
        </w:rPr>
        <w:t>月</w:t>
      </w:r>
      <w:r>
        <w:rPr>
          <w:lang w:eastAsia="zh-Hans"/>
        </w:rPr>
        <w:t>29</w:t>
      </w:r>
      <w:r>
        <w:rPr>
          <w:rFonts w:hint="eastAsia"/>
          <w:lang w:eastAsia="zh-Hans"/>
        </w:rPr>
        <w:t>日</w:t>
      </w:r>
      <w:r>
        <w:rPr>
          <w:lang w:eastAsia="zh-Hans"/>
        </w:rPr>
        <w:t>，惠安县发展和改革局对</w:t>
      </w:r>
      <w:r>
        <w:rPr>
          <w:rFonts w:hint="eastAsia"/>
          <w:lang w:eastAsia="zh-Hans"/>
        </w:rPr>
        <w:t>“</w:t>
      </w:r>
      <w:r>
        <w:rPr>
          <w:lang w:eastAsia="zh-Hans"/>
        </w:rPr>
        <w:t>湄洲湾港斗尾港区斗尾作业区7#泊位及港丰石化仓储项目货种调整改扩建工程</w:t>
      </w:r>
      <w:r>
        <w:rPr>
          <w:rFonts w:hint="eastAsia"/>
          <w:lang w:eastAsia="zh-Hans"/>
        </w:rPr>
        <w:t>”</w:t>
      </w:r>
      <w:r>
        <w:rPr>
          <w:lang w:eastAsia="zh-Hans"/>
        </w:rPr>
        <w:t>予以备案批准（闽发改备〔2022〕C080091号）。</w:t>
      </w:r>
      <w:r>
        <w:rPr>
          <w:rFonts w:hint="eastAsia"/>
          <w:lang w:eastAsia="zh-Hans"/>
        </w:rPr>
        <w:t>本次货种调整由</w:t>
      </w:r>
      <w:r>
        <w:rPr>
          <w:lang w:eastAsia="zh-Hans"/>
        </w:rPr>
        <w:t>泉州华大环境影响评价有限公司</w:t>
      </w:r>
      <w:r>
        <w:rPr>
          <w:rFonts w:hint="eastAsia"/>
          <w:lang w:eastAsia="zh-Hans"/>
        </w:rPr>
        <w:t>于</w:t>
      </w:r>
      <w:r>
        <w:rPr>
          <w:lang w:eastAsia="zh-Hans"/>
        </w:rPr>
        <w:t>2022</w:t>
      </w:r>
      <w:r>
        <w:rPr>
          <w:rFonts w:hint="eastAsia"/>
          <w:lang w:eastAsia="zh-Hans"/>
        </w:rPr>
        <w:t>年</w:t>
      </w:r>
      <w:r>
        <w:rPr>
          <w:lang w:eastAsia="zh-Hans"/>
        </w:rPr>
        <w:t>6</w:t>
      </w:r>
      <w:r>
        <w:rPr>
          <w:rFonts w:hint="eastAsia"/>
          <w:lang w:eastAsia="zh-Hans"/>
        </w:rPr>
        <w:t>月完成</w:t>
      </w:r>
      <w:r>
        <w:rPr>
          <w:lang w:eastAsia="zh-Hans"/>
        </w:rPr>
        <w:t>《湄洲湾港斗尾港区斗尾作业区7#泊位及港丰石化仓储项目货种调整改扩建工程环境影响报告书》，</w:t>
      </w:r>
      <w:r>
        <w:rPr>
          <w:rFonts w:hint="eastAsia"/>
          <w:lang w:eastAsia="zh-Hans"/>
        </w:rPr>
        <w:t>并于</w:t>
      </w:r>
      <w:r>
        <w:rPr>
          <w:lang w:eastAsia="zh-Hans"/>
        </w:rPr>
        <w:t>2022</w:t>
      </w:r>
      <w:r>
        <w:rPr>
          <w:rFonts w:hint="eastAsia"/>
          <w:lang w:eastAsia="zh-Hans"/>
        </w:rPr>
        <w:t>年</w:t>
      </w:r>
      <w:r>
        <w:rPr>
          <w:lang w:eastAsia="zh-Hans"/>
        </w:rPr>
        <w:t>7</w:t>
      </w:r>
      <w:r>
        <w:rPr>
          <w:rFonts w:hint="eastAsia"/>
          <w:lang w:eastAsia="zh-Hans"/>
        </w:rPr>
        <w:t>月</w:t>
      </w:r>
      <w:r>
        <w:rPr>
          <w:lang w:eastAsia="zh-Hans"/>
        </w:rPr>
        <w:t>6</w:t>
      </w:r>
      <w:r>
        <w:rPr>
          <w:rFonts w:hint="eastAsia"/>
          <w:lang w:eastAsia="zh-Hans"/>
        </w:rPr>
        <w:t>日获得泉州市生态环境局审批</w:t>
      </w:r>
      <w:r>
        <w:rPr>
          <w:lang w:eastAsia="zh-Hans"/>
        </w:rPr>
        <w:t>（泉惠环评〔2022〕书2号）。</w:t>
      </w:r>
    </w:p>
    <w:p>
      <w:pPr>
        <w:pStyle w:val="19"/>
        <w:ind w:firstLine="480"/>
        <w:rPr>
          <w:rFonts w:hint="eastAsia"/>
          <w:lang w:eastAsia="zh-Hans"/>
        </w:rPr>
      </w:pPr>
      <w:r>
        <w:rPr>
          <w:rFonts w:hint="eastAsia"/>
          <w:lang w:eastAsia="zh-Hans"/>
        </w:rPr>
        <w:t>货种调整情况环评及批复内容为“在现有3万吨级码头货种基础上新增3#喷气燃料、抽余油等货种，码头货种扩增至74种；其后方库区在现有储存货种基础上新增变压器油、碳酸乙烯酯等货种，后方仓储区货种扩增至74种”。</w:t>
      </w:r>
    </w:p>
    <w:p>
      <w:pPr>
        <w:pStyle w:val="19"/>
        <w:ind w:firstLine="480"/>
        <w:rPr>
          <w:rFonts w:hint="eastAsia" w:eastAsia="宋体"/>
          <w:lang w:eastAsia="zh-CN"/>
        </w:rPr>
      </w:pPr>
      <w:r>
        <w:rPr>
          <w:rFonts w:hint="eastAsia"/>
          <w:lang w:eastAsia="zh-CN"/>
        </w:rPr>
        <w:t>项目</w:t>
      </w:r>
      <w:r>
        <w:rPr>
          <w:rFonts w:hint="eastAsia"/>
          <w:lang w:eastAsia="zh-Hans"/>
        </w:rPr>
        <w:t>实际情况：码头货种调整至58种，后方仓储区货种调整至58种。调整后货种较环评批复的74种减少二氯甲烷、丙酮、邻苯二甲酸二辛酯、间二甲苯、邻二甲苯、轻循环油、甲醇汽油、乙醇汽油、凝析油、1,2-二氯丙烷、聚醚多元醇、壬醇、丙三醇</w:t>
      </w:r>
      <w:r>
        <w:rPr>
          <w:rFonts w:hint="eastAsia"/>
          <w:lang w:eastAsia="zh-CN"/>
        </w:rPr>
        <w:t>（甘油）</w:t>
      </w:r>
      <w:r>
        <w:rPr>
          <w:rFonts w:hint="eastAsia"/>
          <w:lang w:eastAsia="zh-Hans"/>
        </w:rPr>
        <w:t>、甲基异丁酮、碳酸乙烯酯、苯酚等16种，货种范围未超出环评及其批复内容</w:t>
      </w:r>
      <w:r>
        <w:rPr>
          <w:rFonts w:hint="eastAsia"/>
          <w:lang w:eastAsia="zh-CN"/>
        </w:rPr>
        <w:t>。</w:t>
      </w:r>
    </w:p>
    <w:p>
      <w:pPr>
        <w:pStyle w:val="19"/>
        <w:ind w:firstLine="480"/>
      </w:pPr>
      <w:r>
        <w:t>福建港丰能源有限公司根据</w:t>
      </w:r>
      <w:r>
        <w:rPr>
          <w:rFonts w:hint="eastAsia"/>
          <w:lang w:eastAsia="zh-Hans"/>
        </w:rPr>
        <w:t>“</w:t>
      </w:r>
      <w:r>
        <w:t>三同时</w:t>
      </w:r>
      <w:r>
        <w:rPr>
          <w:rFonts w:hint="eastAsia"/>
          <w:lang w:eastAsia="zh-Hans"/>
        </w:rPr>
        <w:t>”</w:t>
      </w:r>
      <w:r>
        <w:t>要求，基本落实了环评及其批复要求的各项环保措施。项目在施工期及试生产期间，未收到过环保投诉。</w:t>
      </w:r>
    </w:p>
    <w:p>
      <w:pPr>
        <w:pStyle w:val="19"/>
        <w:ind w:firstLine="480"/>
      </w:pPr>
      <w:r>
        <w:rPr>
          <w:rFonts w:hint="eastAsia"/>
          <w:lang w:eastAsia="zh-CN"/>
        </w:rPr>
        <w:t>按照验收要求</w:t>
      </w:r>
      <w:r>
        <w:t>，福建港丰能源有限公司于202</w:t>
      </w:r>
      <w:r>
        <w:rPr>
          <w:rFonts w:hint="eastAsia"/>
          <w:lang w:val="en-US" w:eastAsia="zh-CN"/>
        </w:rPr>
        <w:t>3</w:t>
      </w:r>
      <w:r>
        <w:t>年</w:t>
      </w:r>
      <w:r>
        <w:rPr>
          <w:rFonts w:hint="eastAsia"/>
          <w:lang w:val="en-US"/>
        </w:rPr>
        <w:t>2</w:t>
      </w:r>
      <w:r>
        <w:t>月委托福建省环境科学研究院针对湄洲湾港斗尾港区斗尾作业区港丰石化仓储项目开展竣工环境保护验收工作。本项目竣工验收</w:t>
      </w:r>
      <w:r>
        <w:rPr>
          <w:lang w:val="en-US"/>
        </w:rPr>
        <w:t>监测</w:t>
      </w:r>
      <w:r>
        <w:t>期间，生产负荷稳定、各项环保设施运行正常，满足环保竣工验收条件要求，我院依据现场</w:t>
      </w:r>
      <w:r>
        <w:rPr>
          <w:rFonts w:hint="eastAsia"/>
          <w:lang w:eastAsia="zh-CN"/>
        </w:rPr>
        <w:t>核查和</w:t>
      </w:r>
      <w:r>
        <w:t>验收监测结果，编制了本报告。</w:t>
      </w:r>
    </w:p>
    <w:p>
      <w:pPr>
        <w:pStyle w:val="23"/>
        <w:bidi w:val="0"/>
      </w:pPr>
      <w:r>
        <w:rPr>
          <w:rFonts w:hint="eastAsia"/>
          <w:lang w:eastAsia="zh-CN"/>
        </w:rPr>
        <w:t>表</w:t>
      </w:r>
      <w:r>
        <w:rPr>
          <w:rFonts w:hint="eastAsia"/>
          <w:lang w:val="en-US" w:eastAsia="zh-CN"/>
        </w:rPr>
        <w:t xml:space="preserve">1.1.1 </w:t>
      </w:r>
      <w:r>
        <w:rPr>
          <w:rFonts w:hint="eastAsia"/>
          <w:lang w:eastAsia="zh-CN"/>
        </w:rPr>
        <w:t>项目</w:t>
      </w:r>
      <w:r>
        <w:rPr>
          <w:rFonts w:hint="eastAsia"/>
        </w:rPr>
        <w:t>环评审批和验收情况</w:t>
      </w:r>
      <w:r>
        <w:t>一览表</w:t>
      </w:r>
    </w:p>
    <w:tbl>
      <w:tblPr>
        <w:tblStyle w:val="14"/>
        <w:tblW w:w="851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5"/>
        <w:gridCol w:w="1926"/>
        <w:gridCol w:w="1926"/>
        <w:gridCol w:w="1926"/>
        <w:gridCol w:w="19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5" w:type="dxa"/>
            <w:noWrap w:val="0"/>
            <w:vAlign w:val="center"/>
          </w:tcPr>
          <w:p>
            <w:pPr>
              <w:pStyle w:val="24"/>
              <w:bidi w:val="0"/>
            </w:pPr>
            <w:r>
              <w:rPr>
                <w:rFonts w:hint="eastAsia"/>
              </w:rPr>
              <w:t>项目情况</w:t>
            </w:r>
          </w:p>
        </w:tc>
        <w:tc>
          <w:tcPr>
            <w:tcW w:w="1926" w:type="dxa"/>
            <w:noWrap w:val="0"/>
            <w:vAlign w:val="center"/>
          </w:tcPr>
          <w:p>
            <w:pPr>
              <w:pStyle w:val="24"/>
              <w:bidi w:val="0"/>
            </w:pPr>
            <w:r>
              <w:rPr>
                <w:rFonts w:hint="eastAsia"/>
                <w:lang w:val="en-US"/>
              </w:rPr>
              <w:t>港丰码头工程</w:t>
            </w:r>
          </w:p>
        </w:tc>
        <w:tc>
          <w:tcPr>
            <w:tcW w:w="1926" w:type="dxa"/>
            <w:noWrap w:val="0"/>
            <w:vAlign w:val="center"/>
          </w:tcPr>
          <w:p>
            <w:pPr>
              <w:pStyle w:val="24"/>
              <w:bidi w:val="0"/>
            </w:pPr>
            <w:r>
              <w:rPr>
                <w:rFonts w:hint="eastAsia"/>
              </w:rPr>
              <w:t>港丰石化仓储</w:t>
            </w:r>
            <w:r>
              <w:rPr>
                <w:rFonts w:hint="eastAsia"/>
                <w:lang w:eastAsia="zh-CN"/>
              </w:rPr>
              <w:t>项目</w:t>
            </w:r>
          </w:p>
        </w:tc>
        <w:tc>
          <w:tcPr>
            <w:tcW w:w="1926" w:type="dxa"/>
            <w:noWrap w:val="0"/>
            <w:vAlign w:val="center"/>
          </w:tcPr>
          <w:p>
            <w:pPr>
              <w:pStyle w:val="24"/>
              <w:bidi w:val="0"/>
            </w:pPr>
            <w:r>
              <w:rPr>
                <w:rFonts w:hint="eastAsia"/>
              </w:rPr>
              <w:t>港丰石化仓储项目</w:t>
            </w:r>
            <w:r>
              <w:rPr>
                <w:rFonts w:hint="eastAsia"/>
                <w:lang w:eastAsia="zh-CN"/>
              </w:rPr>
              <w:t>（二期）</w:t>
            </w:r>
          </w:p>
        </w:tc>
        <w:tc>
          <w:tcPr>
            <w:tcW w:w="1926" w:type="dxa"/>
            <w:noWrap w:val="0"/>
            <w:vAlign w:val="center"/>
          </w:tcPr>
          <w:p>
            <w:pPr>
              <w:pStyle w:val="24"/>
              <w:bidi w:val="0"/>
              <w:rPr>
                <w:rFonts w:hint="eastAsia"/>
                <w:lang w:eastAsia="zh-CN"/>
              </w:rPr>
            </w:pPr>
            <w:r>
              <w:rPr>
                <w:rFonts w:hint="eastAsia"/>
                <w:lang w:eastAsia="zh-CN"/>
              </w:rPr>
              <w:t>货种调整改扩建</w:t>
            </w:r>
          </w:p>
          <w:p>
            <w:pPr>
              <w:pStyle w:val="24"/>
              <w:bidi w:val="0"/>
              <w:rPr>
                <w:rFonts w:hint="eastAsia" w:eastAsia="宋体"/>
                <w:lang w:eastAsia="zh-CN"/>
              </w:rPr>
            </w:pPr>
            <w:r>
              <w:rPr>
                <w:rFonts w:hint="eastAsia"/>
                <w:lang w:eastAsia="zh-CN"/>
              </w:rPr>
              <w:t>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5" w:type="dxa"/>
            <w:noWrap w:val="0"/>
            <w:vAlign w:val="center"/>
          </w:tcPr>
          <w:p>
            <w:pPr>
              <w:pStyle w:val="24"/>
              <w:bidi w:val="0"/>
            </w:pPr>
            <w:r>
              <w:rPr>
                <w:rFonts w:hint="eastAsia"/>
              </w:rPr>
              <w:t>工程规模</w:t>
            </w:r>
          </w:p>
        </w:tc>
        <w:tc>
          <w:tcPr>
            <w:tcW w:w="1926" w:type="dxa"/>
            <w:noWrap w:val="0"/>
            <w:vAlign w:val="center"/>
          </w:tcPr>
          <w:p>
            <w:pPr>
              <w:pStyle w:val="24"/>
              <w:bidi w:val="0"/>
            </w:pPr>
            <w:r>
              <w:rPr>
                <w:rFonts w:hint="eastAsia"/>
                <w:lang w:val="en-US"/>
              </w:rPr>
              <w:t>3万吨级石化泊位</w:t>
            </w:r>
            <w:r>
              <w:rPr>
                <w:rFonts w:hint="eastAsia"/>
                <w:lang w:val="en-US" w:eastAsia="zh-CN"/>
              </w:rPr>
              <w:t>（同时兼靠1艘3000吨级和1艘5000吨级船舶）</w:t>
            </w:r>
            <w:r>
              <w:rPr>
                <w:rFonts w:hint="eastAsia"/>
                <w:lang w:val="en-US"/>
              </w:rPr>
              <w:t>一个，包括码头工作平台、栈桥、码头装卸设施、物料输送管线以及相应的配套设施。码头泊位岸线长320m，年设计吞吐量</w:t>
            </w:r>
            <w:r>
              <w:rPr>
                <w:lang w:val="en-US"/>
              </w:rPr>
              <w:t>157.5</w:t>
            </w:r>
            <w:r>
              <w:rPr>
                <w:rFonts w:hint="eastAsia"/>
                <w:lang w:val="en-US"/>
              </w:rPr>
              <w:t>万吨，</w:t>
            </w:r>
            <w:r>
              <w:rPr>
                <w:rFonts w:hint="eastAsia"/>
              </w:rPr>
              <w:t>设计货种为石脑油、溶剂油等油品类6种，丙酮、丁酮、二氯甲烷等化工品21种。</w:t>
            </w:r>
          </w:p>
        </w:tc>
        <w:tc>
          <w:tcPr>
            <w:tcW w:w="1926" w:type="dxa"/>
            <w:noWrap w:val="0"/>
            <w:vAlign w:val="center"/>
          </w:tcPr>
          <w:p>
            <w:pPr>
              <w:pStyle w:val="24"/>
              <w:bidi w:val="0"/>
            </w:pPr>
            <w:r>
              <w:rPr>
                <w:rFonts w:hint="eastAsia"/>
              </w:rPr>
              <w:t>库区主体工程、配套工程及环保工程，储罐的建设库容为3</w:t>
            </w:r>
            <w:r>
              <w:t>8.83</w:t>
            </w:r>
            <w:r>
              <w:rPr>
                <w:rFonts w:hint="eastAsia"/>
              </w:rPr>
              <w:t>万m</w:t>
            </w:r>
            <w:r>
              <w:rPr>
                <w:vertAlign w:val="superscript"/>
              </w:rPr>
              <w:t>3</w:t>
            </w:r>
            <w:r>
              <w:rPr>
                <w:rFonts w:hint="eastAsia"/>
              </w:rPr>
              <w:t>，其中油品罐组总容量1</w:t>
            </w:r>
            <w:r>
              <w:t>8.88</w:t>
            </w:r>
            <w:r>
              <w:rPr>
                <w:rFonts w:hint="eastAsia"/>
              </w:rPr>
              <w:t>万m</w:t>
            </w:r>
            <w:r>
              <w:rPr>
                <w:vertAlign w:val="superscript"/>
              </w:rPr>
              <w:t>3</w:t>
            </w:r>
            <w:r>
              <w:rPr>
                <w:rFonts w:hint="eastAsia"/>
              </w:rPr>
              <w:t>，化工品罐组总容量1</w:t>
            </w:r>
            <w:r>
              <w:t>9.95</w:t>
            </w:r>
            <w:r>
              <w:rPr>
                <w:rFonts w:hint="eastAsia"/>
              </w:rPr>
              <w:t>万m</w:t>
            </w:r>
            <w:r>
              <w:rPr>
                <w:vertAlign w:val="superscript"/>
              </w:rPr>
              <w:t>3</w:t>
            </w:r>
            <w:r>
              <w:rPr>
                <w:rFonts w:hint="eastAsia"/>
              </w:rPr>
              <w:t>。设计货种与港丰码头工程一致。</w:t>
            </w:r>
          </w:p>
        </w:tc>
        <w:tc>
          <w:tcPr>
            <w:tcW w:w="1926" w:type="dxa"/>
            <w:noWrap w:val="0"/>
            <w:vAlign w:val="center"/>
          </w:tcPr>
          <w:p>
            <w:pPr>
              <w:pStyle w:val="24"/>
              <w:bidi w:val="0"/>
            </w:pPr>
            <w:r>
              <w:rPr>
                <w:lang w:val="en-US"/>
              </w:rPr>
              <w:t>对进出港的货种进行扩增，扩大配套的储罐储存能力和储存容量，即在</w:t>
            </w:r>
            <w:r>
              <w:rPr>
                <w:rFonts w:hint="eastAsia"/>
                <w:lang w:val="en-US"/>
              </w:rPr>
              <w:t>原有</w:t>
            </w:r>
            <w:r>
              <w:rPr>
                <w:lang w:val="en-US"/>
              </w:rPr>
              <w:t>27种产品的基础上新增27种产品，同时库容由原来审批的38.83万m</w:t>
            </w:r>
            <w:r>
              <w:rPr>
                <w:vertAlign w:val="superscript"/>
                <w:lang w:val="en-US"/>
              </w:rPr>
              <w:t>3</w:t>
            </w:r>
            <w:r>
              <w:rPr>
                <w:lang w:val="en-US"/>
              </w:rPr>
              <w:t>扩至</w:t>
            </w:r>
            <w:r>
              <w:rPr>
                <w:lang w:val="en-GB"/>
              </w:rPr>
              <w:t>44.35万</w:t>
            </w:r>
            <w:r>
              <w:rPr>
                <w:lang w:val="en-US"/>
              </w:rPr>
              <w:t>m</w:t>
            </w:r>
            <w:r>
              <w:rPr>
                <w:vertAlign w:val="superscript"/>
                <w:lang w:val="en-US"/>
              </w:rPr>
              <w:t>3</w:t>
            </w:r>
            <w:r>
              <w:rPr>
                <w:lang w:val="en-GB"/>
              </w:rPr>
              <w:t>，储罐数量由原来的</w:t>
            </w:r>
            <w:r>
              <w:rPr>
                <w:lang w:val="en-US"/>
              </w:rPr>
              <w:t>90座减少至61座</w:t>
            </w:r>
            <w:r>
              <w:rPr>
                <w:rFonts w:hint="eastAsia"/>
                <w:lang w:val="en-US" w:eastAsia="zh-CN"/>
              </w:rPr>
              <w:t>（单罐容量增加），周转量2</w:t>
            </w:r>
            <w:r>
              <w:rPr>
                <w:lang w:val="en-US" w:eastAsia="zh-CN"/>
              </w:rPr>
              <w:t>88</w:t>
            </w:r>
            <w:r>
              <w:rPr>
                <w:rFonts w:hint="eastAsia"/>
                <w:lang w:val="en-US" w:eastAsia="zh-CN"/>
              </w:rPr>
              <w:t>万吨/年。</w:t>
            </w:r>
          </w:p>
        </w:tc>
        <w:tc>
          <w:tcPr>
            <w:tcW w:w="1926" w:type="dxa"/>
            <w:noWrap w:val="0"/>
            <w:vAlign w:val="center"/>
          </w:tcPr>
          <w:p>
            <w:pPr>
              <w:pStyle w:val="24"/>
              <w:bidi w:val="0"/>
              <w:rPr>
                <w:rFonts w:hint="eastAsia" w:eastAsia="宋体"/>
                <w:lang w:val="en-US" w:eastAsia="zh-CN"/>
              </w:rPr>
            </w:pPr>
            <w:r>
              <w:rPr>
                <w:rFonts w:hint="eastAsia"/>
                <w:lang w:val="en-US" w:eastAsia="zh-Hans"/>
              </w:rPr>
              <w:t>在现有3万吨级码头货种基础上新增3#喷气燃料、抽余油等货种，码头货种扩增至74种；其后方库区在现有储存货种基础上新增变压器油、碳酸乙烯酯等货种，后方仓储区货种扩增至74种”。</w:t>
            </w:r>
            <w:r>
              <w:rPr>
                <w:rFonts w:hint="eastAsia"/>
                <w:lang w:val="en-US" w:eastAsia="zh-CN"/>
              </w:rPr>
              <w:t>码头年吞吐量由157.5万吨增加至178万吨。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5" w:type="dxa"/>
            <w:noWrap w:val="0"/>
            <w:vAlign w:val="center"/>
          </w:tcPr>
          <w:p>
            <w:pPr>
              <w:pStyle w:val="24"/>
              <w:bidi w:val="0"/>
            </w:pPr>
            <w:r>
              <w:rPr>
                <w:rFonts w:hint="eastAsia"/>
              </w:rPr>
              <w:t>环评审批情况</w:t>
            </w:r>
          </w:p>
        </w:tc>
        <w:tc>
          <w:tcPr>
            <w:tcW w:w="1926" w:type="dxa"/>
            <w:noWrap w:val="0"/>
            <w:vAlign w:val="center"/>
          </w:tcPr>
          <w:p>
            <w:pPr>
              <w:pStyle w:val="24"/>
              <w:bidi w:val="0"/>
            </w:pPr>
            <w:r>
              <w:rPr>
                <w:lang w:val="en-US"/>
              </w:rPr>
              <w:t>2012</w:t>
            </w:r>
            <w:r>
              <w:rPr>
                <w:rFonts w:hint="eastAsia"/>
                <w:lang w:val="en-US"/>
              </w:rPr>
              <w:t>年</w:t>
            </w:r>
            <w:r>
              <w:rPr>
                <w:lang w:val="en-US"/>
              </w:rPr>
              <w:t>6</w:t>
            </w:r>
            <w:r>
              <w:rPr>
                <w:rFonts w:hint="eastAsia"/>
                <w:lang w:val="en-US"/>
              </w:rPr>
              <w:t>月</w:t>
            </w:r>
            <w:r>
              <w:rPr>
                <w:rFonts w:hint="eastAsia"/>
                <w:lang w:val="en-US" w:eastAsia="zh-CN"/>
              </w:rPr>
              <w:t>获得</w:t>
            </w:r>
            <w:r>
              <w:rPr>
                <w:rFonts w:hint="eastAsia"/>
                <w:lang w:val="en-US"/>
              </w:rPr>
              <w:t>原福建省环保厅批复</w:t>
            </w:r>
            <w:r>
              <w:rPr>
                <w:rFonts w:hint="eastAsia"/>
                <w:lang w:val="en-US" w:eastAsia="zh-CN"/>
              </w:rPr>
              <w:t>（闽环保评[2012]68号）</w:t>
            </w:r>
          </w:p>
        </w:tc>
        <w:tc>
          <w:tcPr>
            <w:tcW w:w="1926" w:type="dxa"/>
            <w:noWrap w:val="0"/>
            <w:vAlign w:val="center"/>
          </w:tcPr>
          <w:p>
            <w:pPr>
              <w:pStyle w:val="24"/>
              <w:bidi w:val="0"/>
            </w:pPr>
            <w:r>
              <w:t>2013年1月</w:t>
            </w:r>
            <w:r>
              <w:rPr>
                <w:rFonts w:hint="eastAsia"/>
                <w:lang w:eastAsia="zh-CN"/>
              </w:rPr>
              <w:t>获得</w:t>
            </w:r>
            <w:r>
              <w:rPr>
                <w:rFonts w:hint="eastAsia"/>
              </w:rPr>
              <w:t>原</w:t>
            </w:r>
            <w:r>
              <w:t>惠安县</w:t>
            </w:r>
            <w:r>
              <w:rPr>
                <w:rFonts w:hint="eastAsia"/>
              </w:rPr>
              <w:t>环保局批复(</w:t>
            </w:r>
            <w:r>
              <w:rPr>
                <w:lang w:val="en-US"/>
              </w:rPr>
              <w:t>惠环保[2013]6号</w:t>
            </w:r>
            <w:r>
              <w:rPr>
                <w:rFonts w:hint="eastAsia"/>
              </w:rPr>
              <w:t>)</w:t>
            </w:r>
          </w:p>
        </w:tc>
        <w:tc>
          <w:tcPr>
            <w:tcW w:w="1926" w:type="dxa"/>
            <w:noWrap w:val="0"/>
            <w:vAlign w:val="center"/>
          </w:tcPr>
          <w:p>
            <w:pPr>
              <w:pStyle w:val="24"/>
              <w:bidi w:val="0"/>
            </w:pPr>
            <w:r>
              <w:t>2020年</w:t>
            </w:r>
            <w:r>
              <w:rPr>
                <w:rFonts w:hint="eastAsia"/>
              </w:rPr>
              <w:t>8</w:t>
            </w:r>
            <w:r>
              <w:t>月</w:t>
            </w:r>
            <w:r>
              <w:rPr>
                <w:rFonts w:hint="eastAsia"/>
                <w:lang w:eastAsia="zh-CN"/>
              </w:rPr>
              <w:t>获得</w:t>
            </w:r>
            <w:r>
              <w:t>泉州市生态环境局</w:t>
            </w:r>
            <w:r>
              <w:rPr>
                <w:rFonts w:hint="eastAsia"/>
              </w:rPr>
              <w:t>批复(</w:t>
            </w:r>
            <w:r>
              <w:rPr>
                <w:lang w:val="en-US"/>
              </w:rPr>
              <w:t>泉惠环评[2020]书5号</w:t>
            </w:r>
            <w:r>
              <w:rPr>
                <w:rFonts w:hint="eastAsia"/>
              </w:rPr>
              <w:t>)</w:t>
            </w:r>
          </w:p>
        </w:tc>
        <w:tc>
          <w:tcPr>
            <w:tcW w:w="1926" w:type="dxa"/>
            <w:noWrap w:val="0"/>
            <w:vAlign w:val="center"/>
          </w:tcPr>
          <w:p>
            <w:pPr>
              <w:pStyle w:val="24"/>
              <w:bidi w:val="0"/>
            </w:pPr>
            <w:r>
              <w:rPr>
                <w:rFonts w:hint="eastAsia"/>
                <w:lang w:val="en-US" w:eastAsia="zh-CN"/>
              </w:rPr>
              <w:t>2022年7月获得泉州市生态环境局批复</w:t>
            </w:r>
            <w:r>
              <w:rPr>
                <w:rFonts w:hint="eastAsia"/>
                <w:lang w:eastAsia="zh-CN"/>
              </w:rPr>
              <w:t>泉惠环评</w:t>
            </w:r>
            <w:r>
              <w:t>〔20</w:t>
            </w:r>
            <w:r>
              <w:rPr>
                <w:rFonts w:hint="eastAsia"/>
                <w:lang w:val="en-US" w:eastAsia="zh-CN"/>
              </w:rPr>
              <w:t>22</w:t>
            </w:r>
            <w:r>
              <w:t>〕</w:t>
            </w:r>
            <w:r>
              <w:rPr>
                <w:rFonts w:hint="eastAsia"/>
                <w:lang w:eastAsia="zh-CN"/>
              </w:rPr>
              <w:t>书</w:t>
            </w:r>
            <w:r>
              <w:rPr>
                <w:rFonts w:hint="eastAsia"/>
                <w:lang w:val="en-US" w:eastAsia="zh-CN"/>
              </w:rPr>
              <w:t>2</w:t>
            </w:r>
            <w:r>
              <w:t>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15" w:type="dxa"/>
            <w:noWrap w:val="0"/>
            <w:vAlign w:val="center"/>
          </w:tcPr>
          <w:p>
            <w:pPr>
              <w:pStyle w:val="24"/>
              <w:bidi w:val="0"/>
            </w:pPr>
            <w:r>
              <w:rPr>
                <w:rFonts w:hint="eastAsia"/>
              </w:rPr>
              <w:t>验收情况</w:t>
            </w:r>
          </w:p>
        </w:tc>
        <w:tc>
          <w:tcPr>
            <w:tcW w:w="1926" w:type="dxa"/>
            <w:noWrap w:val="0"/>
            <w:vAlign w:val="center"/>
          </w:tcPr>
          <w:p>
            <w:pPr>
              <w:pStyle w:val="24"/>
              <w:bidi w:val="0"/>
            </w:pPr>
            <w:bookmarkStart w:id="57" w:name="_Hlk100475554"/>
            <w:r>
              <w:rPr>
                <w:rFonts w:hint="eastAsia"/>
                <w:lang w:eastAsia="zh-CN"/>
              </w:rPr>
              <w:t>2</w:t>
            </w:r>
            <w:r>
              <w:rPr>
                <w:lang w:eastAsia="zh-CN"/>
              </w:rPr>
              <w:t>022</w:t>
            </w:r>
            <w:r>
              <w:rPr>
                <w:rFonts w:hint="eastAsia"/>
                <w:lang w:eastAsia="zh-CN"/>
              </w:rPr>
              <w:t>年</w:t>
            </w:r>
            <w:r>
              <w:rPr>
                <w:lang w:eastAsia="zh-CN"/>
              </w:rPr>
              <w:t>3</w:t>
            </w:r>
            <w:r>
              <w:rPr>
                <w:rFonts w:hint="eastAsia"/>
                <w:lang w:eastAsia="zh-CN"/>
              </w:rPr>
              <w:t>月</w:t>
            </w:r>
            <w:r>
              <w:rPr>
                <w:lang w:eastAsia="zh-CN"/>
              </w:rPr>
              <w:t>31</w:t>
            </w:r>
            <w:r>
              <w:rPr>
                <w:rFonts w:hint="eastAsia"/>
                <w:lang w:eastAsia="zh-CN"/>
              </w:rPr>
              <w:t>日企业已组织</w:t>
            </w:r>
            <w:r>
              <w:rPr>
                <w:rFonts w:hint="eastAsia"/>
              </w:rPr>
              <w:t>竣工环保验收</w:t>
            </w:r>
            <w:r>
              <w:rPr>
                <w:rFonts w:hint="eastAsia"/>
                <w:lang w:eastAsia="zh-CN"/>
              </w:rPr>
              <w:t>会议，验收组同意项目通过竣工环保验收。</w:t>
            </w:r>
            <w:bookmarkEnd w:id="57"/>
          </w:p>
        </w:tc>
        <w:tc>
          <w:tcPr>
            <w:tcW w:w="1926" w:type="dxa"/>
            <w:noWrap w:val="0"/>
            <w:vAlign w:val="center"/>
          </w:tcPr>
          <w:p>
            <w:pPr>
              <w:pStyle w:val="24"/>
              <w:bidi w:val="0"/>
              <w:rPr>
                <w:lang w:eastAsia="zh-CN"/>
              </w:rPr>
            </w:pPr>
            <w:r>
              <w:rPr>
                <w:rFonts w:hint="eastAsia"/>
                <w:lang w:eastAsia="zh-CN"/>
              </w:rPr>
              <w:t>2</w:t>
            </w:r>
            <w:r>
              <w:rPr>
                <w:lang w:eastAsia="zh-CN"/>
              </w:rPr>
              <w:t>022</w:t>
            </w:r>
            <w:r>
              <w:rPr>
                <w:rFonts w:hint="eastAsia"/>
                <w:lang w:eastAsia="zh-CN"/>
              </w:rPr>
              <w:t>年</w:t>
            </w:r>
            <w:r>
              <w:rPr>
                <w:lang w:eastAsia="zh-CN"/>
              </w:rPr>
              <w:t>3</w:t>
            </w:r>
            <w:r>
              <w:rPr>
                <w:rFonts w:hint="eastAsia"/>
                <w:lang w:eastAsia="zh-CN"/>
              </w:rPr>
              <w:t>月</w:t>
            </w:r>
            <w:r>
              <w:rPr>
                <w:lang w:eastAsia="zh-CN"/>
              </w:rPr>
              <w:t>31</w:t>
            </w:r>
            <w:r>
              <w:rPr>
                <w:rFonts w:hint="eastAsia"/>
                <w:lang w:eastAsia="zh-CN"/>
              </w:rPr>
              <w:t>日企业已组织</w:t>
            </w:r>
            <w:bookmarkStart w:id="58" w:name="_Hlk100475606"/>
            <w:r>
              <w:rPr>
                <w:rFonts w:hint="eastAsia"/>
                <w:lang w:val="en-US"/>
              </w:rPr>
              <w:t>港丰石化仓储项目</w:t>
            </w:r>
            <w:r>
              <w:rPr>
                <w:rFonts w:hint="eastAsia"/>
                <w:lang w:val="en-US" w:eastAsia="zh-CN"/>
              </w:rPr>
              <w:t>（一期）</w:t>
            </w:r>
            <w:bookmarkEnd w:id="58"/>
            <w:r>
              <w:rPr>
                <w:rFonts w:hint="eastAsia"/>
                <w:lang w:val="en-US"/>
              </w:rPr>
              <w:t>阶段性</w:t>
            </w:r>
            <w:r>
              <w:rPr>
                <w:rFonts w:hint="eastAsia"/>
              </w:rPr>
              <w:t>竣工环保验收</w:t>
            </w:r>
            <w:r>
              <w:rPr>
                <w:rFonts w:hint="eastAsia"/>
                <w:lang w:eastAsia="zh-CN"/>
              </w:rPr>
              <w:t>会议，验收组同意项目通过竣工环保验收。</w:t>
            </w:r>
          </w:p>
        </w:tc>
        <w:tc>
          <w:tcPr>
            <w:tcW w:w="1926" w:type="dxa"/>
            <w:noWrap w:val="0"/>
            <w:vAlign w:val="center"/>
          </w:tcPr>
          <w:p>
            <w:pPr>
              <w:pStyle w:val="24"/>
              <w:bidi w:val="0"/>
              <w:rPr>
                <w:rFonts w:hint="eastAsia"/>
                <w:lang w:eastAsia="zh-CN"/>
              </w:rPr>
            </w:pPr>
            <w:r>
              <w:rPr>
                <w:rFonts w:hint="eastAsia"/>
                <w:lang w:eastAsia="zh-CN"/>
              </w:rPr>
              <w:t>2022年</w:t>
            </w:r>
            <w:r>
              <w:rPr>
                <w:rFonts w:hint="eastAsia"/>
                <w:lang w:val="en-US" w:eastAsia="zh-CN"/>
              </w:rPr>
              <w:t>11</w:t>
            </w:r>
            <w:r>
              <w:rPr>
                <w:rFonts w:hint="eastAsia"/>
                <w:lang w:eastAsia="zh-CN"/>
              </w:rPr>
              <w:t>月3</w:t>
            </w:r>
            <w:r>
              <w:rPr>
                <w:rFonts w:hint="eastAsia"/>
                <w:lang w:val="en-US" w:eastAsia="zh-CN"/>
              </w:rPr>
              <w:t>0</w:t>
            </w:r>
            <w:r>
              <w:rPr>
                <w:rFonts w:hint="eastAsia"/>
                <w:lang w:eastAsia="zh-CN"/>
              </w:rPr>
              <w:t>日企业已组织</w:t>
            </w:r>
            <w:r>
              <w:rPr>
                <w:rFonts w:hint="eastAsia"/>
                <w:lang w:val="en-US" w:eastAsia="zh-CN"/>
              </w:rPr>
              <w:t>港丰石化仓储项目（二期）</w:t>
            </w:r>
            <w:r>
              <w:rPr>
                <w:rFonts w:hint="eastAsia"/>
                <w:lang w:eastAsia="zh-CN"/>
              </w:rPr>
              <w:t>竣工环保验收会议，验收组同意项目通过竣工环保验收。</w:t>
            </w:r>
          </w:p>
        </w:tc>
        <w:tc>
          <w:tcPr>
            <w:tcW w:w="1926" w:type="dxa"/>
            <w:noWrap w:val="0"/>
            <w:vAlign w:val="center"/>
          </w:tcPr>
          <w:p>
            <w:pPr>
              <w:pStyle w:val="24"/>
              <w:bidi w:val="0"/>
              <w:rPr>
                <w:rFonts w:hint="eastAsia"/>
                <w:lang w:eastAsia="zh-CN"/>
              </w:rPr>
            </w:pPr>
            <w:r>
              <w:rPr>
                <w:rFonts w:hint="eastAsia"/>
                <w:lang w:eastAsia="zh-CN"/>
              </w:rPr>
              <w:t>正在开展竣工环保验收工作。</w:t>
            </w:r>
          </w:p>
        </w:tc>
      </w:tr>
    </w:tbl>
    <w:p>
      <w:pPr>
        <w:pStyle w:val="19"/>
        <w:ind w:firstLine="480"/>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keepNext/>
        <w:keepLines/>
        <w:tabs>
          <w:tab w:val="left" w:pos="1960"/>
        </w:tabs>
        <w:spacing w:before="156" w:beforeLines="50" w:after="156" w:afterLines="50" w:line="360" w:lineRule="auto"/>
        <w:jc w:val="left"/>
        <w:outlineLvl w:val="0"/>
        <w:rPr>
          <w:rStyle w:val="20"/>
          <w:rFonts w:ascii="Times New Roman" w:hAnsi="Times New Roman" w:eastAsia="黑体"/>
        </w:rPr>
      </w:pPr>
      <w:bookmarkStart w:id="59" w:name="_Toc25288"/>
      <w:bookmarkStart w:id="60" w:name="_Toc5101_WPSOffice_Level1"/>
      <w:bookmarkStart w:id="61" w:name="_Toc26199487"/>
      <w:r>
        <w:rPr>
          <w:rStyle w:val="20"/>
          <w:rFonts w:ascii="Times New Roman" w:hAnsi="Times New Roman" w:eastAsia="黑体"/>
        </w:rPr>
        <w:t>2. 验收依据</w:t>
      </w:r>
      <w:bookmarkEnd w:id="59"/>
      <w:bookmarkEnd w:id="60"/>
    </w:p>
    <w:p>
      <w:pPr>
        <w:pStyle w:val="17"/>
      </w:pPr>
      <w:bookmarkStart w:id="62" w:name="_Toc19246"/>
      <w:bookmarkStart w:id="63" w:name="_Toc15529"/>
      <w:bookmarkStart w:id="64" w:name="_Toc59319905"/>
      <w:bookmarkStart w:id="65" w:name="_Toc747"/>
      <w:bookmarkStart w:id="66" w:name="_Toc456084765"/>
      <w:bookmarkStart w:id="67" w:name="_Toc32616"/>
      <w:bookmarkStart w:id="68" w:name="_Toc485972383"/>
      <w:bookmarkStart w:id="69" w:name="_Toc485180061"/>
      <w:bookmarkStart w:id="70" w:name="_Toc25706_WPSOffice_Level1"/>
      <w:bookmarkStart w:id="71" w:name="_Toc65922433"/>
      <w:bookmarkStart w:id="72" w:name="_Toc32550"/>
      <w:bookmarkStart w:id="73" w:name="_Toc8021"/>
      <w:bookmarkStart w:id="74" w:name="_Toc15371"/>
      <w:bookmarkStart w:id="75" w:name="_Toc17399"/>
      <w:bookmarkStart w:id="76" w:name="_Toc2704404"/>
      <w:bookmarkStart w:id="77" w:name="_Toc486684291"/>
      <w:bookmarkStart w:id="78" w:name="_Toc14271"/>
      <w:bookmarkStart w:id="79" w:name="_Toc18882_WPSOffice_Level1"/>
      <w:bookmarkStart w:id="80" w:name="_Toc20486_WPSOffice_Level1"/>
      <w:bookmarkStart w:id="81" w:name="_Toc31453"/>
      <w:r>
        <w:t>2.1</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Pr>
          <w:rFonts w:hint="eastAsia"/>
          <w:lang w:val="en-US" w:eastAsia="zh-CN"/>
        </w:rPr>
        <w:t xml:space="preserve"> </w:t>
      </w:r>
      <w:r>
        <w:t>法规</w:t>
      </w:r>
      <w:bookmarkEnd w:id="61"/>
      <w:bookmarkEnd w:id="80"/>
      <w:r>
        <w:t>政策</w:t>
      </w:r>
      <w:bookmarkEnd w:id="81"/>
    </w:p>
    <w:p>
      <w:pPr>
        <w:pStyle w:val="19"/>
        <w:ind w:firstLine="480"/>
      </w:pPr>
      <w:r>
        <w:t>（</w:t>
      </w:r>
      <w:r>
        <w:rPr>
          <w:lang w:val="en-US"/>
        </w:rPr>
        <w:t>1</w:t>
      </w:r>
      <w:r>
        <w:t>）《中华人民共和国环境保护法》，2015年1月1日施行；</w:t>
      </w:r>
    </w:p>
    <w:p>
      <w:pPr>
        <w:pStyle w:val="19"/>
        <w:ind w:firstLine="480"/>
      </w:pPr>
      <w:r>
        <w:t>（2）《建设项目环境保护管理条例》（国务院令第682号）2017年10月1日起实施；</w:t>
      </w:r>
    </w:p>
    <w:p>
      <w:pPr>
        <w:pStyle w:val="19"/>
        <w:ind w:firstLine="480"/>
      </w:pPr>
      <w:r>
        <w:t>（</w:t>
      </w:r>
      <w:r>
        <w:rPr>
          <w:rFonts w:hint="default"/>
        </w:rPr>
        <w:t>3</w:t>
      </w:r>
      <w:r>
        <w:t>）《关于加强建设项目竣工环境保护验收监测工作中污染事故防范环境管理检查工作的通知》（中国环境监测总站，总站验字〔2005〕188号）；</w:t>
      </w:r>
    </w:p>
    <w:p>
      <w:pPr>
        <w:pStyle w:val="19"/>
        <w:ind w:firstLine="480"/>
      </w:pPr>
      <w:r>
        <w:t>（</w:t>
      </w:r>
      <w:r>
        <w:rPr>
          <w:rFonts w:hint="default"/>
        </w:rPr>
        <w:t>4</w:t>
      </w:r>
      <w:r>
        <w:t>）《环境保护部建设项目“三同时”监督检查和竣工环境保护验收管理规程》（环境保护部环发〔2009〕150号）；</w:t>
      </w:r>
    </w:p>
    <w:p>
      <w:pPr>
        <w:pStyle w:val="19"/>
        <w:ind w:firstLine="480"/>
      </w:pPr>
      <w:r>
        <w:t>（</w:t>
      </w:r>
      <w:r>
        <w:rPr>
          <w:rFonts w:hint="default"/>
        </w:rPr>
        <w:t>5</w:t>
      </w:r>
      <w:r>
        <w:t>）《关于印发建设项目竣工环境保护验收现场检查及审查要点的通知》（环办</w:t>
      </w:r>
      <w:r>
        <w:rPr>
          <w:rFonts w:hint="eastAsia"/>
        </w:rPr>
        <w:t>〔2015〕</w:t>
      </w:r>
      <w:r>
        <w:t>113号）；</w:t>
      </w:r>
    </w:p>
    <w:p>
      <w:pPr>
        <w:pStyle w:val="19"/>
        <w:ind w:firstLine="480"/>
      </w:pPr>
      <w:r>
        <w:t>（</w:t>
      </w:r>
      <w:r>
        <w:rPr>
          <w:rFonts w:hint="default"/>
        </w:rPr>
        <w:t>6</w:t>
      </w:r>
      <w:r>
        <w:t>）《建设项目竣工环境保护验收暂行办法》（国环规环评〔2017〕4号）；</w:t>
      </w:r>
    </w:p>
    <w:p>
      <w:pPr>
        <w:pStyle w:val="19"/>
        <w:ind w:firstLine="480"/>
      </w:pPr>
      <w:r>
        <w:t>（</w:t>
      </w:r>
      <w:r>
        <w:rPr>
          <w:rFonts w:hint="default"/>
        </w:rPr>
        <w:t>7</w:t>
      </w:r>
      <w:r>
        <w:t>）《福建省环保厅关于建设项目配套建设的噪声、固体废物污染防治设施验收有关事项的通知》（闽环保评〔2018〕24号）；</w:t>
      </w:r>
    </w:p>
    <w:p>
      <w:pPr>
        <w:pStyle w:val="19"/>
        <w:ind w:firstLine="480"/>
      </w:pPr>
      <w:r>
        <w:t>（</w:t>
      </w:r>
      <w:r>
        <w:rPr>
          <w:rFonts w:hint="default"/>
        </w:rPr>
        <w:t>8</w:t>
      </w:r>
      <w:r>
        <w:t>）</w:t>
      </w:r>
      <w:r>
        <w:rPr>
          <w:rFonts w:hint="eastAsia"/>
        </w:rPr>
        <w:t>《港口建设项目重大变动清单（试行）》</w:t>
      </w:r>
      <w:r>
        <w:t>（</w:t>
      </w:r>
      <w:r>
        <w:rPr>
          <w:rFonts w:hint="eastAsia"/>
        </w:rPr>
        <w:t>环办〔2015〕52号</w:t>
      </w:r>
      <w:r>
        <w:t>）；</w:t>
      </w:r>
    </w:p>
    <w:p>
      <w:pPr>
        <w:pStyle w:val="19"/>
        <w:ind w:firstLine="480"/>
      </w:pPr>
      <w:r>
        <w:t>（</w:t>
      </w:r>
      <w:r>
        <w:rPr>
          <w:rFonts w:hint="default"/>
        </w:rPr>
        <w:t>9</w:t>
      </w:r>
      <w:r>
        <w:t>）《国家危险废物名录（</w:t>
      </w:r>
      <w:r>
        <w:rPr>
          <w:lang w:val="en-US"/>
        </w:rPr>
        <w:t>2021年版</w:t>
      </w:r>
      <w:r>
        <w:t>）》，部令第15号，20</w:t>
      </w:r>
      <w:r>
        <w:rPr>
          <w:lang w:val="en-US"/>
        </w:rPr>
        <w:t>20</w:t>
      </w:r>
      <w:r>
        <w:t>年</w:t>
      </w:r>
      <w:r>
        <w:rPr>
          <w:lang w:val="en-US"/>
        </w:rPr>
        <w:t>11</w:t>
      </w:r>
      <w:r>
        <w:t>月</w:t>
      </w:r>
      <w:r>
        <w:rPr>
          <w:lang w:val="en-US"/>
        </w:rPr>
        <w:t>27</w:t>
      </w:r>
      <w:r>
        <w:t>日。</w:t>
      </w:r>
    </w:p>
    <w:p>
      <w:pPr>
        <w:pStyle w:val="17"/>
      </w:pPr>
      <w:bookmarkStart w:id="82" w:name="_Toc23286"/>
      <w:bookmarkStart w:id="83" w:name="_Toc17195_WPSOffice_Level1"/>
      <w:r>
        <w:t>2.2</w:t>
      </w:r>
      <w:r>
        <w:rPr>
          <w:rFonts w:hint="eastAsia"/>
          <w:lang w:val="en-US" w:eastAsia="zh-CN"/>
        </w:rPr>
        <w:t xml:space="preserve"> </w:t>
      </w:r>
      <w:r>
        <w:t>标准规范</w:t>
      </w:r>
      <w:bookmarkEnd w:id="82"/>
      <w:bookmarkEnd w:id="83"/>
    </w:p>
    <w:p>
      <w:pPr>
        <w:pStyle w:val="19"/>
        <w:ind w:firstLine="480"/>
        <w:rPr>
          <w:rFonts w:hint="default" w:eastAsia="宋体"/>
          <w:lang w:val="en-US" w:eastAsia="zh-CN"/>
        </w:rPr>
      </w:pPr>
      <w:r>
        <w:rPr>
          <w:rFonts w:hint="eastAsia"/>
          <w:lang w:eastAsia="zh-CN"/>
        </w:rPr>
        <w:t>（</w:t>
      </w:r>
      <w:r>
        <w:rPr>
          <w:rFonts w:hint="eastAsia"/>
          <w:lang w:val="en-US" w:eastAsia="zh-CN"/>
        </w:rPr>
        <w:t>1</w:t>
      </w:r>
      <w:r>
        <w:rPr>
          <w:rFonts w:hint="eastAsia"/>
          <w:lang w:eastAsia="zh-CN"/>
        </w:rPr>
        <w:t>）</w:t>
      </w:r>
      <w:r>
        <w:t>《建设项目竣工环境保护验收技术</w:t>
      </w:r>
      <w:r>
        <w:rPr>
          <w:rFonts w:hint="eastAsia"/>
          <w:lang w:eastAsia="zh-CN"/>
        </w:rPr>
        <w:t>规范</w:t>
      </w:r>
      <w:r>
        <w:rPr>
          <w:rFonts w:hint="eastAsia"/>
          <w:lang w:val="en-US" w:eastAsia="zh-CN"/>
        </w:rPr>
        <w:t xml:space="preserve"> 港口</w:t>
      </w:r>
      <w:r>
        <w:t>》</w:t>
      </w:r>
      <w:r>
        <w:rPr>
          <w:rFonts w:hint="eastAsia"/>
          <w:lang w:eastAsia="zh-CN"/>
        </w:rPr>
        <w:t>（</w:t>
      </w:r>
      <w:r>
        <w:rPr>
          <w:rFonts w:hint="eastAsia"/>
          <w:lang w:val="en-US" w:eastAsia="zh-CN"/>
        </w:rPr>
        <w:t>HJ 436-2008</w:t>
      </w:r>
      <w:r>
        <w:rPr>
          <w:rFonts w:hint="eastAsia"/>
          <w:lang w:eastAsia="zh-CN"/>
        </w:rPr>
        <w:t>）</w:t>
      </w:r>
      <w:r>
        <w:rPr>
          <w:rFonts w:hint="eastAsia"/>
          <w:lang w:val="en-US" w:eastAsia="zh-CN"/>
        </w:rPr>
        <w:t>；</w:t>
      </w:r>
    </w:p>
    <w:p>
      <w:pPr>
        <w:pStyle w:val="19"/>
        <w:ind w:firstLine="480"/>
      </w:pPr>
      <w:r>
        <w:t>（</w:t>
      </w:r>
      <w:r>
        <w:rPr>
          <w:rFonts w:hint="eastAsia"/>
          <w:lang w:val="en-US" w:eastAsia="zh-CN"/>
        </w:rPr>
        <w:t>2</w:t>
      </w:r>
      <w:r>
        <w:t>）《建设项目竣工环境保护验收技术</w:t>
      </w:r>
      <w:r>
        <w:rPr>
          <w:rFonts w:hint="eastAsia"/>
          <w:lang w:eastAsia="zh-CN"/>
        </w:rPr>
        <w:t>规范</w:t>
      </w:r>
      <w:r>
        <w:rPr>
          <w:rFonts w:hint="eastAsia"/>
          <w:lang w:val="en-US" w:eastAsia="zh-CN"/>
        </w:rPr>
        <w:t xml:space="preserve"> 生态影响类</w:t>
      </w:r>
      <w:r>
        <w:t>》（</w:t>
      </w:r>
      <w:r>
        <w:rPr>
          <w:rFonts w:hint="eastAsia"/>
          <w:lang w:val="en-US" w:eastAsia="zh-CN"/>
        </w:rPr>
        <w:t>HJ/T 394-2007</w:t>
      </w:r>
      <w:r>
        <w:t>）；</w:t>
      </w:r>
    </w:p>
    <w:p>
      <w:pPr>
        <w:pStyle w:val="19"/>
        <w:ind w:firstLine="480"/>
        <w:rPr>
          <w:rFonts w:hint="eastAsia" w:eastAsia="宋体"/>
          <w:lang w:eastAsia="zh-CN"/>
        </w:rPr>
      </w:pPr>
      <w:r>
        <w:rPr>
          <w:rFonts w:hint="eastAsia"/>
          <w:lang w:eastAsia="zh-CN"/>
        </w:rPr>
        <w:t>（</w:t>
      </w:r>
      <w:r>
        <w:rPr>
          <w:rFonts w:hint="eastAsia"/>
          <w:lang w:val="en-US" w:eastAsia="zh-CN"/>
        </w:rPr>
        <w:t>3</w:t>
      </w:r>
      <w:r>
        <w:rPr>
          <w:rFonts w:hint="eastAsia"/>
          <w:lang w:eastAsia="zh-CN"/>
        </w:rPr>
        <w:t>）《建设项目竣工环境保护验收技术指南 污染影响类》（公告2018年第9号）；</w:t>
      </w:r>
    </w:p>
    <w:p>
      <w:pPr>
        <w:pStyle w:val="19"/>
        <w:ind w:firstLine="480"/>
      </w:pPr>
      <w:r>
        <w:t>（</w:t>
      </w:r>
      <w:r>
        <w:rPr>
          <w:rFonts w:hint="eastAsia"/>
          <w:lang w:val="en-US" w:eastAsia="zh-CN"/>
        </w:rPr>
        <w:t>4</w:t>
      </w:r>
      <w:r>
        <w:t>）《大气污染物无组织排放监测技术导则》（HJ/T 55-2000）；</w:t>
      </w:r>
    </w:p>
    <w:p>
      <w:pPr>
        <w:pStyle w:val="19"/>
        <w:ind w:firstLine="480"/>
      </w:pPr>
      <w:r>
        <w:t>（</w:t>
      </w:r>
      <w:r>
        <w:rPr>
          <w:rFonts w:hint="eastAsia"/>
          <w:lang w:val="en-US" w:eastAsia="zh-CN"/>
        </w:rPr>
        <w:t>5</w:t>
      </w:r>
      <w:r>
        <w:t>）《环境空气质量手工监测技术规范》（HJ 194-2017）；</w:t>
      </w:r>
    </w:p>
    <w:p>
      <w:pPr>
        <w:pStyle w:val="19"/>
        <w:ind w:firstLine="480"/>
      </w:pPr>
      <w:r>
        <w:t>（</w:t>
      </w:r>
      <w:r>
        <w:rPr>
          <w:rFonts w:hint="eastAsia"/>
          <w:lang w:val="en-US" w:eastAsia="zh-CN"/>
        </w:rPr>
        <w:t>6</w:t>
      </w:r>
      <w:r>
        <w:t>）《固定污染源废气监测技术规范》（HJ/T 397-2007）；</w:t>
      </w:r>
    </w:p>
    <w:p>
      <w:pPr>
        <w:pStyle w:val="19"/>
        <w:ind w:firstLine="480"/>
      </w:pPr>
      <w:r>
        <w:t>（</w:t>
      </w:r>
      <w:r>
        <w:rPr>
          <w:rFonts w:hint="eastAsia"/>
          <w:lang w:val="en-US" w:eastAsia="zh-CN"/>
        </w:rPr>
        <w:t>7</w:t>
      </w:r>
      <w:r>
        <w:t>）《固定污染源监测质量保证与质量控制技术规范（试行）》（HJ/T 373-2007）；</w:t>
      </w:r>
    </w:p>
    <w:p>
      <w:pPr>
        <w:pStyle w:val="19"/>
        <w:ind w:firstLine="480"/>
      </w:pPr>
      <w:r>
        <w:t>（</w:t>
      </w:r>
      <w:r>
        <w:rPr>
          <w:rFonts w:hint="eastAsia"/>
          <w:lang w:val="en-US" w:eastAsia="zh-CN"/>
        </w:rPr>
        <w:t>8</w:t>
      </w:r>
      <w:r>
        <w:t>）《</w:t>
      </w:r>
      <w:r>
        <w:rPr>
          <w:lang w:val="en-US"/>
        </w:rPr>
        <w:t>污水</w:t>
      </w:r>
      <w:r>
        <w:t xml:space="preserve">监测技术规范》（HJ </w:t>
      </w:r>
      <w:r>
        <w:rPr>
          <w:lang w:val="en-US"/>
        </w:rPr>
        <w:t>91.1-2019</w:t>
      </w:r>
      <w:r>
        <w:t>）；</w:t>
      </w:r>
    </w:p>
    <w:p>
      <w:pPr>
        <w:pStyle w:val="19"/>
        <w:ind w:firstLine="480"/>
      </w:pPr>
      <w:r>
        <w:t>（</w:t>
      </w:r>
      <w:r>
        <w:rPr>
          <w:rFonts w:hint="eastAsia"/>
          <w:lang w:val="en-US" w:eastAsia="zh-CN"/>
        </w:rPr>
        <w:t>9</w:t>
      </w:r>
      <w:r>
        <w:t>）《地下水环境监测技术规范》（HJ 164-20</w:t>
      </w:r>
      <w:r>
        <w:rPr>
          <w:lang w:val="en-US"/>
        </w:rPr>
        <w:t>20</w:t>
      </w:r>
      <w:r>
        <w:t>）；</w:t>
      </w:r>
    </w:p>
    <w:p>
      <w:pPr>
        <w:pStyle w:val="19"/>
        <w:ind w:firstLine="480"/>
      </w:pPr>
      <w:r>
        <w:t>（</w:t>
      </w:r>
      <w:r>
        <w:rPr>
          <w:rFonts w:hint="eastAsia"/>
          <w:lang w:val="en-US" w:eastAsia="zh-CN"/>
        </w:rPr>
        <w:t>10</w:t>
      </w:r>
      <w:r>
        <w:t>）《环境水质监测质量保证手册》（第四版）；</w:t>
      </w:r>
    </w:p>
    <w:p>
      <w:pPr>
        <w:pStyle w:val="19"/>
        <w:ind w:firstLine="480"/>
      </w:pPr>
      <w:r>
        <w:t>（</w:t>
      </w:r>
      <w:r>
        <w:rPr>
          <w:rFonts w:hint="eastAsia"/>
          <w:lang w:val="en-US" w:eastAsia="zh-CN"/>
        </w:rPr>
        <w:t>11</w:t>
      </w:r>
      <w:r>
        <w:t>）《土壤环境监测技术规范》（HJ/T 166-2004）；</w:t>
      </w:r>
    </w:p>
    <w:p>
      <w:pPr>
        <w:pStyle w:val="19"/>
        <w:ind w:firstLine="480"/>
      </w:pPr>
      <w:r>
        <w:t>（</w:t>
      </w:r>
      <w:r>
        <w:rPr>
          <w:rFonts w:hint="eastAsia"/>
          <w:lang w:val="en-US" w:eastAsia="zh-CN"/>
        </w:rPr>
        <w:t>12</w:t>
      </w:r>
      <w:r>
        <w:t>）《环境空气质量标准》（GB3095-2012）；</w:t>
      </w:r>
    </w:p>
    <w:p>
      <w:pPr>
        <w:pStyle w:val="19"/>
        <w:ind w:firstLine="480"/>
        <w:rPr>
          <w:rFonts w:hint="eastAsia" w:eastAsia="宋体"/>
          <w:lang w:eastAsia="zh-CN"/>
        </w:rPr>
      </w:pPr>
      <w:r>
        <w:rPr>
          <w:rFonts w:hint="eastAsia"/>
          <w:lang w:eastAsia="zh-CN"/>
        </w:rPr>
        <w:t>（</w:t>
      </w:r>
      <w:r>
        <w:rPr>
          <w:rFonts w:hint="eastAsia"/>
          <w:lang w:val="en-US" w:eastAsia="zh-CN"/>
        </w:rPr>
        <w:t>13</w:t>
      </w:r>
      <w:r>
        <w:rPr>
          <w:rFonts w:hint="eastAsia"/>
          <w:lang w:eastAsia="zh-CN"/>
        </w:rPr>
        <w:t>）《挥发性有机物无组织排放控制标准》（</w:t>
      </w:r>
      <w:r>
        <w:rPr>
          <w:rFonts w:hint="eastAsia"/>
          <w:lang w:val="en-US" w:eastAsia="zh-CN"/>
        </w:rPr>
        <w:t>GB37822-2019</w:t>
      </w:r>
      <w:r>
        <w:rPr>
          <w:rFonts w:hint="eastAsia"/>
          <w:lang w:eastAsia="zh-CN"/>
        </w:rPr>
        <w:t>）；</w:t>
      </w:r>
    </w:p>
    <w:p>
      <w:pPr>
        <w:pStyle w:val="19"/>
        <w:ind w:firstLine="480"/>
      </w:pPr>
      <w:r>
        <w:t>（</w:t>
      </w:r>
      <w:r>
        <w:rPr>
          <w:rFonts w:hint="eastAsia"/>
          <w:lang w:val="en-US" w:eastAsia="zh-CN"/>
        </w:rPr>
        <w:t>14</w:t>
      </w:r>
      <w:r>
        <w:t>）《环境影响评价技术导则 大气环境》（HJ 2.2-2018）；</w:t>
      </w:r>
    </w:p>
    <w:p>
      <w:pPr>
        <w:pStyle w:val="19"/>
        <w:ind w:firstLine="480"/>
      </w:pPr>
      <w:r>
        <w:t>（</w:t>
      </w:r>
      <w:r>
        <w:rPr>
          <w:rFonts w:hint="eastAsia"/>
          <w:lang w:val="en-US" w:eastAsia="zh-CN"/>
        </w:rPr>
        <w:t>15</w:t>
      </w:r>
      <w:r>
        <w:t>）《地下水环境质量标准》（GB/T14848-2017）；</w:t>
      </w:r>
    </w:p>
    <w:p>
      <w:pPr>
        <w:pStyle w:val="19"/>
        <w:ind w:firstLine="480"/>
      </w:pPr>
      <w:r>
        <w:t>（</w:t>
      </w:r>
      <w:r>
        <w:rPr>
          <w:rFonts w:hint="eastAsia"/>
          <w:lang w:val="en-US" w:eastAsia="zh-CN"/>
        </w:rPr>
        <w:t>16</w:t>
      </w:r>
      <w:r>
        <w:t>）《石油化学工业污染物排放标准》（GB31571-2015）；</w:t>
      </w:r>
    </w:p>
    <w:p>
      <w:pPr>
        <w:pStyle w:val="19"/>
        <w:ind w:firstLine="480"/>
        <w:rPr>
          <w:rFonts w:hint="eastAsia"/>
          <w:lang w:eastAsia="zh-CN"/>
        </w:rPr>
      </w:pPr>
      <w:r>
        <w:t>（</w:t>
      </w:r>
      <w:r>
        <w:rPr>
          <w:rFonts w:hint="eastAsia"/>
          <w:lang w:val="en-US" w:eastAsia="zh-CN"/>
        </w:rPr>
        <w:t>17</w:t>
      </w:r>
      <w:r>
        <w:t>）《储油库大气污染物排放标准》（GB20950-2020）</w:t>
      </w:r>
      <w:r>
        <w:rPr>
          <w:rFonts w:hint="eastAsia"/>
          <w:lang w:eastAsia="zh-CN"/>
        </w:rPr>
        <w:t>；</w:t>
      </w:r>
    </w:p>
    <w:p>
      <w:pPr>
        <w:pStyle w:val="19"/>
        <w:ind w:firstLine="480"/>
      </w:pPr>
      <w:r>
        <w:t>（1</w:t>
      </w:r>
      <w:r>
        <w:rPr>
          <w:rFonts w:hint="eastAsia"/>
          <w:lang w:val="en-US" w:eastAsia="zh-CN"/>
        </w:rPr>
        <w:t>8</w:t>
      </w:r>
      <w:r>
        <w:t>）《土壤环境质量 建设用地土壤污染风险管控标准（试行）》（GB36600-2018）；</w:t>
      </w:r>
    </w:p>
    <w:p>
      <w:pPr>
        <w:pStyle w:val="19"/>
        <w:ind w:firstLine="480"/>
      </w:pPr>
      <w:r>
        <w:t>（1</w:t>
      </w:r>
      <w:r>
        <w:rPr>
          <w:rFonts w:hint="eastAsia"/>
          <w:lang w:val="en-US" w:eastAsia="zh-CN"/>
        </w:rPr>
        <w:t>9</w:t>
      </w:r>
      <w:r>
        <w:t>）《土壤环境质量 农用地土壤污染风险管控标准（试行）》（GB15618</w:t>
      </w:r>
      <w:r>
        <w:rPr>
          <w:lang w:val="en-US"/>
        </w:rPr>
        <w:t>-</w:t>
      </w:r>
      <w:r>
        <w:t>2018）；</w:t>
      </w:r>
    </w:p>
    <w:p>
      <w:pPr>
        <w:pStyle w:val="19"/>
        <w:ind w:firstLine="480"/>
      </w:pPr>
      <w:r>
        <w:t>（</w:t>
      </w:r>
      <w:r>
        <w:rPr>
          <w:rFonts w:hint="eastAsia"/>
          <w:lang w:val="en-US" w:eastAsia="zh-CN"/>
        </w:rPr>
        <w:t>20</w:t>
      </w:r>
      <w:r>
        <w:t>）《声环境质量标准》（GB3096-2008）；</w:t>
      </w:r>
    </w:p>
    <w:p>
      <w:pPr>
        <w:pStyle w:val="19"/>
        <w:ind w:firstLine="480"/>
      </w:pPr>
      <w:r>
        <w:t>（</w:t>
      </w:r>
      <w:r>
        <w:rPr>
          <w:rFonts w:hint="eastAsia"/>
          <w:lang w:val="en-US" w:eastAsia="zh-CN"/>
        </w:rPr>
        <w:t>21</w:t>
      </w:r>
      <w:r>
        <w:t>）《工业企业厂界噪声排放标准》（GB12348-2008）；</w:t>
      </w:r>
    </w:p>
    <w:p>
      <w:pPr>
        <w:pStyle w:val="19"/>
        <w:ind w:firstLine="480"/>
        <w:rPr>
          <w:rFonts w:hint="eastAsia"/>
          <w:lang w:eastAsia="zh-CN"/>
        </w:rPr>
      </w:pPr>
      <w:r>
        <w:rPr>
          <w:rFonts w:hint="eastAsia"/>
          <w:lang w:eastAsia="zh-CN"/>
        </w:rPr>
        <w:t>（</w:t>
      </w:r>
      <w:r>
        <w:rPr>
          <w:rFonts w:hint="eastAsia"/>
          <w:lang w:val="en-US" w:eastAsia="zh-CN"/>
        </w:rPr>
        <w:t>22</w:t>
      </w:r>
      <w:r>
        <w:rPr>
          <w:rFonts w:hint="eastAsia"/>
          <w:lang w:eastAsia="zh-CN"/>
        </w:rPr>
        <w:t>）《海水水质标准》（GB 3097-1997）；</w:t>
      </w:r>
    </w:p>
    <w:p>
      <w:pPr>
        <w:pStyle w:val="19"/>
        <w:ind w:firstLine="480"/>
        <w:rPr>
          <w:rFonts w:hint="eastAsia"/>
          <w:lang w:eastAsia="zh-CN"/>
        </w:rPr>
      </w:pPr>
      <w:r>
        <w:rPr>
          <w:rFonts w:hint="eastAsia"/>
          <w:lang w:eastAsia="zh-CN"/>
        </w:rPr>
        <w:t>（</w:t>
      </w:r>
      <w:r>
        <w:rPr>
          <w:rFonts w:hint="eastAsia"/>
          <w:lang w:val="en-US" w:eastAsia="zh-CN"/>
        </w:rPr>
        <w:t>23</w:t>
      </w:r>
      <w:r>
        <w:rPr>
          <w:rFonts w:hint="eastAsia"/>
          <w:lang w:eastAsia="zh-CN"/>
        </w:rPr>
        <w:t>）《海洋沉积物质量标准》（GB 18668-2002）；</w:t>
      </w:r>
    </w:p>
    <w:p>
      <w:pPr>
        <w:pStyle w:val="19"/>
        <w:ind w:firstLine="480"/>
        <w:rPr>
          <w:rFonts w:hint="eastAsia"/>
          <w:lang w:eastAsia="zh-CN"/>
        </w:rPr>
      </w:pPr>
      <w:r>
        <w:rPr>
          <w:rFonts w:hint="eastAsia"/>
          <w:lang w:eastAsia="zh-CN"/>
        </w:rPr>
        <w:t>（</w:t>
      </w:r>
      <w:r>
        <w:rPr>
          <w:rFonts w:hint="eastAsia"/>
          <w:lang w:val="en-US" w:eastAsia="zh-CN"/>
        </w:rPr>
        <w:t>24</w:t>
      </w:r>
      <w:r>
        <w:rPr>
          <w:rFonts w:hint="eastAsia"/>
          <w:lang w:eastAsia="zh-CN"/>
        </w:rPr>
        <w:t>）《海洋生物质量》（GB 18421-2001）；</w:t>
      </w:r>
    </w:p>
    <w:p>
      <w:pPr>
        <w:pStyle w:val="19"/>
        <w:ind w:firstLine="480"/>
      </w:pPr>
      <w:r>
        <w:t>（</w:t>
      </w:r>
      <w:r>
        <w:rPr>
          <w:lang w:val="en-US"/>
        </w:rPr>
        <w:t>2</w:t>
      </w:r>
      <w:r>
        <w:rPr>
          <w:rFonts w:hint="eastAsia"/>
          <w:lang w:val="en-US" w:eastAsia="zh-CN"/>
        </w:rPr>
        <w:t>5</w:t>
      </w:r>
      <w:r>
        <w:t>）《一般工业固体废物贮存</w:t>
      </w:r>
      <w:r>
        <w:rPr>
          <w:rFonts w:hint="eastAsia"/>
          <w:lang w:eastAsia="zh-CN"/>
        </w:rPr>
        <w:t>和填埋</w:t>
      </w:r>
      <w:r>
        <w:t>污染控制标准》（GB18599-20</w:t>
      </w:r>
      <w:r>
        <w:rPr>
          <w:rFonts w:hint="eastAsia"/>
          <w:lang w:val="en-US" w:eastAsia="zh-CN"/>
        </w:rPr>
        <w:t>20</w:t>
      </w:r>
      <w:r>
        <w:t>）；</w:t>
      </w:r>
    </w:p>
    <w:p>
      <w:pPr>
        <w:pStyle w:val="19"/>
        <w:ind w:firstLine="480"/>
        <w:rPr>
          <w:rFonts w:hint="eastAsia" w:eastAsia="宋体"/>
          <w:lang w:eastAsia="zh-CN"/>
        </w:rPr>
      </w:pPr>
      <w:r>
        <w:t>（2</w:t>
      </w:r>
      <w:r>
        <w:rPr>
          <w:rFonts w:hint="eastAsia"/>
          <w:lang w:val="en-US" w:eastAsia="zh-CN"/>
        </w:rPr>
        <w:t>6</w:t>
      </w:r>
      <w:r>
        <w:t>）《危险废物贮存污染控制标准》（GB18597-2001）及其2013年修改单相关要求</w:t>
      </w:r>
      <w:r>
        <w:rPr>
          <w:rFonts w:hint="eastAsia"/>
          <w:lang w:eastAsia="zh-CN"/>
        </w:rPr>
        <w:t>。</w:t>
      </w:r>
    </w:p>
    <w:p>
      <w:pPr>
        <w:pStyle w:val="17"/>
      </w:pPr>
      <w:bookmarkStart w:id="84" w:name="_Toc32543_WPSOffice_Level1"/>
      <w:bookmarkStart w:id="85" w:name="_Toc21327"/>
      <w:r>
        <w:t>2.3</w:t>
      </w:r>
      <w:r>
        <w:rPr>
          <w:rFonts w:hint="eastAsia"/>
          <w:lang w:val="en-US" w:eastAsia="zh-CN"/>
        </w:rPr>
        <w:t xml:space="preserve"> </w:t>
      </w:r>
      <w:r>
        <w:t>其他相关文件</w:t>
      </w:r>
      <w:bookmarkEnd w:id="84"/>
      <w:bookmarkEnd w:id="85"/>
    </w:p>
    <w:p>
      <w:pPr>
        <w:pStyle w:val="19"/>
        <w:ind w:firstLine="480"/>
      </w:pPr>
      <w:r>
        <w:t>（</w:t>
      </w:r>
      <w:r>
        <w:rPr>
          <w:rFonts w:hint="eastAsia"/>
          <w:lang w:val="en-US" w:eastAsia="zh-CN"/>
        </w:rPr>
        <w:t>1</w:t>
      </w:r>
      <w:r>
        <w:t>）《湄洲湾港斗尾港区斗尾作业区</w:t>
      </w:r>
      <w:r>
        <w:rPr>
          <w:rFonts w:hint="eastAsia"/>
          <w:lang w:val="en-US" w:eastAsia="zh-CN"/>
        </w:rPr>
        <w:t>7#泊位及港丰石化仓储项目货种调整改扩建工程环境影响报告书</w:t>
      </w:r>
      <w:r>
        <w:t>》</w:t>
      </w:r>
      <w:r>
        <w:rPr>
          <w:lang w:val="en-US"/>
        </w:rPr>
        <w:t>及批复</w:t>
      </w:r>
      <w:r>
        <w:t>（</w:t>
      </w:r>
      <w:r>
        <w:rPr>
          <w:lang w:val="en-US"/>
        </w:rPr>
        <w:t>泉</w:t>
      </w:r>
      <w:r>
        <w:t>惠环</w:t>
      </w:r>
      <w:r>
        <w:rPr>
          <w:lang w:val="en-US"/>
        </w:rPr>
        <w:t>评</w:t>
      </w:r>
      <w:r>
        <w:t>〔202</w:t>
      </w:r>
      <w:r>
        <w:rPr>
          <w:rFonts w:hint="eastAsia"/>
          <w:lang w:val="en-US" w:eastAsia="zh-CN"/>
        </w:rPr>
        <w:t>2</w:t>
      </w:r>
      <w:r>
        <w:t>〕</w:t>
      </w:r>
      <w:r>
        <w:rPr>
          <w:lang w:val="en-US"/>
        </w:rPr>
        <w:t>书</w:t>
      </w:r>
      <w:r>
        <w:rPr>
          <w:rFonts w:hint="eastAsia"/>
          <w:lang w:val="en-US" w:eastAsia="zh-CN"/>
        </w:rPr>
        <w:t>2</w:t>
      </w:r>
      <w:r>
        <w:t>号）；</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）其他相关文件、资料。</w:t>
      </w:r>
    </w:p>
    <w:p>
      <w:pPr>
        <w:pStyle w:val="19"/>
        <w:ind w:firstLine="0" w:firstLineChars="0"/>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keepLines/>
        <w:tabs>
          <w:tab w:val="left" w:pos="1960"/>
        </w:tabs>
        <w:spacing w:before="156" w:beforeLines="50" w:after="156" w:afterLines="50" w:line="360" w:lineRule="auto"/>
        <w:jc w:val="left"/>
        <w:outlineLvl w:val="0"/>
        <w:rPr>
          <w:rStyle w:val="20"/>
          <w:rFonts w:ascii="Times New Roman" w:hAnsi="Times New Roman" w:eastAsia="黑体"/>
        </w:rPr>
      </w:pPr>
      <w:bookmarkStart w:id="86" w:name="_Toc26199491"/>
      <w:bookmarkStart w:id="87" w:name="_Toc11074"/>
      <w:bookmarkStart w:id="88" w:name="_Toc10250_WPSOffice_Level1"/>
      <w:r>
        <w:rPr>
          <w:rStyle w:val="20"/>
          <w:rFonts w:ascii="Times New Roman" w:hAnsi="Times New Roman" w:eastAsia="黑体"/>
        </w:rPr>
        <w:t xml:space="preserve">3. </w:t>
      </w:r>
      <w:r>
        <w:rPr>
          <w:rStyle w:val="20"/>
          <w:rFonts w:hint="eastAsia" w:ascii="Times New Roman" w:hAnsi="Times New Roman" w:eastAsia="黑体"/>
          <w:lang w:eastAsia="zh-CN"/>
        </w:rPr>
        <w:t>项目</w:t>
      </w:r>
      <w:r>
        <w:rPr>
          <w:rStyle w:val="20"/>
          <w:rFonts w:ascii="Times New Roman" w:hAnsi="Times New Roman" w:eastAsia="黑体"/>
        </w:rPr>
        <w:t>建设情况</w:t>
      </w:r>
      <w:bookmarkEnd w:id="86"/>
      <w:bookmarkEnd w:id="87"/>
      <w:bookmarkEnd w:id="88"/>
    </w:p>
    <w:p>
      <w:pPr>
        <w:pStyle w:val="17"/>
      </w:pPr>
      <w:bookmarkStart w:id="89" w:name="_Toc32_WPSOffice_Level1"/>
      <w:bookmarkStart w:id="90" w:name="_Toc26199492"/>
      <w:bookmarkStart w:id="91" w:name="_Toc32672"/>
      <w:r>
        <w:t>3.1</w:t>
      </w:r>
      <w:r>
        <w:rPr>
          <w:rFonts w:hint="eastAsia"/>
          <w:lang w:val="en-US" w:eastAsia="zh-CN"/>
        </w:rPr>
        <w:t xml:space="preserve"> </w:t>
      </w:r>
      <w:r>
        <w:t>项目地理位置</w:t>
      </w:r>
      <w:bookmarkEnd w:id="89"/>
      <w:bookmarkEnd w:id="90"/>
      <w:bookmarkEnd w:id="91"/>
    </w:p>
    <w:p>
      <w:pPr>
        <w:pStyle w:val="19"/>
        <w:spacing w:after="156" w:afterLines="50"/>
        <w:ind w:firstLine="480"/>
      </w:pPr>
      <w:r>
        <w:rPr>
          <w:lang w:val="en-US"/>
        </w:rPr>
        <w:t>湄洲湾港斗尾港区斗尾作业区港丰石化仓储项目位于惠安县净峰镇杜厝村2025号斗尾作业区7＃泊位后方，湄洲湾南岸斗尾港区青兰山北侧，地理坐标为东经</w:t>
      </w:r>
      <w:r>
        <w:rPr>
          <w:rStyle w:val="22"/>
          <w:lang w:val="en-US"/>
        </w:rPr>
        <w:t>119°00′21″，北纬25°02′10.662″，</w:t>
      </w:r>
      <w:r>
        <w:rPr>
          <w:lang w:val="en-US"/>
        </w:rPr>
        <w:t>占地面积为192096.2m</w:t>
      </w:r>
      <w:r>
        <w:rPr>
          <w:vertAlign w:val="superscript"/>
          <w:lang w:val="en-US"/>
        </w:rPr>
        <w:t>2</w:t>
      </w:r>
      <w:r>
        <w:rPr>
          <w:lang w:val="en-US"/>
        </w:rPr>
        <w:t>（其中陆域征地1.21742hm</w:t>
      </w:r>
      <w:r>
        <w:rPr>
          <w:vertAlign w:val="superscript"/>
          <w:lang w:val="en-US"/>
        </w:rPr>
        <w:t>2</w:t>
      </w:r>
      <w:r>
        <w:rPr>
          <w:lang w:val="en-US"/>
        </w:rPr>
        <w:t>+陆域扩征地0.6679hm</w:t>
      </w:r>
      <w:r>
        <w:rPr>
          <w:vertAlign w:val="superscript"/>
          <w:lang w:val="en-US"/>
        </w:rPr>
        <w:t>2</w:t>
      </w:r>
      <w:r>
        <w:rPr>
          <w:lang w:val="en-US"/>
        </w:rPr>
        <w:t>+填海造地17.3243hm</w:t>
      </w:r>
      <w:r>
        <w:rPr>
          <w:vertAlign w:val="superscript"/>
          <w:lang w:val="en-US"/>
        </w:rPr>
        <w:t>2</w:t>
      </w:r>
      <w:r>
        <w:rPr>
          <w:lang w:val="en-US"/>
        </w:rPr>
        <w:t>）</w:t>
      </w:r>
      <w:r>
        <w:t>；</w:t>
      </w:r>
      <w:r>
        <w:rPr>
          <w:lang w:val="en-US"/>
        </w:rPr>
        <w:t>具体地理位置见图3.1-1。</w:t>
      </w:r>
      <w:r>
        <w:t>村庄等主要特殊敏感保护目标均分布于项目厂界周边，其中杜厝海域养殖区、黄干岛海域养殖区</w:t>
      </w:r>
      <w:r>
        <w:rPr>
          <w:lang w:val="en-US"/>
        </w:rPr>
        <w:t>已根据《惠安县人民政府关于印发惠安县海水水域滩涂</w:t>
      </w:r>
      <w:r>
        <w:rPr>
          <w:rFonts w:hint="eastAsia"/>
          <w:lang w:val="en-US" w:eastAsia="zh-CN"/>
        </w:rPr>
        <w:t>养殖</w:t>
      </w:r>
      <w:r>
        <w:rPr>
          <w:lang w:val="en-US"/>
        </w:rPr>
        <w:t>清退整治工作方案（2018-2020）的通知》</w:t>
      </w:r>
      <w:r>
        <w:t>（</w:t>
      </w:r>
      <w:r>
        <w:rPr>
          <w:lang w:val="en-US"/>
        </w:rPr>
        <w:t>惠政文</w:t>
      </w:r>
      <w:r>
        <w:t>〔2018〕</w:t>
      </w:r>
      <w:r>
        <w:rPr>
          <w:lang w:val="en-US"/>
        </w:rPr>
        <w:t>77号</w:t>
      </w:r>
      <w:r>
        <w:t>）</w:t>
      </w:r>
      <w:r>
        <w:rPr>
          <w:rFonts w:hint="eastAsia"/>
          <w:lang w:val="en-US" w:eastAsia="zh-CN"/>
        </w:rPr>
        <w:t>开展</w:t>
      </w:r>
      <w:r>
        <w:rPr>
          <w:lang w:val="en-US"/>
        </w:rPr>
        <w:t>清退工作</w:t>
      </w:r>
      <w:r>
        <w:t>；</w:t>
      </w:r>
      <w:r>
        <w:rPr>
          <w:lang w:val="en-US"/>
        </w:rPr>
        <w:t>杜厝村</w:t>
      </w:r>
      <w:r>
        <w:t>与厂界最近距离约为0.22km，</w:t>
      </w:r>
      <w:r>
        <w:rPr>
          <w:lang w:val="en-US"/>
        </w:rPr>
        <w:t>铁铺村与</w:t>
      </w:r>
      <w:r>
        <w:t>厂界最近距离约为0.93km，其它敏感目标</w:t>
      </w:r>
      <w:r>
        <w:rPr>
          <w:lang w:val="en-US"/>
        </w:rPr>
        <w:t>与厂界距离</w:t>
      </w:r>
      <w:r>
        <w:t>均大于2km；具体环境保护目标</w:t>
      </w:r>
      <w:r>
        <w:rPr>
          <w:lang w:val="en-US"/>
        </w:rPr>
        <w:t>见</w:t>
      </w:r>
      <w:r>
        <w:t>表3.1</w:t>
      </w:r>
      <w:r>
        <w:rPr>
          <w:lang w:val="en-US"/>
        </w:rPr>
        <w:t>.</w:t>
      </w:r>
      <w:r>
        <w:t>1</w:t>
      </w:r>
      <w:r>
        <w:rPr>
          <w:rFonts w:hint="eastAsia"/>
          <w:lang w:val="en-US" w:eastAsia="zh-Hans"/>
        </w:rPr>
        <w:t>及图</w:t>
      </w:r>
      <w:r>
        <w:rPr>
          <w:lang w:eastAsia="zh-Hans"/>
        </w:rPr>
        <w:t>3</w:t>
      </w:r>
      <w:r>
        <w:rPr>
          <w:rFonts w:hint="eastAsia"/>
          <w:lang w:val="en-US" w:eastAsia="zh-Hans"/>
        </w:rPr>
        <w:t>.</w:t>
      </w:r>
      <w:r>
        <w:rPr>
          <w:lang w:eastAsia="zh-Hans"/>
        </w:rPr>
        <w:t>1-2</w:t>
      </w:r>
      <w:r>
        <w:t>。</w:t>
      </w:r>
    </w:p>
    <w:p>
      <w:pPr>
        <w:pStyle w:val="19"/>
        <w:ind w:firstLine="0" w:firstLineChars="0"/>
        <w:jc w:val="both"/>
        <w:rPr>
          <w:rFonts w:eastAsia="黑体"/>
          <w:b/>
          <w:szCs w:val="28"/>
        </w:rPr>
      </w:pPr>
      <w:r>
        <w:rPr>
          <w:rFonts w:eastAsia="黑体"/>
          <w:b/>
          <w:szCs w:val="28"/>
        </w:rPr>
        <w:drawing>
          <wp:inline distT="0" distB="0" distL="114300" distR="114300">
            <wp:extent cx="5270500" cy="3380740"/>
            <wp:effectExtent l="0" t="0" r="6350" b="1016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9"/>
                    <a:stretch>
                      <a:fillRect/>
                    </a:stretch>
                  </pic:blipFill>
                  <pic:spPr>
                    <a:xfrm>
                      <a:off x="0" y="0"/>
                      <a:ext cx="5270500" cy="3380740"/>
                    </a:xfrm>
                    <a:prstGeom prst="rect">
                      <a:avLst/>
                    </a:prstGeom>
                    <a:noFill/>
                    <a:ln>
                      <a:noFill/>
                    </a:ln>
                  </pic:spPr>
                </pic:pic>
              </a:graphicData>
            </a:graphic>
          </wp:inline>
        </w:drawing>
      </w:r>
    </w:p>
    <w:p>
      <w:pPr>
        <w:pStyle w:val="23"/>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图3.1-1 本项目地理位置图</w:t>
      </w:r>
    </w:p>
    <w:p>
      <w:pPr>
        <w:pStyle w:val="19"/>
        <w:ind w:firstLine="0" w:firstLineChars="0"/>
        <w:jc w:val="center"/>
      </w:pPr>
      <w:r>
        <w:rPr>
          <w:lang w:val="en-US"/>
        </w:rPr>
        <w:drawing>
          <wp:inline distT="0" distB="0" distL="114300" distR="114300">
            <wp:extent cx="7579995" cy="4866005"/>
            <wp:effectExtent l="9525" t="9525" r="11430" b="20320"/>
            <wp:docPr id="32" name="图片 32" descr="环境敏感点-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环境敏感点-修_00"/>
                    <pic:cNvPicPr>
                      <a:picLocks noChangeAspect="1"/>
                    </pic:cNvPicPr>
                  </pic:nvPicPr>
                  <pic:blipFill>
                    <a:blip r:embed="rId10"/>
                    <a:srcRect l="7083" t="10496" r="5411" b="10061"/>
                    <a:stretch>
                      <a:fillRect/>
                    </a:stretch>
                  </pic:blipFill>
                  <pic:spPr>
                    <a:xfrm>
                      <a:off x="0" y="0"/>
                      <a:ext cx="7579995" cy="4866005"/>
                    </a:xfrm>
                    <a:prstGeom prst="rect">
                      <a:avLst/>
                    </a:prstGeom>
                    <a:ln>
                      <a:solidFill>
                        <a:schemeClr val="tx1"/>
                      </a:solidFill>
                    </a:ln>
                  </pic:spPr>
                </pic:pic>
              </a:graphicData>
            </a:graphic>
          </wp:inline>
        </w:drawing>
      </w:r>
    </w:p>
    <w:p>
      <w:pPr>
        <w:pStyle w:val="23"/>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图3.1-2 本项目周边主要环境保护目标</w:t>
      </w:r>
      <w:r>
        <w:rPr>
          <w:rFonts w:hint="eastAsia"/>
          <w:lang w:eastAsia="zh-Hans"/>
        </w:rPr>
        <w:t>分布图</w:t>
      </w:r>
    </w:p>
    <w:p>
      <w:pPr>
        <w:pStyle w:val="23"/>
      </w:pPr>
      <w:r>
        <w:t>表3.1.1 项目周边主要环境保护目标情况表</w:t>
      </w:r>
    </w:p>
    <w:tbl>
      <w:tblPr>
        <w:tblStyle w:val="14"/>
        <w:tblW w:w="8316"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1156"/>
        <w:gridCol w:w="1815"/>
        <w:gridCol w:w="1815"/>
        <w:gridCol w:w="1815"/>
        <w:gridCol w:w="1715"/>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49" w:hRule="atLeast"/>
        </w:trPr>
        <w:tc>
          <w:tcPr>
            <w:tcW w:w="1156" w:type="dxa"/>
            <w:tcBorders>
              <w:top w:val="single" w:color="auto" w:sz="4" w:space="0"/>
              <w:left w:val="nil"/>
              <w:bottom w:val="single" w:color="auto" w:sz="4" w:space="0"/>
              <w:right w:val="single" w:color="auto" w:sz="4" w:space="0"/>
            </w:tcBorders>
            <w:shd w:val="clear" w:color="auto" w:fill="auto"/>
            <w:vAlign w:val="center"/>
          </w:tcPr>
          <w:p>
            <w:pPr>
              <w:pStyle w:val="24"/>
            </w:pPr>
            <w:r>
              <w:t>环境</w:t>
            </w:r>
          </w:p>
          <w:p>
            <w:pPr>
              <w:pStyle w:val="24"/>
            </w:pPr>
            <w:r>
              <w:t>因素</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保护目标</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相对位置距厂界最近距离（m）</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性质规模</w:t>
            </w:r>
          </w:p>
        </w:tc>
        <w:tc>
          <w:tcPr>
            <w:tcW w:w="1715" w:type="dxa"/>
            <w:tcBorders>
              <w:top w:val="single" w:color="auto" w:sz="4" w:space="0"/>
              <w:left w:val="single" w:color="auto" w:sz="4" w:space="0"/>
              <w:bottom w:val="single" w:color="auto" w:sz="4" w:space="0"/>
              <w:right w:val="nil"/>
            </w:tcBorders>
            <w:shd w:val="clear" w:color="auto" w:fill="auto"/>
            <w:vAlign w:val="center"/>
          </w:tcPr>
          <w:p>
            <w:pPr>
              <w:pStyle w:val="24"/>
            </w:pPr>
            <w:r>
              <w:t>环境功能</w:t>
            </w:r>
          </w:p>
          <w:p>
            <w:pPr>
              <w:pStyle w:val="24"/>
            </w:pPr>
            <w:r>
              <w:t>及保护要求</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 w:hRule="atLeast"/>
        </w:trPr>
        <w:tc>
          <w:tcPr>
            <w:tcW w:w="1156" w:type="dxa"/>
            <w:vMerge w:val="restart"/>
            <w:tcBorders>
              <w:top w:val="single" w:color="auto" w:sz="4" w:space="0"/>
              <w:left w:val="nil"/>
              <w:bottom w:val="single" w:color="auto" w:sz="4" w:space="0"/>
              <w:right w:val="single" w:color="auto" w:sz="4" w:space="0"/>
            </w:tcBorders>
            <w:shd w:val="clear" w:color="auto" w:fill="auto"/>
            <w:vAlign w:val="center"/>
          </w:tcPr>
          <w:p>
            <w:pPr>
              <w:pStyle w:val="24"/>
            </w:pPr>
            <w:r>
              <w:t>大气</w:t>
            </w:r>
          </w:p>
          <w:p>
            <w:pPr>
              <w:pStyle w:val="24"/>
            </w:pPr>
            <w:r>
              <w:t>环境</w:t>
            </w:r>
          </w:p>
          <w:p>
            <w:pPr>
              <w:pStyle w:val="24"/>
            </w:pPr>
            <w:r>
              <w:t>（风险）</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铁铺村</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西北930</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居住区，约880人</w:t>
            </w:r>
          </w:p>
        </w:tc>
        <w:tc>
          <w:tcPr>
            <w:tcW w:w="1715" w:type="dxa"/>
            <w:vMerge w:val="restart"/>
            <w:tcBorders>
              <w:top w:val="single" w:color="auto" w:sz="4" w:space="0"/>
              <w:left w:val="single" w:color="auto" w:sz="4" w:space="0"/>
              <w:bottom w:val="single" w:color="auto" w:sz="4" w:space="0"/>
              <w:right w:val="nil"/>
            </w:tcBorders>
            <w:shd w:val="clear" w:color="auto" w:fill="auto"/>
            <w:vAlign w:val="center"/>
          </w:tcPr>
          <w:p>
            <w:pPr>
              <w:pStyle w:val="24"/>
            </w:pPr>
            <w:r>
              <w:t xml:space="preserve">大气环境 </w:t>
            </w:r>
          </w:p>
          <w:p>
            <w:pPr>
              <w:pStyle w:val="24"/>
            </w:pPr>
            <w:r>
              <w:t>二类功能区</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 w:hRule="atLeast"/>
        </w:trPr>
        <w:tc>
          <w:tcPr>
            <w:tcW w:w="1156" w:type="dxa"/>
            <w:vMerge w:val="continue"/>
            <w:tcBorders>
              <w:top w:val="single" w:color="auto" w:sz="4" w:space="0"/>
              <w:left w:val="nil"/>
              <w:bottom w:val="single" w:color="auto" w:sz="4" w:space="0"/>
              <w:right w:val="single" w:color="auto" w:sz="4" w:space="0"/>
            </w:tcBorders>
            <w:shd w:val="clear" w:color="auto" w:fill="auto"/>
            <w:vAlign w:val="center"/>
          </w:tcPr>
          <w:p>
            <w:pPr>
              <w:pStyle w:val="24"/>
            </w:pP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杜厝村</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西220</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居住区，约11000人</w:t>
            </w:r>
          </w:p>
        </w:tc>
        <w:tc>
          <w:tcPr>
            <w:tcW w:w="1715" w:type="dxa"/>
            <w:vMerge w:val="continue"/>
            <w:tcBorders>
              <w:top w:val="single" w:color="auto" w:sz="4" w:space="0"/>
              <w:left w:val="single" w:color="auto" w:sz="4" w:space="0"/>
              <w:bottom w:val="single" w:color="auto" w:sz="4" w:space="0"/>
              <w:right w:val="nil"/>
            </w:tcBorders>
            <w:shd w:val="clear" w:color="auto" w:fill="auto"/>
            <w:vAlign w:val="center"/>
          </w:tcPr>
          <w:p>
            <w:pPr>
              <w:pStyle w:val="24"/>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 w:hRule="atLeast"/>
        </w:trPr>
        <w:tc>
          <w:tcPr>
            <w:tcW w:w="1156" w:type="dxa"/>
            <w:vMerge w:val="continue"/>
            <w:tcBorders>
              <w:top w:val="single" w:color="auto" w:sz="4" w:space="0"/>
              <w:left w:val="nil"/>
              <w:bottom w:val="single" w:color="auto" w:sz="4" w:space="0"/>
              <w:right w:val="single" w:color="auto" w:sz="4" w:space="0"/>
            </w:tcBorders>
            <w:shd w:val="clear" w:color="auto" w:fill="auto"/>
            <w:vAlign w:val="center"/>
          </w:tcPr>
          <w:p>
            <w:pPr>
              <w:pStyle w:val="24"/>
            </w:pP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塘头村</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西南2800</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居住区，约2580人</w:t>
            </w:r>
          </w:p>
        </w:tc>
        <w:tc>
          <w:tcPr>
            <w:tcW w:w="1715" w:type="dxa"/>
            <w:vMerge w:val="continue"/>
            <w:tcBorders>
              <w:top w:val="single" w:color="auto" w:sz="4" w:space="0"/>
              <w:left w:val="single" w:color="auto" w:sz="4" w:space="0"/>
              <w:bottom w:val="single" w:color="auto" w:sz="4" w:space="0"/>
              <w:right w:val="nil"/>
            </w:tcBorders>
            <w:shd w:val="clear" w:color="auto" w:fill="auto"/>
            <w:vAlign w:val="center"/>
          </w:tcPr>
          <w:p>
            <w:pPr>
              <w:pStyle w:val="24"/>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 w:hRule="atLeast"/>
        </w:trPr>
        <w:tc>
          <w:tcPr>
            <w:tcW w:w="1156" w:type="dxa"/>
            <w:vMerge w:val="continue"/>
            <w:tcBorders>
              <w:top w:val="single" w:color="auto" w:sz="4" w:space="0"/>
              <w:left w:val="nil"/>
              <w:bottom w:val="single" w:color="auto" w:sz="4" w:space="0"/>
              <w:right w:val="single" w:color="auto" w:sz="4" w:space="0"/>
            </w:tcBorders>
            <w:shd w:val="clear" w:color="auto" w:fill="auto"/>
            <w:vAlign w:val="center"/>
          </w:tcPr>
          <w:p>
            <w:pPr>
              <w:pStyle w:val="24"/>
            </w:pP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墩北村</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西南2800</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居住区，约4560人</w:t>
            </w:r>
          </w:p>
        </w:tc>
        <w:tc>
          <w:tcPr>
            <w:tcW w:w="1715" w:type="dxa"/>
            <w:vMerge w:val="continue"/>
            <w:tcBorders>
              <w:top w:val="single" w:color="auto" w:sz="4" w:space="0"/>
              <w:left w:val="single" w:color="auto" w:sz="4" w:space="0"/>
              <w:bottom w:val="single" w:color="auto" w:sz="4" w:space="0"/>
              <w:right w:val="nil"/>
            </w:tcBorders>
            <w:shd w:val="clear" w:color="auto" w:fill="auto"/>
            <w:vAlign w:val="center"/>
          </w:tcPr>
          <w:p>
            <w:pPr>
              <w:pStyle w:val="24"/>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 w:hRule="atLeast"/>
        </w:trPr>
        <w:tc>
          <w:tcPr>
            <w:tcW w:w="1156" w:type="dxa"/>
            <w:vMerge w:val="continue"/>
            <w:tcBorders>
              <w:top w:val="single" w:color="auto" w:sz="4" w:space="0"/>
              <w:left w:val="nil"/>
              <w:bottom w:val="single" w:color="auto" w:sz="4" w:space="0"/>
              <w:right w:val="single" w:color="auto" w:sz="4" w:space="0"/>
            </w:tcBorders>
            <w:shd w:val="clear" w:color="auto" w:fill="auto"/>
            <w:vAlign w:val="center"/>
          </w:tcPr>
          <w:p>
            <w:pPr>
              <w:pStyle w:val="24"/>
            </w:pP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墩中村</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西南3600</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居住区，约4200人</w:t>
            </w:r>
          </w:p>
        </w:tc>
        <w:tc>
          <w:tcPr>
            <w:tcW w:w="1715" w:type="dxa"/>
            <w:vMerge w:val="continue"/>
            <w:tcBorders>
              <w:top w:val="single" w:color="auto" w:sz="4" w:space="0"/>
              <w:left w:val="single" w:color="auto" w:sz="4" w:space="0"/>
              <w:bottom w:val="single" w:color="auto" w:sz="4" w:space="0"/>
              <w:right w:val="nil"/>
            </w:tcBorders>
            <w:shd w:val="clear" w:color="auto" w:fill="auto"/>
            <w:vAlign w:val="center"/>
          </w:tcPr>
          <w:p>
            <w:pPr>
              <w:pStyle w:val="24"/>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60" w:hRule="atLeast"/>
        </w:trPr>
        <w:tc>
          <w:tcPr>
            <w:tcW w:w="1156" w:type="dxa"/>
            <w:vMerge w:val="restart"/>
            <w:tcBorders>
              <w:top w:val="single" w:color="auto" w:sz="4" w:space="0"/>
              <w:left w:val="nil"/>
              <w:bottom w:val="single" w:color="auto" w:sz="4" w:space="0"/>
              <w:right w:val="single" w:color="auto" w:sz="4" w:space="0"/>
            </w:tcBorders>
            <w:shd w:val="clear" w:color="auto" w:fill="auto"/>
            <w:vAlign w:val="center"/>
          </w:tcPr>
          <w:p>
            <w:pPr>
              <w:pStyle w:val="24"/>
            </w:pPr>
            <w:r>
              <w:t>海洋</w:t>
            </w:r>
          </w:p>
          <w:p>
            <w:pPr>
              <w:pStyle w:val="24"/>
            </w:pPr>
            <w:r>
              <w:t>环境</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杜厝海域</w:t>
            </w:r>
          </w:p>
          <w:p>
            <w:pPr>
              <w:pStyle w:val="24"/>
            </w:pPr>
            <w:r>
              <w:t>养殖区</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 xml:space="preserve">东570 m </w:t>
            </w:r>
          </w:p>
          <w:p>
            <w:pPr>
              <w:pStyle w:val="24"/>
            </w:pPr>
            <w:r>
              <w:t>（距排污口420 m）</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养殖牡蛎、海带为主</w:t>
            </w:r>
          </w:p>
        </w:tc>
        <w:tc>
          <w:tcPr>
            <w:tcW w:w="1715" w:type="dxa"/>
            <w:vMerge w:val="restart"/>
            <w:tcBorders>
              <w:top w:val="single" w:color="auto" w:sz="4" w:space="0"/>
              <w:left w:val="single" w:color="auto" w:sz="4" w:space="0"/>
              <w:bottom w:val="single" w:color="auto" w:sz="4" w:space="0"/>
              <w:right w:val="nil"/>
            </w:tcBorders>
            <w:shd w:val="clear" w:color="auto" w:fill="auto"/>
            <w:vAlign w:val="center"/>
          </w:tcPr>
          <w:p>
            <w:pPr>
              <w:pStyle w:val="24"/>
            </w:pPr>
            <w:r>
              <w:t>海水三类功能区</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60" w:hRule="atLeast"/>
        </w:trPr>
        <w:tc>
          <w:tcPr>
            <w:tcW w:w="1156" w:type="dxa"/>
            <w:vMerge w:val="continue"/>
            <w:tcBorders>
              <w:top w:val="single" w:color="auto" w:sz="4" w:space="0"/>
              <w:left w:val="nil"/>
              <w:bottom w:val="single" w:color="auto" w:sz="4" w:space="0"/>
              <w:right w:val="single" w:color="auto" w:sz="4" w:space="0"/>
            </w:tcBorders>
            <w:shd w:val="clear" w:color="auto" w:fill="auto"/>
            <w:vAlign w:val="center"/>
          </w:tcPr>
          <w:p>
            <w:pPr>
              <w:pStyle w:val="24"/>
            </w:pP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黄干岛西側</w:t>
            </w:r>
          </w:p>
          <w:p>
            <w:pPr>
              <w:pStyle w:val="24"/>
            </w:pPr>
            <w:r>
              <w:t>海域养殖区</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 xml:space="preserve">南103 m </w:t>
            </w:r>
          </w:p>
          <w:p>
            <w:pPr>
              <w:pStyle w:val="24"/>
            </w:pPr>
            <w:r>
              <w:t>（距排污口450 m）</w:t>
            </w:r>
          </w:p>
        </w:tc>
        <w:tc>
          <w:tcPr>
            <w:tcW w:w="181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养殖网箱鲍鱼为主</w:t>
            </w:r>
          </w:p>
        </w:tc>
        <w:tc>
          <w:tcPr>
            <w:tcW w:w="1715" w:type="dxa"/>
            <w:vMerge w:val="continue"/>
            <w:tcBorders>
              <w:top w:val="single" w:color="auto" w:sz="4" w:space="0"/>
              <w:left w:val="single" w:color="auto" w:sz="4" w:space="0"/>
              <w:bottom w:val="single" w:color="auto" w:sz="4" w:space="0"/>
              <w:right w:val="nil"/>
            </w:tcBorders>
            <w:shd w:val="clear" w:color="auto" w:fill="auto"/>
            <w:vAlign w:val="center"/>
          </w:tcPr>
          <w:p>
            <w:pPr>
              <w:pStyle w:val="24"/>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 w:hRule="atLeast"/>
        </w:trPr>
        <w:tc>
          <w:tcPr>
            <w:tcW w:w="1156" w:type="dxa"/>
            <w:tcBorders>
              <w:top w:val="single" w:color="auto" w:sz="4" w:space="0"/>
              <w:left w:val="nil"/>
              <w:bottom w:val="single" w:color="auto" w:sz="4" w:space="0"/>
              <w:right w:val="single" w:color="auto" w:sz="4" w:space="0"/>
            </w:tcBorders>
            <w:shd w:val="clear" w:color="auto" w:fill="auto"/>
            <w:vAlign w:val="center"/>
          </w:tcPr>
          <w:p>
            <w:pPr>
              <w:pStyle w:val="24"/>
            </w:pPr>
            <w:r>
              <w:t>声环境</w:t>
            </w:r>
          </w:p>
        </w:tc>
        <w:tc>
          <w:tcPr>
            <w:tcW w:w="5445"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厂界200m内无级感目标</w:t>
            </w:r>
          </w:p>
        </w:tc>
        <w:tc>
          <w:tcPr>
            <w:tcW w:w="1715" w:type="dxa"/>
            <w:tcBorders>
              <w:top w:val="single" w:color="auto" w:sz="4" w:space="0"/>
              <w:left w:val="single" w:color="auto" w:sz="4" w:space="0"/>
              <w:bottom w:val="single" w:color="auto" w:sz="4" w:space="0"/>
              <w:right w:val="nil"/>
            </w:tcBorders>
            <w:shd w:val="clear" w:color="auto" w:fill="auto"/>
            <w:vAlign w:val="center"/>
          </w:tcPr>
          <w:p>
            <w:pPr>
              <w:pStyle w:val="24"/>
            </w:pPr>
            <w: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93" w:hRule="atLeast"/>
        </w:trPr>
        <w:tc>
          <w:tcPr>
            <w:tcW w:w="1156" w:type="dxa"/>
            <w:tcBorders>
              <w:top w:val="single" w:color="auto" w:sz="4" w:space="0"/>
              <w:left w:val="nil"/>
              <w:bottom w:val="single" w:color="auto" w:sz="4" w:space="0"/>
              <w:right w:val="single" w:color="auto" w:sz="4" w:space="0"/>
            </w:tcBorders>
            <w:shd w:val="clear" w:color="auto" w:fill="auto"/>
            <w:vAlign w:val="center"/>
          </w:tcPr>
          <w:p>
            <w:pPr>
              <w:pStyle w:val="24"/>
            </w:pPr>
            <w:r>
              <w:t>地下水</w:t>
            </w:r>
          </w:p>
          <w:p>
            <w:pPr>
              <w:pStyle w:val="24"/>
            </w:pPr>
            <w:r>
              <w:t>环境</w:t>
            </w:r>
          </w:p>
        </w:tc>
        <w:tc>
          <w:tcPr>
            <w:tcW w:w="7160" w:type="dxa"/>
            <w:gridSpan w:val="4"/>
            <w:tcBorders>
              <w:top w:val="single" w:color="auto" w:sz="4" w:space="0"/>
              <w:left w:val="single" w:color="auto" w:sz="4" w:space="0"/>
              <w:bottom w:val="single" w:color="auto" w:sz="4" w:space="0"/>
              <w:right w:val="nil"/>
            </w:tcBorders>
            <w:shd w:val="clear" w:color="auto" w:fill="auto"/>
            <w:vAlign w:val="center"/>
          </w:tcPr>
          <w:p>
            <w:pPr>
              <w:pStyle w:val="24"/>
            </w:pPr>
            <w:r>
              <w:t>厂区及下游地下水，不改变其目前地下水使用功能</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00" w:hRule="atLeast"/>
        </w:trPr>
        <w:tc>
          <w:tcPr>
            <w:tcW w:w="1156" w:type="dxa"/>
            <w:tcBorders>
              <w:top w:val="single" w:color="auto" w:sz="4" w:space="0"/>
              <w:left w:val="nil"/>
              <w:bottom w:val="single" w:color="auto" w:sz="4" w:space="0"/>
              <w:right w:val="single" w:color="auto" w:sz="4" w:space="0"/>
            </w:tcBorders>
            <w:shd w:val="clear" w:color="auto" w:fill="auto"/>
            <w:vAlign w:val="center"/>
          </w:tcPr>
          <w:p>
            <w:pPr>
              <w:pStyle w:val="24"/>
            </w:pPr>
            <w:r>
              <w:t>环境</w:t>
            </w:r>
          </w:p>
          <w:p>
            <w:pPr>
              <w:pStyle w:val="24"/>
            </w:pPr>
            <w:r>
              <w:t>风险</w:t>
            </w:r>
          </w:p>
        </w:tc>
        <w:tc>
          <w:tcPr>
            <w:tcW w:w="5445"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距风险源点半径5km范围内的村庄城镇（见大气环境）</w:t>
            </w:r>
          </w:p>
        </w:tc>
        <w:tc>
          <w:tcPr>
            <w:tcW w:w="1715" w:type="dxa"/>
            <w:tcBorders>
              <w:top w:val="single" w:color="auto" w:sz="4" w:space="0"/>
              <w:left w:val="single" w:color="auto" w:sz="4" w:space="0"/>
              <w:bottom w:val="single" w:color="auto" w:sz="4" w:space="0"/>
              <w:right w:val="nil"/>
            </w:tcBorders>
            <w:shd w:val="clear" w:color="auto" w:fill="auto"/>
            <w:vAlign w:val="center"/>
          </w:tcPr>
          <w:p>
            <w:pPr>
              <w:pStyle w:val="24"/>
            </w:pPr>
            <w:r>
              <w:t>预防突发环境事 件，有效应对，控制环境风险</w:t>
            </w:r>
          </w:p>
        </w:tc>
      </w:tr>
    </w:tbl>
    <w:p>
      <w:pPr>
        <w:pStyle w:val="17"/>
        <w:spacing w:before="156" w:beforeLines="50"/>
      </w:pPr>
      <w:bookmarkStart w:id="92" w:name="_Toc20564"/>
      <w:bookmarkStart w:id="93" w:name="_Toc26199493"/>
      <w:bookmarkStart w:id="94" w:name="_Toc970_WPSOffice_Level1"/>
      <w:r>
        <w:t xml:space="preserve">3.2 </w:t>
      </w:r>
      <w:r>
        <w:rPr>
          <w:rFonts w:hint="eastAsia"/>
          <w:lang w:eastAsia="zh-CN"/>
        </w:rPr>
        <w:t>港丰码头</w:t>
      </w:r>
      <w:r>
        <w:t>建设内容</w:t>
      </w:r>
      <w:bookmarkEnd w:id="92"/>
      <w:bookmarkEnd w:id="93"/>
      <w:bookmarkEnd w:id="94"/>
    </w:p>
    <w:p>
      <w:pPr>
        <w:pStyle w:val="19"/>
        <w:ind w:firstLine="480"/>
        <w:rPr>
          <w:rFonts w:hint="eastAsia"/>
        </w:rPr>
      </w:pPr>
      <w:r>
        <w:rPr>
          <w:rFonts w:hint="eastAsia"/>
        </w:rPr>
        <w:t>港丰码头工程</w:t>
      </w:r>
      <w:r>
        <w:t>组成和建设内容</w:t>
      </w:r>
      <w:r>
        <w:rPr>
          <w:rFonts w:hint="eastAsia"/>
        </w:rPr>
        <w:t>详见表3</w:t>
      </w:r>
      <w:r>
        <w:rPr>
          <w:rFonts w:hint="eastAsia"/>
          <w:lang w:val="en-US" w:eastAsia="zh-CN"/>
        </w:rPr>
        <w:t>.</w:t>
      </w:r>
      <w:r>
        <w:t>2</w:t>
      </w:r>
      <w:r>
        <w:rPr>
          <w:rFonts w:hint="eastAsia"/>
          <w:lang w:val="en-US" w:eastAsia="zh-CN"/>
        </w:rPr>
        <w:t>.1</w:t>
      </w:r>
      <w:r>
        <w:rPr>
          <w:rFonts w:hint="eastAsia"/>
        </w:rPr>
        <w:t>，码头供水、供热、供电、压缩空气、氮气等均由后方库区提供，办公生活设施依托库区，码头污水收集后通过管道送库区污水处理设施处理，码头事故池依托库区。</w:t>
      </w:r>
    </w:p>
    <w:p>
      <w:pPr>
        <w:pStyle w:val="23"/>
        <w:bidi w:val="0"/>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bookmarkStart w:id="95" w:name="_Hlk76391979"/>
    </w:p>
    <w:bookmarkEnd w:id="95"/>
    <w:p>
      <w:pPr>
        <w:pStyle w:val="23"/>
        <w:bidi w:val="0"/>
      </w:pPr>
      <w:r>
        <w:rPr>
          <w:rFonts w:hint="eastAsia"/>
          <w:lang w:eastAsia="zh-CN"/>
        </w:rPr>
        <w:t>表</w:t>
      </w:r>
      <w:r>
        <w:rPr>
          <w:rFonts w:hint="eastAsia"/>
          <w:lang w:val="en-US" w:eastAsia="zh-CN"/>
        </w:rPr>
        <w:t xml:space="preserve">3.2.1 </w:t>
      </w:r>
      <w:r>
        <w:rPr>
          <w:rFonts w:hint="eastAsia"/>
        </w:rPr>
        <w:t>港丰码头工程</w:t>
      </w:r>
      <w:r>
        <w:rPr>
          <w:rFonts w:hint="eastAsia"/>
          <w:lang w:eastAsia="zh-CN"/>
        </w:rPr>
        <w:t>建设内容变化情况</w:t>
      </w:r>
    </w:p>
    <w:tbl>
      <w:tblPr>
        <w:tblStyle w:val="14"/>
        <w:tblW w:w="1400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98"/>
        <w:gridCol w:w="1042"/>
        <w:gridCol w:w="5508"/>
        <w:gridCol w:w="5511"/>
        <w:gridCol w:w="154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440" w:type="dxa"/>
            <w:gridSpan w:val="2"/>
            <w:noWrap w:val="0"/>
            <w:tcMar>
              <w:left w:w="28" w:type="dxa"/>
              <w:right w:w="28" w:type="dxa"/>
            </w:tcMar>
            <w:vAlign w:val="center"/>
          </w:tcPr>
          <w:p>
            <w:pPr>
              <w:pStyle w:val="24"/>
              <w:bidi w:val="0"/>
            </w:pPr>
            <w:r>
              <w:t>项目名称</w:t>
            </w:r>
          </w:p>
        </w:tc>
        <w:tc>
          <w:tcPr>
            <w:tcW w:w="5508" w:type="dxa"/>
            <w:noWrap w:val="0"/>
            <w:tcMar>
              <w:left w:w="28" w:type="dxa"/>
              <w:right w:w="28" w:type="dxa"/>
            </w:tcMar>
            <w:vAlign w:val="center"/>
          </w:tcPr>
          <w:p>
            <w:pPr>
              <w:pStyle w:val="24"/>
              <w:bidi w:val="0"/>
              <w:rPr>
                <w:rFonts w:hint="eastAsia" w:eastAsia="宋体"/>
                <w:lang w:eastAsia="zh-CN"/>
              </w:rPr>
            </w:pPr>
            <w:r>
              <w:rPr>
                <w:rFonts w:hint="eastAsia"/>
                <w:lang w:eastAsia="zh-CN"/>
              </w:rPr>
              <w:t>环评建设内容</w:t>
            </w:r>
          </w:p>
        </w:tc>
        <w:tc>
          <w:tcPr>
            <w:tcW w:w="5511" w:type="dxa"/>
            <w:noWrap w:val="0"/>
            <w:tcMar>
              <w:left w:w="28" w:type="dxa"/>
              <w:right w:w="28" w:type="dxa"/>
            </w:tcMar>
            <w:vAlign w:val="center"/>
          </w:tcPr>
          <w:p>
            <w:pPr>
              <w:pStyle w:val="24"/>
              <w:bidi w:val="0"/>
              <w:rPr>
                <w:rFonts w:hint="eastAsia"/>
              </w:rPr>
            </w:pPr>
            <w:r>
              <w:rPr>
                <w:rFonts w:hint="eastAsia"/>
                <w:lang w:eastAsia="zh-CN"/>
              </w:rPr>
              <w:t>实际建设内容</w:t>
            </w:r>
          </w:p>
        </w:tc>
        <w:tc>
          <w:tcPr>
            <w:tcW w:w="1547" w:type="dxa"/>
            <w:noWrap w:val="0"/>
            <w:tcMar>
              <w:left w:w="28" w:type="dxa"/>
              <w:right w:w="28" w:type="dxa"/>
            </w:tcMar>
            <w:vAlign w:val="center"/>
          </w:tcPr>
          <w:p>
            <w:pPr>
              <w:pStyle w:val="24"/>
              <w:bidi w:val="0"/>
              <w:rPr>
                <w:rFonts w:hint="eastAsia"/>
              </w:rPr>
            </w:pPr>
            <w:r>
              <w:rPr>
                <w:rFonts w:hint="eastAsia"/>
                <w:lang w:eastAsia="zh-CN"/>
              </w:rPr>
              <w:t>变化情况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restart"/>
            <w:tcBorders>
              <w:right w:val="single" w:color="000000" w:sz="4" w:space="0"/>
            </w:tcBorders>
            <w:noWrap w:val="0"/>
            <w:tcMar>
              <w:left w:w="28" w:type="dxa"/>
              <w:right w:w="28" w:type="dxa"/>
            </w:tcMar>
            <w:vAlign w:val="center"/>
          </w:tcPr>
          <w:p>
            <w:pPr>
              <w:pStyle w:val="24"/>
              <w:bidi w:val="0"/>
            </w:pPr>
            <w:r>
              <w:t>主体工程</w:t>
            </w:r>
          </w:p>
        </w:tc>
        <w:tc>
          <w:tcPr>
            <w:tcW w:w="1042" w:type="dxa"/>
            <w:tcBorders>
              <w:left w:val="single" w:color="000000" w:sz="4" w:space="0"/>
            </w:tcBorders>
            <w:noWrap w:val="0"/>
            <w:tcMar>
              <w:left w:w="28" w:type="dxa"/>
              <w:right w:w="28" w:type="dxa"/>
            </w:tcMar>
            <w:vAlign w:val="center"/>
          </w:tcPr>
          <w:p>
            <w:pPr>
              <w:pStyle w:val="24"/>
              <w:bidi w:val="0"/>
            </w:pPr>
            <w:r>
              <w:rPr>
                <w:rFonts w:hint="eastAsia"/>
              </w:rPr>
              <w:t>码头泊位建设规模</w:t>
            </w:r>
          </w:p>
        </w:tc>
        <w:tc>
          <w:tcPr>
            <w:tcW w:w="5508" w:type="dxa"/>
            <w:noWrap w:val="0"/>
            <w:tcMar>
              <w:left w:w="28" w:type="dxa"/>
              <w:right w:w="28" w:type="dxa"/>
            </w:tcMar>
            <w:vAlign w:val="center"/>
          </w:tcPr>
          <w:p>
            <w:pPr>
              <w:pStyle w:val="24"/>
              <w:bidi w:val="0"/>
              <w:rPr>
                <w:rFonts w:hint="eastAsia"/>
                <w:lang w:eastAsia="zh-CN"/>
              </w:rPr>
            </w:pPr>
            <w:r>
              <w:rPr>
                <w:rFonts w:hint="eastAsia"/>
                <w:lang w:eastAsia="zh-CN"/>
              </w:rPr>
              <w:t>3万吨级液体化工码头1座</w:t>
            </w:r>
          </w:p>
        </w:tc>
        <w:tc>
          <w:tcPr>
            <w:tcW w:w="5511" w:type="dxa"/>
            <w:noWrap w:val="0"/>
            <w:tcMar>
              <w:left w:w="28" w:type="dxa"/>
              <w:right w:w="28" w:type="dxa"/>
            </w:tcMar>
            <w:vAlign w:val="center"/>
          </w:tcPr>
          <w:p>
            <w:pPr>
              <w:pStyle w:val="24"/>
              <w:bidi w:val="0"/>
              <w:rPr>
                <w:rFonts w:hint="eastAsia"/>
                <w:lang w:eastAsia="zh-CN"/>
              </w:rPr>
            </w:pPr>
            <w:r>
              <w:rPr>
                <w:rFonts w:hint="eastAsia"/>
                <w:lang w:eastAsia="zh-CN"/>
              </w:rPr>
              <w:t>3万吨级液体化工码头1座（码头水工结构按靠泊</w:t>
            </w:r>
            <w:r>
              <w:rPr>
                <w:rFonts w:hint="eastAsia"/>
                <w:lang w:val="en-US" w:eastAsia="zh-CN"/>
              </w:rPr>
              <w:t>5万吨级油船设计建设</w:t>
            </w:r>
            <w:r>
              <w:rPr>
                <w:rFonts w:hint="eastAsia"/>
                <w:lang w:eastAsia="zh-CN"/>
              </w:rPr>
              <w:t>）</w:t>
            </w:r>
          </w:p>
        </w:tc>
        <w:tc>
          <w:tcPr>
            <w:tcW w:w="1547" w:type="dxa"/>
            <w:noWrap w:val="0"/>
            <w:tcMar>
              <w:left w:w="28" w:type="dxa"/>
              <w:right w:w="28" w:type="dxa"/>
            </w:tcMar>
            <w:vAlign w:val="center"/>
          </w:tcPr>
          <w:p>
            <w:pPr>
              <w:pStyle w:val="24"/>
              <w:bidi w:val="0"/>
              <w:rPr>
                <w:rFonts w:hint="eastAsia"/>
                <w:lang w:eastAsia="zh-CN"/>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tcBorders>
              <w:right w:val="single" w:color="000000" w:sz="4" w:space="0"/>
            </w:tcBorders>
            <w:noWrap w:val="0"/>
            <w:tcMar>
              <w:left w:w="28" w:type="dxa"/>
              <w:right w:w="28" w:type="dxa"/>
            </w:tcMar>
            <w:vAlign w:val="center"/>
          </w:tcPr>
          <w:p>
            <w:pPr>
              <w:pStyle w:val="24"/>
              <w:bidi w:val="0"/>
            </w:pPr>
          </w:p>
        </w:tc>
        <w:tc>
          <w:tcPr>
            <w:tcW w:w="1042" w:type="dxa"/>
            <w:tcBorders>
              <w:left w:val="single" w:color="000000" w:sz="4" w:space="0"/>
            </w:tcBorders>
            <w:noWrap w:val="0"/>
            <w:tcMar>
              <w:left w:w="28" w:type="dxa"/>
              <w:right w:w="28" w:type="dxa"/>
            </w:tcMar>
            <w:vAlign w:val="center"/>
          </w:tcPr>
          <w:p>
            <w:pPr>
              <w:pStyle w:val="24"/>
              <w:bidi w:val="0"/>
              <w:rPr>
                <w:rFonts w:hint="eastAsia" w:eastAsia="宋体"/>
                <w:lang w:eastAsia="zh-CN"/>
              </w:rPr>
            </w:pPr>
            <w:r>
              <w:rPr>
                <w:rFonts w:hint="eastAsia"/>
                <w:lang w:eastAsia="zh-CN"/>
              </w:rPr>
              <w:t>设计吞吐量</w:t>
            </w:r>
          </w:p>
        </w:tc>
        <w:tc>
          <w:tcPr>
            <w:tcW w:w="5508" w:type="dxa"/>
            <w:noWrap w:val="0"/>
            <w:tcMar>
              <w:left w:w="28" w:type="dxa"/>
              <w:right w:w="28" w:type="dxa"/>
            </w:tcMar>
            <w:vAlign w:val="center"/>
          </w:tcPr>
          <w:p>
            <w:pPr>
              <w:pStyle w:val="24"/>
              <w:bidi w:val="0"/>
              <w:rPr>
                <w:rFonts w:hint="eastAsia"/>
                <w:lang w:eastAsia="zh-CN"/>
              </w:rPr>
            </w:pPr>
            <w:r>
              <w:rPr>
                <w:rFonts w:hint="eastAsia"/>
                <w:lang w:eastAsia="zh-CN"/>
              </w:rPr>
              <w:t>178万吨/年</w:t>
            </w:r>
          </w:p>
        </w:tc>
        <w:tc>
          <w:tcPr>
            <w:tcW w:w="5511" w:type="dxa"/>
            <w:noWrap w:val="0"/>
            <w:tcMar>
              <w:left w:w="28" w:type="dxa"/>
              <w:right w:w="28" w:type="dxa"/>
            </w:tcMar>
            <w:vAlign w:val="center"/>
          </w:tcPr>
          <w:p>
            <w:pPr>
              <w:pStyle w:val="24"/>
              <w:bidi w:val="0"/>
              <w:rPr>
                <w:rFonts w:hint="eastAsia"/>
                <w:lang w:eastAsia="zh-CN"/>
              </w:rPr>
            </w:pPr>
            <w:r>
              <w:rPr>
                <w:rFonts w:hint="eastAsia"/>
                <w:lang w:eastAsia="zh-CN"/>
              </w:rPr>
              <w:t>178万吨/年</w:t>
            </w:r>
          </w:p>
        </w:tc>
        <w:tc>
          <w:tcPr>
            <w:tcW w:w="1547" w:type="dxa"/>
            <w:noWrap w:val="0"/>
            <w:tcMar>
              <w:left w:w="28" w:type="dxa"/>
              <w:right w:w="28" w:type="dxa"/>
            </w:tcMar>
            <w:vAlign w:val="center"/>
          </w:tcPr>
          <w:p>
            <w:pPr>
              <w:pStyle w:val="24"/>
              <w:bidi w:val="0"/>
              <w:rPr>
                <w:rFonts w:hint="eastAsia"/>
                <w:lang w:eastAsia="zh-CN"/>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tcBorders>
              <w:right w:val="single" w:color="000000" w:sz="4" w:space="0"/>
            </w:tcBorders>
            <w:noWrap w:val="0"/>
            <w:tcMar>
              <w:left w:w="28" w:type="dxa"/>
              <w:right w:w="28" w:type="dxa"/>
            </w:tcMar>
            <w:vAlign w:val="center"/>
          </w:tcPr>
          <w:p>
            <w:pPr>
              <w:pStyle w:val="24"/>
              <w:bidi w:val="0"/>
            </w:pPr>
          </w:p>
        </w:tc>
        <w:tc>
          <w:tcPr>
            <w:tcW w:w="1042" w:type="dxa"/>
            <w:tcBorders>
              <w:left w:val="single" w:color="000000" w:sz="4" w:space="0"/>
            </w:tcBorders>
            <w:noWrap w:val="0"/>
            <w:tcMar>
              <w:left w:w="28" w:type="dxa"/>
              <w:right w:w="28" w:type="dxa"/>
            </w:tcMar>
            <w:vAlign w:val="center"/>
          </w:tcPr>
          <w:p>
            <w:pPr>
              <w:pStyle w:val="24"/>
              <w:bidi w:val="0"/>
              <w:rPr>
                <w:rFonts w:hint="eastAsia"/>
              </w:rPr>
            </w:pPr>
            <w:r>
              <w:t>码头工作</w:t>
            </w:r>
          </w:p>
          <w:p>
            <w:pPr>
              <w:pStyle w:val="24"/>
              <w:bidi w:val="0"/>
            </w:pPr>
            <w:r>
              <w:t>平台</w:t>
            </w:r>
          </w:p>
        </w:tc>
        <w:tc>
          <w:tcPr>
            <w:tcW w:w="5508" w:type="dxa"/>
            <w:noWrap w:val="0"/>
            <w:tcMar>
              <w:left w:w="28" w:type="dxa"/>
              <w:right w:w="28" w:type="dxa"/>
            </w:tcMar>
            <w:vAlign w:val="center"/>
          </w:tcPr>
          <w:p>
            <w:pPr>
              <w:pStyle w:val="24"/>
              <w:bidi w:val="0"/>
            </w:pPr>
            <w:r>
              <w:t>码头泊位岸线长度320m，设工作平台1个194×28m</w:t>
            </w:r>
            <w:r>
              <w:rPr>
                <w:rFonts w:hint="eastAsia"/>
                <w:lang w:eastAsia="zh-CN"/>
              </w:rPr>
              <w:t>（兼靠船平台）</w:t>
            </w:r>
            <w:r>
              <w:t>，系缆墩4个</w:t>
            </w:r>
            <w:r>
              <w:rPr>
                <w:rFonts w:hint="eastAsia"/>
              </w:rPr>
              <w:t>。</w:t>
            </w:r>
          </w:p>
        </w:tc>
        <w:tc>
          <w:tcPr>
            <w:tcW w:w="5511" w:type="dxa"/>
            <w:noWrap w:val="0"/>
            <w:tcMar>
              <w:left w:w="28" w:type="dxa"/>
              <w:right w:w="28" w:type="dxa"/>
            </w:tcMar>
            <w:vAlign w:val="center"/>
          </w:tcPr>
          <w:p>
            <w:pPr>
              <w:pStyle w:val="24"/>
              <w:bidi w:val="0"/>
            </w:pPr>
            <w:r>
              <w:t>码头泊位岸线长度320m，设工作平台1个194×28m</w:t>
            </w:r>
            <w:r>
              <w:rPr>
                <w:rFonts w:hint="eastAsia"/>
                <w:lang w:eastAsia="zh-CN"/>
              </w:rPr>
              <w:t>（兼靠船平台）</w:t>
            </w:r>
            <w:r>
              <w:t>，系缆墩4个</w:t>
            </w:r>
            <w:r>
              <w:rPr>
                <w:rFonts w:hint="eastAsia"/>
              </w:rPr>
              <w:t>。</w:t>
            </w:r>
          </w:p>
        </w:tc>
        <w:tc>
          <w:tcPr>
            <w:tcW w:w="1547" w:type="dxa"/>
            <w:noWrap w:val="0"/>
            <w:tcMar>
              <w:left w:w="28" w:type="dxa"/>
              <w:right w:w="28" w:type="dxa"/>
            </w:tcMar>
            <w:vAlign w:val="center"/>
          </w:tcPr>
          <w:p>
            <w:pPr>
              <w:pStyle w:val="24"/>
              <w:bidi w:val="0"/>
              <w:rPr>
                <w:rFonts w:hint="eastAsia" w:eastAsia="宋体"/>
                <w:lang w:eastAsia="zh-CN"/>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tcBorders>
              <w:right w:val="single" w:color="000000" w:sz="4" w:space="0"/>
            </w:tcBorders>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pPr>
            <w:r>
              <w:t>栈桥</w:t>
            </w:r>
          </w:p>
        </w:tc>
        <w:tc>
          <w:tcPr>
            <w:tcW w:w="5508" w:type="dxa"/>
            <w:noWrap w:val="0"/>
            <w:tcMar>
              <w:left w:w="28" w:type="dxa"/>
              <w:right w:w="28" w:type="dxa"/>
            </w:tcMar>
            <w:vAlign w:val="center"/>
          </w:tcPr>
          <w:p>
            <w:pPr>
              <w:pStyle w:val="24"/>
              <w:bidi w:val="0"/>
            </w:pPr>
            <w:r>
              <w:rPr>
                <w:rFonts w:hint="eastAsia"/>
              </w:rPr>
              <w:t>码头工作平台与后方陆域库区成“T”型布置，通过一条</w:t>
            </w:r>
            <w:r>
              <w:t>宽12m、长207.005m</w:t>
            </w:r>
            <w:r>
              <w:rPr>
                <w:rFonts w:hint="eastAsia"/>
              </w:rPr>
              <w:t>的栈桥与后方陆域连接。</w:t>
            </w:r>
          </w:p>
        </w:tc>
        <w:tc>
          <w:tcPr>
            <w:tcW w:w="5511" w:type="dxa"/>
            <w:noWrap w:val="0"/>
            <w:tcMar>
              <w:left w:w="28" w:type="dxa"/>
              <w:right w:w="28" w:type="dxa"/>
            </w:tcMar>
            <w:vAlign w:val="center"/>
          </w:tcPr>
          <w:p>
            <w:pPr>
              <w:pStyle w:val="24"/>
              <w:bidi w:val="0"/>
              <w:rPr>
                <w:rFonts w:hint="eastAsia"/>
              </w:rPr>
            </w:pPr>
            <w:r>
              <w:rPr>
                <w:rFonts w:hint="eastAsia"/>
              </w:rPr>
              <w:t>码头工作平台与后方陆域库区成“T”型布置，通过一条</w:t>
            </w:r>
            <w:r>
              <w:t>宽12m、长207.005m</w:t>
            </w:r>
            <w:r>
              <w:rPr>
                <w:rFonts w:hint="eastAsia"/>
              </w:rPr>
              <w:t>的栈桥与后方陆域连接。</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tcBorders>
              <w:right w:val="single" w:color="000000" w:sz="4" w:space="0"/>
            </w:tcBorders>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rPr>
                <w:rFonts w:hint="eastAsia"/>
              </w:rPr>
            </w:pPr>
            <w:r>
              <w:t>码头装卸</w:t>
            </w:r>
          </w:p>
          <w:p>
            <w:pPr>
              <w:pStyle w:val="24"/>
              <w:bidi w:val="0"/>
            </w:pPr>
            <w:r>
              <w:t>设施</w:t>
            </w:r>
          </w:p>
        </w:tc>
        <w:tc>
          <w:tcPr>
            <w:tcW w:w="5508" w:type="dxa"/>
            <w:noWrap w:val="0"/>
            <w:tcMar>
              <w:left w:w="28" w:type="dxa"/>
              <w:right w:w="28" w:type="dxa"/>
            </w:tcMar>
            <w:vAlign w:val="center"/>
          </w:tcPr>
          <w:p>
            <w:pPr>
              <w:pStyle w:val="24"/>
              <w:bidi w:val="0"/>
            </w:pPr>
            <w:r>
              <w:rPr>
                <w:rFonts w:hint="eastAsia"/>
              </w:rPr>
              <w:t>在</w:t>
            </w:r>
            <w:r>
              <w:t>30000</w:t>
            </w:r>
            <w:r>
              <w:rPr>
                <w:rFonts w:hint="eastAsia"/>
              </w:rPr>
              <w:t>吨级装卸点设置</w:t>
            </w:r>
            <w:r>
              <w:t>3</w:t>
            </w:r>
            <w:r>
              <w:rPr>
                <w:rFonts w:hint="eastAsia"/>
              </w:rPr>
              <w:t>台装卸臂；在</w:t>
            </w:r>
            <w:r>
              <w:t>5000</w:t>
            </w:r>
            <w:r>
              <w:rPr>
                <w:rFonts w:hint="eastAsia"/>
              </w:rPr>
              <w:t>吨级、</w:t>
            </w:r>
            <w:r>
              <w:t>3000</w:t>
            </w:r>
            <w:r>
              <w:rPr>
                <w:rFonts w:hint="eastAsia"/>
              </w:rPr>
              <w:t>吨级装卸点设置装卸软管并各预留1个装卸臂孔位。</w:t>
            </w:r>
          </w:p>
        </w:tc>
        <w:tc>
          <w:tcPr>
            <w:tcW w:w="5511" w:type="dxa"/>
            <w:noWrap w:val="0"/>
            <w:tcMar>
              <w:left w:w="28" w:type="dxa"/>
              <w:right w:w="28" w:type="dxa"/>
            </w:tcMar>
            <w:vAlign w:val="center"/>
          </w:tcPr>
          <w:p>
            <w:pPr>
              <w:pStyle w:val="24"/>
              <w:bidi w:val="0"/>
              <w:rPr>
                <w:rFonts w:hint="eastAsia"/>
              </w:rPr>
            </w:pPr>
            <w:r>
              <w:rPr>
                <w:rFonts w:hint="eastAsia"/>
              </w:rPr>
              <w:t>在</w:t>
            </w:r>
            <w:r>
              <w:t>30000</w:t>
            </w:r>
            <w:r>
              <w:rPr>
                <w:rFonts w:hint="eastAsia"/>
              </w:rPr>
              <w:t>吨级装卸点设置</w:t>
            </w:r>
            <w:r>
              <w:t>3</w:t>
            </w:r>
            <w:r>
              <w:rPr>
                <w:rFonts w:hint="eastAsia"/>
              </w:rPr>
              <w:t>台</w:t>
            </w:r>
            <w:r>
              <w:rPr>
                <w:rFonts w:hint="eastAsia"/>
                <w:lang w:val="en-US" w:eastAsia="zh-CN"/>
              </w:rPr>
              <w:t>DN200的</w:t>
            </w:r>
            <w:r>
              <w:rPr>
                <w:rFonts w:hint="eastAsia"/>
              </w:rPr>
              <w:t>装卸臂</w:t>
            </w:r>
            <w:r>
              <w:rPr>
                <w:rFonts w:hint="eastAsia"/>
                <w:lang w:eastAsia="zh-CN"/>
              </w:rPr>
              <w:t>（液动）</w:t>
            </w:r>
            <w:r>
              <w:rPr>
                <w:rFonts w:hint="eastAsia"/>
              </w:rPr>
              <w:t>；在</w:t>
            </w:r>
            <w:r>
              <w:t>5000</w:t>
            </w:r>
            <w:r>
              <w:rPr>
                <w:rFonts w:hint="eastAsia"/>
              </w:rPr>
              <w:t>吨级、</w:t>
            </w:r>
            <w:r>
              <w:t>3000</w:t>
            </w:r>
            <w:r>
              <w:rPr>
                <w:rFonts w:hint="eastAsia"/>
              </w:rPr>
              <w:t>吨级装卸点设置装卸软管并各预留1个装卸臂孔位。</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tcBorders>
              <w:right w:val="single" w:color="000000" w:sz="4" w:space="0"/>
            </w:tcBorders>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rPr>
                <w:rFonts w:hint="eastAsia"/>
              </w:rPr>
            </w:pPr>
            <w:r>
              <w:rPr>
                <w:rFonts w:hint="eastAsia"/>
              </w:rPr>
              <w:t>物料</w:t>
            </w:r>
            <w:r>
              <w:t>输送</w:t>
            </w:r>
          </w:p>
          <w:p>
            <w:pPr>
              <w:pStyle w:val="24"/>
              <w:bidi w:val="0"/>
            </w:pPr>
            <w:r>
              <w:t>管线</w:t>
            </w:r>
          </w:p>
        </w:tc>
        <w:tc>
          <w:tcPr>
            <w:tcW w:w="5508" w:type="dxa"/>
            <w:noWrap w:val="0"/>
            <w:tcMar>
              <w:left w:w="28" w:type="dxa"/>
              <w:right w:w="28" w:type="dxa"/>
            </w:tcMar>
            <w:vAlign w:val="center"/>
          </w:tcPr>
          <w:p>
            <w:pPr>
              <w:pStyle w:val="24"/>
              <w:bidi w:val="0"/>
            </w:pPr>
            <w:r>
              <w:rPr>
                <w:rFonts w:hint="eastAsia"/>
              </w:rPr>
              <w:t>码头共建设2</w:t>
            </w:r>
            <w:r>
              <w:t>5</w:t>
            </w:r>
            <w:r>
              <w:rPr>
                <w:rFonts w:hint="eastAsia"/>
              </w:rPr>
              <w:t>条工艺管线，其中7条工艺管道为预留</w:t>
            </w:r>
            <w:r>
              <w:rPr>
                <w:rFonts w:hint="eastAsia"/>
                <w:lang w:eastAsia="zh-CN"/>
              </w:rPr>
              <w:t>（已建成）</w:t>
            </w:r>
            <w:r>
              <w:rPr>
                <w:rFonts w:hint="eastAsia"/>
              </w:rPr>
              <w:t>，满足货种调整改扩建工程需要。对于醋酸、乙二醇等腐蚀性较强的品种，采用不锈钢钢管。其余品种管线采用</w:t>
            </w:r>
            <w:r>
              <w:t>20#</w:t>
            </w:r>
            <w:r>
              <w:rPr>
                <w:rFonts w:hint="eastAsia"/>
              </w:rPr>
              <w:t>无缝钢管。</w:t>
            </w:r>
          </w:p>
        </w:tc>
        <w:tc>
          <w:tcPr>
            <w:tcW w:w="5511" w:type="dxa"/>
            <w:noWrap w:val="0"/>
            <w:tcMar>
              <w:left w:w="28" w:type="dxa"/>
              <w:right w:w="28" w:type="dxa"/>
            </w:tcMar>
            <w:vAlign w:val="center"/>
          </w:tcPr>
          <w:p>
            <w:pPr>
              <w:pStyle w:val="24"/>
              <w:bidi w:val="0"/>
              <w:rPr>
                <w:rFonts w:hint="eastAsia"/>
              </w:rPr>
            </w:pPr>
            <w:r>
              <w:rPr>
                <w:rFonts w:hint="eastAsia"/>
              </w:rPr>
              <w:t>码头共建设2</w:t>
            </w:r>
            <w:r>
              <w:t>5</w:t>
            </w:r>
            <w:r>
              <w:rPr>
                <w:rFonts w:hint="eastAsia"/>
              </w:rPr>
              <w:t>条工艺管线，满足货种调整改扩建工程需要。对于醋酸、乙二醇等腐蚀性较强的品种，采用不锈钢钢管。其余品种管线采用</w:t>
            </w:r>
            <w:r>
              <w:t>20#</w:t>
            </w:r>
            <w:r>
              <w:rPr>
                <w:rFonts w:hint="eastAsia"/>
              </w:rPr>
              <w:t>无缝钢管。</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restart"/>
            <w:noWrap w:val="0"/>
            <w:tcMar>
              <w:left w:w="28" w:type="dxa"/>
              <w:right w:w="28" w:type="dxa"/>
            </w:tcMar>
            <w:vAlign w:val="center"/>
          </w:tcPr>
          <w:p>
            <w:pPr>
              <w:pStyle w:val="24"/>
              <w:bidi w:val="0"/>
            </w:pPr>
            <w:r>
              <w:t>公用工程</w:t>
            </w:r>
          </w:p>
        </w:tc>
        <w:tc>
          <w:tcPr>
            <w:tcW w:w="1042" w:type="dxa"/>
            <w:noWrap w:val="0"/>
            <w:tcMar>
              <w:left w:w="28" w:type="dxa"/>
              <w:right w:w="28" w:type="dxa"/>
            </w:tcMar>
            <w:vAlign w:val="center"/>
          </w:tcPr>
          <w:p>
            <w:pPr>
              <w:pStyle w:val="24"/>
              <w:bidi w:val="0"/>
            </w:pPr>
            <w:r>
              <w:rPr>
                <w:rFonts w:hint="eastAsia"/>
              </w:rPr>
              <w:t>供电设施</w:t>
            </w:r>
          </w:p>
        </w:tc>
        <w:tc>
          <w:tcPr>
            <w:tcW w:w="5508" w:type="dxa"/>
            <w:noWrap w:val="0"/>
            <w:tcMar>
              <w:left w:w="28" w:type="dxa"/>
              <w:right w:w="28" w:type="dxa"/>
            </w:tcMar>
            <w:vAlign w:val="center"/>
          </w:tcPr>
          <w:p>
            <w:pPr>
              <w:pStyle w:val="24"/>
              <w:bidi w:val="0"/>
            </w:pPr>
            <w:r>
              <w:rPr>
                <w:rFonts w:hint="eastAsia"/>
              </w:rPr>
              <w:t>码头消控室内设低压配电柜。供电电源由港区后方库区变电所0</w:t>
            </w:r>
            <w:r>
              <w:t>.4KV</w:t>
            </w:r>
            <w:r>
              <w:rPr>
                <w:rFonts w:hint="eastAsia"/>
              </w:rPr>
              <w:t>系统和消防电源0</w:t>
            </w:r>
            <w:r>
              <w:t>.4KV</w:t>
            </w:r>
            <w:r>
              <w:rPr>
                <w:rFonts w:hint="eastAsia"/>
              </w:rPr>
              <w:t>系统各引一路专线电缆线路，至码头前方消控室的低压配电柜，进行分配电，分别供全码头的生产、照明负荷和消防负荷。</w:t>
            </w:r>
          </w:p>
        </w:tc>
        <w:tc>
          <w:tcPr>
            <w:tcW w:w="5511" w:type="dxa"/>
            <w:noWrap w:val="0"/>
            <w:tcMar>
              <w:left w:w="28" w:type="dxa"/>
              <w:right w:w="28" w:type="dxa"/>
            </w:tcMar>
            <w:vAlign w:val="center"/>
          </w:tcPr>
          <w:p>
            <w:pPr>
              <w:pStyle w:val="24"/>
              <w:bidi w:val="0"/>
              <w:rPr>
                <w:rFonts w:hint="eastAsia"/>
              </w:rPr>
            </w:pPr>
            <w:r>
              <w:rPr>
                <w:rFonts w:hint="eastAsia"/>
              </w:rPr>
              <w:t>码头消控室内设低压配电柜。供电电源由港区后方库区变电所0</w:t>
            </w:r>
            <w:r>
              <w:t>.4KV</w:t>
            </w:r>
            <w:r>
              <w:rPr>
                <w:rFonts w:hint="eastAsia"/>
              </w:rPr>
              <w:t>系统和消防电源0</w:t>
            </w:r>
            <w:r>
              <w:t>.4KV</w:t>
            </w:r>
            <w:r>
              <w:rPr>
                <w:rFonts w:hint="eastAsia"/>
              </w:rPr>
              <w:t>系统各引一路专线电缆线路，至码头前方消控室的低压配电柜，进行分配电，分别供全码头的生产、照明负荷和消防负荷。</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pPr>
            <w:r>
              <w:rPr>
                <w:rFonts w:hint="eastAsia"/>
              </w:rPr>
              <w:t>供水设施</w:t>
            </w:r>
          </w:p>
        </w:tc>
        <w:tc>
          <w:tcPr>
            <w:tcW w:w="5508" w:type="dxa"/>
            <w:noWrap w:val="0"/>
            <w:tcMar>
              <w:left w:w="28" w:type="dxa"/>
              <w:right w:w="28" w:type="dxa"/>
            </w:tcMar>
            <w:vAlign w:val="center"/>
          </w:tcPr>
          <w:p>
            <w:pPr>
              <w:pStyle w:val="24"/>
              <w:bidi w:val="0"/>
            </w:pPr>
            <w:r>
              <w:rPr>
                <w:rFonts w:hint="eastAsia"/>
              </w:rPr>
              <w:t>给水系统分：</w:t>
            </w:r>
            <w:r>
              <w:t>生活给水系统，接管管径为DN150；消防给水系统分别设置1根管径为DN350的消防水管和1根DN200泡沫混合液管。</w:t>
            </w:r>
            <w:r>
              <w:rPr>
                <w:rFonts w:hint="eastAsia"/>
              </w:rPr>
              <w:t>生活给水和消防给水均考虑由库区相应的系统供给，接管点设在驳岸与栈桥交接处，以控制阀门为界。</w:t>
            </w:r>
          </w:p>
        </w:tc>
        <w:tc>
          <w:tcPr>
            <w:tcW w:w="5511" w:type="dxa"/>
            <w:noWrap w:val="0"/>
            <w:tcMar>
              <w:left w:w="28" w:type="dxa"/>
              <w:right w:w="28" w:type="dxa"/>
            </w:tcMar>
            <w:vAlign w:val="center"/>
          </w:tcPr>
          <w:p>
            <w:pPr>
              <w:pStyle w:val="24"/>
              <w:bidi w:val="0"/>
              <w:rPr>
                <w:rFonts w:hint="eastAsia"/>
              </w:rPr>
            </w:pPr>
            <w:r>
              <w:rPr>
                <w:rFonts w:hint="eastAsia"/>
              </w:rPr>
              <w:t>给水系统分：</w:t>
            </w:r>
            <w:r>
              <w:t>生活给水系统，接管管径为DN150；消防给水系统分别设置1根管径为DN350的消防水管和1根DN200泡沫混合液管。</w:t>
            </w:r>
            <w:r>
              <w:rPr>
                <w:rFonts w:hint="eastAsia"/>
              </w:rPr>
              <w:t>生活给水和消防给水均考虑由库区相应的系统供给，接管点设在驳岸与栈桥交接处，以控制阀门为界。</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pPr>
            <w:r>
              <w:rPr>
                <w:rFonts w:hint="eastAsia"/>
              </w:rPr>
              <w:t>排水设施</w:t>
            </w:r>
          </w:p>
        </w:tc>
        <w:tc>
          <w:tcPr>
            <w:tcW w:w="5508" w:type="dxa"/>
            <w:noWrap w:val="0"/>
            <w:tcMar>
              <w:left w:w="28" w:type="dxa"/>
              <w:right w:w="28" w:type="dxa"/>
            </w:tcMar>
            <w:vAlign w:val="center"/>
          </w:tcPr>
          <w:p>
            <w:pPr>
              <w:pStyle w:val="24"/>
              <w:bidi w:val="0"/>
            </w:pPr>
            <w:r>
              <w:rPr>
                <w:rFonts w:hint="eastAsia"/>
              </w:rPr>
              <w:t>采用分流制排放，码头非装卸区地面雨水，通过地面坡度自流排入海中；在装卸区范围内设置围坎，并设置导流沟、集污池收集地面雨污水和冲洗污水，经防爆排污泵</w:t>
            </w:r>
            <w:r>
              <w:rPr>
                <w:rFonts w:hint="eastAsia"/>
                <w:lang w:eastAsia="zh-CN"/>
              </w:rPr>
              <w:t>（配套浮球液位自动控制器）</w:t>
            </w:r>
            <w:r>
              <w:rPr>
                <w:rFonts w:hint="eastAsia"/>
              </w:rPr>
              <w:t>提升至污水管，由污水管送至库区污水处理系统统一处理。</w:t>
            </w:r>
          </w:p>
        </w:tc>
        <w:tc>
          <w:tcPr>
            <w:tcW w:w="5511" w:type="dxa"/>
            <w:noWrap w:val="0"/>
            <w:tcMar>
              <w:left w:w="28" w:type="dxa"/>
              <w:right w:w="28" w:type="dxa"/>
            </w:tcMar>
            <w:vAlign w:val="center"/>
          </w:tcPr>
          <w:p>
            <w:pPr>
              <w:pStyle w:val="24"/>
              <w:bidi w:val="0"/>
              <w:rPr>
                <w:rFonts w:hint="eastAsia"/>
              </w:rPr>
            </w:pPr>
            <w:r>
              <w:rPr>
                <w:rFonts w:hint="eastAsia"/>
              </w:rPr>
              <w:t>采用分流制排放，码头非装卸区地面雨水，通过地面坡度自流排入海中；在装卸区范围内设置围坎，并设置导流沟、集污池收集地面雨污水和冲洗污水，经防爆排污泵</w:t>
            </w:r>
            <w:r>
              <w:rPr>
                <w:rFonts w:hint="eastAsia"/>
                <w:lang w:eastAsia="zh-CN"/>
              </w:rPr>
              <w:t>（配套浮球液位自动控制器）</w:t>
            </w:r>
            <w:r>
              <w:rPr>
                <w:rFonts w:hint="eastAsia"/>
              </w:rPr>
              <w:t>提升至污水管，由污水管送至库区污水处理系统统一处理。</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pPr>
            <w:r>
              <w:rPr>
                <w:rFonts w:hint="eastAsia"/>
              </w:rPr>
              <w:t>管线伴热</w:t>
            </w:r>
          </w:p>
          <w:p>
            <w:pPr>
              <w:pStyle w:val="24"/>
              <w:bidi w:val="0"/>
            </w:pPr>
            <w:r>
              <w:rPr>
                <w:rFonts w:hint="eastAsia"/>
              </w:rPr>
              <w:t>设施</w:t>
            </w:r>
          </w:p>
        </w:tc>
        <w:tc>
          <w:tcPr>
            <w:tcW w:w="5508" w:type="dxa"/>
            <w:noWrap w:val="0"/>
            <w:tcMar>
              <w:left w:w="28" w:type="dxa"/>
              <w:right w:w="28" w:type="dxa"/>
            </w:tcMar>
            <w:vAlign w:val="center"/>
          </w:tcPr>
          <w:p>
            <w:pPr>
              <w:pStyle w:val="24"/>
              <w:bidi w:val="0"/>
            </w:pPr>
            <w:r>
              <w:rPr>
                <w:rFonts w:hint="eastAsia"/>
              </w:rPr>
              <w:t>考虑到本工程码头前沿至后方罐区的输送距离较长，本工程的管道伴热采用电伴热方案。</w:t>
            </w:r>
          </w:p>
        </w:tc>
        <w:tc>
          <w:tcPr>
            <w:tcW w:w="5511" w:type="dxa"/>
            <w:noWrap w:val="0"/>
            <w:tcMar>
              <w:left w:w="28" w:type="dxa"/>
              <w:right w:w="28" w:type="dxa"/>
            </w:tcMar>
            <w:vAlign w:val="center"/>
          </w:tcPr>
          <w:p>
            <w:pPr>
              <w:pStyle w:val="24"/>
              <w:bidi w:val="0"/>
              <w:rPr>
                <w:rFonts w:hint="eastAsia"/>
              </w:rPr>
            </w:pPr>
            <w:r>
              <w:rPr>
                <w:rFonts w:hint="eastAsia"/>
              </w:rPr>
              <w:t>本工程的管道伴热采用电伴热方案。</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pPr>
            <w:r>
              <w:rPr>
                <w:rFonts w:hint="eastAsia"/>
              </w:rPr>
              <w:t>管线扫线</w:t>
            </w:r>
          </w:p>
          <w:p>
            <w:pPr>
              <w:pStyle w:val="24"/>
              <w:bidi w:val="0"/>
            </w:pPr>
            <w:r>
              <w:rPr>
                <w:rFonts w:hint="eastAsia"/>
              </w:rPr>
              <w:t>设施</w:t>
            </w:r>
          </w:p>
        </w:tc>
        <w:tc>
          <w:tcPr>
            <w:tcW w:w="5508" w:type="dxa"/>
            <w:noWrap w:val="0"/>
            <w:tcMar>
              <w:left w:w="28" w:type="dxa"/>
              <w:right w:w="28" w:type="dxa"/>
            </w:tcMar>
            <w:vAlign w:val="center"/>
          </w:tcPr>
          <w:p>
            <w:pPr>
              <w:pStyle w:val="24"/>
              <w:bidi w:val="0"/>
            </w:pPr>
            <w:r>
              <w:rPr>
                <w:rFonts w:hint="eastAsia"/>
              </w:rPr>
              <w:t>压缩空气和氮气管线共用管架敷设至码头。氮气、压缩空气由后方库区供给。</w:t>
            </w:r>
          </w:p>
        </w:tc>
        <w:tc>
          <w:tcPr>
            <w:tcW w:w="5511" w:type="dxa"/>
            <w:noWrap w:val="0"/>
            <w:tcMar>
              <w:left w:w="28" w:type="dxa"/>
              <w:right w:w="28" w:type="dxa"/>
            </w:tcMar>
            <w:vAlign w:val="center"/>
          </w:tcPr>
          <w:p>
            <w:pPr>
              <w:pStyle w:val="24"/>
              <w:bidi w:val="0"/>
              <w:rPr>
                <w:rFonts w:hint="default" w:eastAsia="宋体"/>
                <w:lang w:val="en-US" w:eastAsia="zh-CN"/>
              </w:rPr>
            </w:pPr>
            <w:r>
              <w:rPr>
                <w:rFonts w:hint="eastAsia"/>
                <w:lang w:val="en-US" w:eastAsia="zh-CN"/>
              </w:rPr>
              <w:t>码头管道采用氮气扫线，每次装卸完成后，对装卸臂和复合软管进行清扫，将装卸臂和复合软管内残存物料扫向储罐。专管专用的管道，一般只扫线不清洗，当管道检修时，利用氮气将管道内物料扫向后方罐区并清洗；公用管道码头上设清管器（收发球器），当管道输送物料更换时，利用氮气推动清管球将管道内物料扫向后方仓储区。</w:t>
            </w:r>
          </w:p>
        </w:tc>
        <w:tc>
          <w:tcPr>
            <w:tcW w:w="1547" w:type="dxa"/>
            <w:noWrap w:val="0"/>
            <w:tcMar>
              <w:left w:w="28" w:type="dxa"/>
              <w:right w:w="28" w:type="dxa"/>
            </w:tcMar>
            <w:vAlign w:val="center"/>
          </w:tcPr>
          <w:p>
            <w:pPr>
              <w:pStyle w:val="24"/>
              <w:bidi w:val="0"/>
              <w:rPr>
                <w:rFonts w:hint="eastAsia"/>
                <w:lang w:eastAsia="zh-CN"/>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pPr>
            <w:r>
              <w:rPr>
                <w:rFonts w:hint="eastAsia"/>
              </w:rPr>
              <w:t>消防设施</w:t>
            </w:r>
          </w:p>
        </w:tc>
        <w:tc>
          <w:tcPr>
            <w:tcW w:w="5508" w:type="dxa"/>
            <w:noWrap w:val="0"/>
            <w:tcMar>
              <w:left w:w="28" w:type="dxa"/>
              <w:right w:w="28" w:type="dxa"/>
            </w:tcMar>
            <w:vAlign w:val="center"/>
          </w:tcPr>
          <w:p>
            <w:pPr>
              <w:pStyle w:val="24"/>
              <w:bidi w:val="0"/>
            </w:pPr>
            <w:r>
              <w:rPr>
                <w:rFonts w:hint="eastAsia"/>
              </w:rPr>
              <w:t>本工程码头上共设</w:t>
            </w:r>
            <w:r>
              <w:t>4</w:t>
            </w:r>
            <w:r>
              <w:rPr>
                <w:rFonts w:hint="eastAsia"/>
              </w:rPr>
              <w:t>座消防炮塔，每座炮塔设置</w:t>
            </w:r>
            <w:r>
              <w:t>1</w:t>
            </w:r>
            <w:r>
              <w:rPr>
                <w:rFonts w:hint="eastAsia"/>
              </w:rPr>
              <w:t>门水炮和</w:t>
            </w:r>
            <w:r>
              <w:t>1</w:t>
            </w:r>
            <w:r>
              <w:rPr>
                <w:rFonts w:hint="eastAsia"/>
              </w:rPr>
              <w:t>门泡沫炮。栈桥、码头上消防水管和泡沫混合液管每隔不大于</w:t>
            </w:r>
            <w:r>
              <w:t>60m</w:t>
            </w:r>
            <w:r>
              <w:rPr>
                <w:rFonts w:hint="eastAsia"/>
              </w:rPr>
              <w:t>设消防水栓和泡沫栓各1个，并配消防箱一个，供移动式水-泡沫两用炮使用。</w:t>
            </w:r>
          </w:p>
        </w:tc>
        <w:tc>
          <w:tcPr>
            <w:tcW w:w="5511" w:type="dxa"/>
            <w:noWrap w:val="0"/>
            <w:tcMar>
              <w:left w:w="28" w:type="dxa"/>
              <w:right w:w="28" w:type="dxa"/>
            </w:tcMar>
            <w:vAlign w:val="center"/>
          </w:tcPr>
          <w:p>
            <w:pPr>
              <w:pStyle w:val="24"/>
              <w:bidi w:val="0"/>
              <w:rPr>
                <w:rFonts w:hint="eastAsia"/>
              </w:rPr>
            </w:pPr>
            <w:r>
              <w:rPr>
                <w:rFonts w:hint="eastAsia"/>
              </w:rPr>
              <w:t>本工程码头上共设</w:t>
            </w:r>
            <w:r>
              <w:t>4</w:t>
            </w:r>
            <w:r>
              <w:rPr>
                <w:rFonts w:hint="eastAsia"/>
              </w:rPr>
              <w:t>座消防炮塔，每座炮塔设置</w:t>
            </w:r>
            <w:r>
              <w:t>1</w:t>
            </w:r>
            <w:r>
              <w:rPr>
                <w:rFonts w:hint="eastAsia"/>
              </w:rPr>
              <w:t>门水炮和</w:t>
            </w:r>
            <w:r>
              <w:t>1</w:t>
            </w:r>
            <w:r>
              <w:rPr>
                <w:rFonts w:hint="eastAsia"/>
              </w:rPr>
              <w:t>门泡沫炮。栈桥、码头上消防水管和泡沫混合液管每隔不大于</w:t>
            </w:r>
            <w:r>
              <w:t>60m</w:t>
            </w:r>
            <w:r>
              <w:rPr>
                <w:rFonts w:hint="eastAsia"/>
              </w:rPr>
              <w:t>设消防水栓和泡沫栓各1个，并配消防箱一个，供移动式水-泡沫两用炮使用。</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restart"/>
            <w:noWrap w:val="0"/>
            <w:tcMar>
              <w:left w:w="28" w:type="dxa"/>
              <w:right w:w="28" w:type="dxa"/>
            </w:tcMar>
            <w:vAlign w:val="center"/>
          </w:tcPr>
          <w:p>
            <w:pPr>
              <w:pStyle w:val="24"/>
              <w:bidi w:val="0"/>
            </w:pPr>
            <w:r>
              <w:rPr>
                <w:rFonts w:hint="eastAsia"/>
              </w:rPr>
              <w:t>环保工程</w:t>
            </w:r>
          </w:p>
        </w:tc>
        <w:tc>
          <w:tcPr>
            <w:tcW w:w="1042" w:type="dxa"/>
            <w:noWrap w:val="0"/>
            <w:tcMar>
              <w:left w:w="28" w:type="dxa"/>
              <w:right w:w="28" w:type="dxa"/>
            </w:tcMar>
            <w:vAlign w:val="center"/>
          </w:tcPr>
          <w:p>
            <w:pPr>
              <w:pStyle w:val="24"/>
              <w:bidi w:val="0"/>
              <w:rPr>
                <w:rFonts w:hint="eastAsia"/>
              </w:rPr>
            </w:pPr>
            <w:r>
              <w:rPr>
                <w:rFonts w:hint="eastAsia"/>
              </w:rPr>
              <w:t>废水处理设施</w:t>
            </w:r>
          </w:p>
        </w:tc>
        <w:tc>
          <w:tcPr>
            <w:tcW w:w="5508" w:type="dxa"/>
            <w:noWrap w:val="0"/>
            <w:tcMar>
              <w:left w:w="28" w:type="dxa"/>
              <w:right w:w="28" w:type="dxa"/>
            </w:tcMar>
            <w:vAlign w:val="center"/>
          </w:tcPr>
          <w:p>
            <w:pPr>
              <w:pStyle w:val="24"/>
              <w:bidi w:val="0"/>
              <w:rPr>
                <w:rFonts w:hint="eastAsia"/>
              </w:rPr>
            </w:pPr>
            <w:r>
              <w:rPr>
                <w:rFonts w:hint="eastAsia"/>
              </w:rPr>
              <w:t>从码头前沿至后方库区污水站设一根污水管，用于输送码头初期雨污水、冲洗水和洗舱水等。</w:t>
            </w:r>
          </w:p>
        </w:tc>
        <w:tc>
          <w:tcPr>
            <w:tcW w:w="5511" w:type="dxa"/>
            <w:noWrap w:val="0"/>
            <w:tcMar>
              <w:left w:w="28" w:type="dxa"/>
              <w:right w:w="28" w:type="dxa"/>
            </w:tcMar>
            <w:vAlign w:val="center"/>
          </w:tcPr>
          <w:p>
            <w:pPr>
              <w:pStyle w:val="24"/>
              <w:bidi w:val="0"/>
              <w:rPr>
                <w:rFonts w:hint="eastAsia"/>
              </w:rPr>
            </w:pPr>
            <w:r>
              <w:rPr>
                <w:rFonts w:hint="eastAsia"/>
              </w:rPr>
              <w:t>从码头前沿至后方库区污水站设一根污水管，用于输送码头初期雨污水、冲洗水和洗舱水等。</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rPr>
                <w:rFonts w:hint="eastAsia"/>
              </w:rPr>
            </w:pPr>
            <w:r>
              <w:t>废气收集处理</w:t>
            </w:r>
            <w:r>
              <w:rPr>
                <w:rFonts w:hint="eastAsia"/>
              </w:rPr>
              <w:t>系统</w:t>
            </w:r>
          </w:p>
        </w:tc>
        <w:tc>
          <w:tcPr>
            <w:tcW w:w="5508" w:type="dxa"/>
            <w:noWrap w:val="0"/>
            <w:tcMar>
              <w:left w:w="28" w:type="dxa"/>
              <w:right w:w="28" w:type="dxa"/>
            </w:tcMar>
            <w:vAlign w:val="center"/>
          </w:tcPr>
          <w:p>
            <w:pPr>
              <w:pStyle w:val="24"/>
              <w:bidi w:val="0"/>
              <w:rPr>
                <w:rFonts w:hint="eastAsia"/>
              </w:rPr>
            </w:pPr>
            <w:r>
              <w:t>油品、化工品装船采用</w:t>
            </w:r>
            <w:r>
              <w:rPr>
                <w:rFonts w:hint="eastAsia"/>
              </w:rPr>
              <w:t>底部装船</w:t>
            </w:r>
            <w:r>
              <w:t>，在装船过程进行密闭收集</w:t>
            </w:r>
            <w:r>
              <w:rPr>
                <w:rFonts w:hint="eastAsia"/>
              </w:rPr>
              <w:t>。码头设油气回收管道，装船时连通后方库区油气回收处理装置。</w:t>
            </w:r>
          </w:p>
        </w:tc>
        <w:tc>
          <w:tcPr>
            <w:tcW w:w="5511" w:type="dxa"/>
            <w:noWrap w:val="0"/>
            <w:tcMar>
              <w:left w:w="28" w:type="dxa"/>
              <w:right w:w="28" w:type="dxa"/>
            </w:tcMar>
            <w:vAlign w:val="center"/>
          </w:tcPr>
          <w:p>
            <w:pPr>
              <w:pStyle w:val="24"/>
              <w:bidi w:val="0"/>
            </w:pPr>
            <w:r>
              <w:t>油品、化工品装船采用</w:t>
            </w:r>
            <w:r>
              <w:rPr>
                <w:rFonts w:hint="eastAsia"/>
              </w:rPr>
              <w:t>底部装船</w:t>
            </w:r>
            <w:r>
              <w:t>，在装船过程进行密闭收集</w:t>
            </w:r>
            <w:r>
              <w:rPr>
                <w:rFonts w:hint="eastAsia"/>
              </w:rPr>
              <w:t>。码头设油气回收管道，装船时连通后方库区油气回收处理装置。</w:t>
            </w:r>
          </w:p>
        </w:tc>
        <w:tc>
          <w:tcPr>
            <w:tcW w:w="1547" w:type="dxa"/>
            <w:noWrap w:val="0"/>
            <w:tcMar>
              <w:left w:w="28" w:type="dxa"/>
              <w:right w:w="28" w:type="dxa"/>
            </w:tcMar>
            <w:vAlign w:val="center"/>
          </w:tcPr>
          <w:p>
            <w:pPr>
              <w:pStyle w:val="24"/>
              <w:bidi w:val="0"/>
            </w:pPr>
            <w:r>
              <w:rPr>
                <w:rFonts w:hint="eastAsia"/>
                <w:lang w:eastAsia="zh-CN"/>
              </w:rPr>
              <w:t>不变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98" w:type="dxa"/>
            <w:vMerge w:val="continue"/>
            <w:noWrap w:val="0"/>
            <w:tcMar>
              <w:left w:w="28" w:type="dxa"/>
              <w:right w:w="28" w:type="dxa"/>
            </w:tcMar>
            <w:vAlign w:val="center"/>
          </w:tcPr>
          <w:p>
            <w:pPr>
              <w:pStyle w:val="24"/>
              <w:bidi w:val="0"/>
            </w:pPr>
          </w:p>
        </w:tc>
        <w:tc>
          <w:tcPr>
            <w:tcW w:w="1042" w:type="dxa"/>
            <w:noWrap w:val="0"/>
            <w:tcMar>
              <w:left w:w="28" w:type="dxa"/>
              <w:right w:w="28" w:type="dxa"/>
            </w:tcMar>
            <w:vAlign w:val="center"/>
          </w:tcPr>
          <w:p>
            <w:pPr>
              <w:pStyle w:val="24"/>
              <w:bidi w:val="0"/>
              <w:rPr>
                <w:rFonts w:hint="eastAsia"/>
              </w:rPr>
            </w:pPr>
            <w:r>
              <w:rPr>
                <w:rFonts w:hint="eastAsia"/>
              </w:rPr>
              <w:t>溢油事故应急处理设施</w:t>
            </w:r>
          </w:p>
        </w:tc>
        <w:tc>
          <w:tcPr>
            <w:tcW w:w="5508" w:type="dxa"/>
            <w:noWrap w:val="0"/>
            <w:tcMar>
              <w:left w:w="28" w:type="dxa"/>
              <w:right w:w="28" w:type="dxa"/>
            </w:tcMar>
            <w:vAlign w:val="center"/>
          </w:tcPr>
          <w:p>
            <w:pPr>
              <w:pStyle w:val="24"/>
              <w:bidi w:val="0"/>
              <w:rPr>
                <w:rFonts w:hint="eastAsia"/>
              </w:rPr>
            </w:pPr>
            <w:r>
              <w:rPr>
                <w:rFonts w:hint="eastAsia"/>
              </w:rPr>
              <w:t>按照《湄洲湾港斗尾港区斗尾作业区7号泊位工程船舶污染防治能力评价报告》要求配备必要的溢油事故应急处理设施，码头</w:t>
            </w:r>
            <w:r>
              <w:t>设置消防</w:t>
            </w:r>
            <w:r>
              <w:rPr>
                <w:rFonts w:hint="eastAsia"/>
              </w:rPr>
              <w:t>污</w:t>
            </w:r>
            <w:r>
              <w:t>水收集系统，</w:t>
            </w:r>
            <w:r>
              <w:rPr>
                <w:rFonts w:hint="eastAsia"/>
              </w:rPr>
              <w:t>事故缓冲池依托后方库区</w:t>
            </w:r>
            <w:r>
              <w:t>应急消防水收集池</w:t>
            </w:r>
            <w:r>
              <w:rPr>
                <w:rFonts w:hint="eastAsia"/>
                <w:lang w:eastAsia="zh-CN"/>
              </w:rPr>
              <w:t>（兼做溢油事故池）</w:t>
            </w:r>
            <w:r>
              <w:t>容积为</w:t>
            </w:r>
            <w:r>
              <w:rPr>
                <w:rFonts w:hint="eastAsia"/>
              </w:rPr>
              <w:t>4</w:t>
            </w:r>
            <w:r>
              <w:t>000m</w:t>
            </w:r>
            <w:r>
              <w:rPr>
                <w:vertAlign w:val="superscript"/>
              </w:rPr>
              <w:t>3</w:t>
            </w:r>
            <w:r>
              <w:rPr>
                <w:rFonts w:hint="eastAsia"/>
              </w:rPr>
              <w:t>。</w:t>
            </w:r>
          </w:p>
        </w:tc>
        <w:tc>
          <w:tcPr>
            <w:tcW w:w="5511" w:type="dxa"/>
            <w:noWrap w:val="0"/>
            <w:tcMar>
              <w:left w:w="28" w:type="dxa"/>
              <w:right w:w="28" w:type="dxa"/>
            </w:tcMar>
            <w:vAlign w:val="center"/>
          </w:tcPr>
          <w:p>
            <w:pPr>
              <w:pStyle w:val="24"/>
              <w:bidi w:val="0"/>
              <w:rPr>
                <w:rFonts w:hint="eastAsia"/>
              </w:rPr>
            </w:pPr>
            <w:r>
              <w:rPr>
                <w:rFonts w:hint="eastAsia"/>
                <w:lang w:val="en-US" w:eastAsia="zh-CN"/>
              </w:rPr>
              <w:t>已按照</w:t>
            </w:r>
            <w:r>
              <w:rPr>
                <w:rFonts w:hint="eastAsia"/>
              </w:rPr>
              <w:t>要求配备</w:t>
            </w:r>
            <w:r>
              <w:rPr>
                <w:rFonts w:hint="eastAsia"/>
                <w:lang w:val="en-US" w:eastAsia="zh-CN"/>
              </w:rPr>
              <w:t>了</w:t>
            </w:r>
            <w:r>
              <w:rPr>
                <w:rFonts w:hint="eastAsia"/>
              </w:rPr>
              <w:t>必要的溢油事故应急处理设施，码头</w:t>
            </w:r>
            <w:r>
              <w:t>设置消防</w:t>
            </w:r>
            <w:r>
              <w:rPr>
                <w:rFonts w:hint="eastAsia"/>
              </w:rPr>
              <w:t>污</w:t>
            </w:r>
            <w:r>
              <w:t>水收集系统，</w:t>
            </w:r>
            <w:r>
              <w:rPr>
                <w:rFonts w:hint="eastAsia"/>
              </w:rPr>
              <w:t>事故缓冲池依托后方库区</w:t>
            </w:r>
            <w:r>
              <w:t>应急消防水收集池</w:t>
            </w:r>
            <w:r>
              <w:rPr>
                <w:rFonts w:hint="eastAsia"/>
                <w:lang w:eastAsia="zh-CN"/>
              </w:rPr>
              <w:t>（兼做溢油事故池）</w:t>
            </w:r>
            <w:r>
              <w:t>容积为</w:t>
            </w:r>
            <w:r>
              <w:rPr>
                <w:rFonts w:hint="eastAsia"/>
              </w:rPr>
              <w:t>4</w:t>
            </w:r>
            <w:r>
              <w:t>000m</w:t>
            </w:r>
            <w:r>
              <w:rPr>
                <w:vertAlign w:val="superscript"/>
              </w:rPr>
              <w:t>3</w:t>
            </w:r>
            <w:r>
              <w:rPr>
                <w:rFonts w:hint="eastAsia"/>
              </w:rPr>
              <w:t>。</w:t>
            </w:r>
          </w:p>
        </w:tc>
        <w:tc>
          <w:tcPr>
            <w:tcW w:w="1547" w:type="dxa"/>
            <w:noWrap w:val="0"/>
            <w:tcMar>
              <w:left w:w="28" w:type="dxa"/>
              <w:right w:w="28" w:type="dxa"/>
            </w:tcMar>
            <w:vAlign w:val="center"/>
          </w:tcPr>
          <w:p>
            <w:pPr>
              <w:pStyle w:val="24"/>
              <w:bidi w:val="0"/>
              <w:rPr>
                <w:rFonts w:hint="eastAsia"/>
              </w:rPr>
            </w:pPr>
            <w:r>
              <w:rPr>
                <w:rFonts w:hint="eastAsia"/>
                <w:lang w:eastAsia="zh-CN"/>
              </w:rPr>
              <w:t>不变</w:t>
            </w:r>
          </w:p>
        </w:tc>
      </w:tr>
    </w:tbl>
    <w:p>
      <w:pPr>
        <w:pStyle w:val="18"/>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8"/>
      </w:pPr>
      <w:r>
        <w:t xml:space="preserve">3.2.1 </w:t>
      </w:r>
      <w:bookmarkStart w:id="96" w:name="_Toc106619568"/>
      <w:r>
        <w:rPr>
          <w:rFonts w:hint="eastAsia"/>
        </w:rPr>
        <w:t>主要货种及年吞吐量</w:t>
      </w:r>
      <w:bookmarkEnd w:id="96"/>
    </w:p>
    <w:p>
      <w:pPr>
        <w:pStyle w:val="19"/>
        <w:bidi w:val="0"/>
        <w:rPr>
          <w:rFonts w:hint="eastAsia"/>
        </w:rPr>
      </w:pPr>
      <w:r>
        <w:rPr>
          <w:rFonts w:hint="eastAsia"/>
        </w:rPr>
        <w:t>项目货种调整改扩建前后码头年吞吐量由1</w:t>
      </w:r>
      <w:r>
        <w:t>57.5</w:t>
      </w:r>
      <w:r>
        <w:rPr>
          <w:rFonts w:hint="eastAsia"/>
        </w:rPr>
        <w:t>万吨增加至1</w:t>
      </w:r>
      <w:r>
        <w:t>78</w:t>
      </w:r>
      <w:r>
        <w:rPr>
          <w:rFonts w:hint="eastAsia"/>
        </w:rPr>
        <w:t>万吨。</w:t>
      </w:r>
    </w:p>
    <w:p>
      <w:pPr>
        <w:pStyle w:val="19"/>
        <w:bidi w:val="0"/>
        <w:rPr>
          <w:rFonts w:hint="eastAsia"/>
        </w:rPr>
      </w:pPr>
      <w:r>
        <w:rPr>
          <w:rFonts w:hint="eastAsia"/>
          <w:lang w:eastAsia="zh-CN"/>
        </w:rPr>
        <w:t>现有</w:t>
      </w:r>
      <w:r>
        <w:rPr>
          <w:rFonts w:hint="eastAsia"/>
          <w:lang w:val="en-US" w:eastAsia="zh-CN"/>
        </w:rPr>
        <w:t>58种</w:t>
      </w:r>
      <w:r>
        <w:rPr>
          <w:rFonts w:hint="eastAsia"/>
          <w:lang w:eastAsia="zh-CN"/>
        </w:rPr>
        <w:t>货种构成：</w:t>
      </w:r>
      <w:r>
        <w:rPr>
          <w:rFonts w:hint="eastAsia"/>
        </w:rPr>
        <w:t>润滑油（基础油）、汽油、柴油、生物柴油、抽余油、3#喷气燃料、煤油（航空煤油）、石脑油、轻油、溶剂油、有机热载体、乙酸丁酯（乙酸正丁酯）、乙酸仲丁酯、碳酸二甲酯、脂肪酸甲酯、乙酸甲酯（醋酸甲酯）、丙烯酸丁酯（丙烯酸正丁酯）、乙酸乙烯酯（醋酸乙烯酯）、乙酸乙酯、二乙二醇、乙二醇、甲醇、乙醇、正丁醇、甲苯、对二甲苯、混合二甲苯、三甲苯（三甲基苯）、苯（纯苯）、烷基苯、混合芳烃（主要成分为甲苯、二甲苯、三甲苯）、重芳烃、辛烷（异辛烷）、环己烷、己烷（工业己烷）、环己酮、氢氧化钠溶液（液碱，50%）、甲基叔丁基醚（MTBE）、乙酸（冰醋酸）、二甲基甲酰胺（DMF）、苯乙烯、轻质燃料油（燃料油）、粗白油、乙酸丙酯、甲醛缩二甲醇（甲缩醛）、碳九（裂解碳九）、氢氧化钠溶液（液碱，32%）、1,2-二氯乙烷、变压器油、碳酸甲乙酯、碳酸二乙酯、甲基丙烯酸甲酯、丙烯酸甲酯、丁酮、正丙醇、异丙醇、棕榈酸油、丙烯酸异辛酯。</w:t>
      </w:r>
    </w:p>
    <w:p>
      <w:pPr>
        <w:pStyle w:val="18"/>
        <w:rPr>
          <w:rFonts w:hint="eastAsia" w:ascii="Times New Roman" w:hAnsi="Times New Roman" w:cs="Times New Roman"/>
          <w:lang w:val="en-US" w:eastAsia="zh-CN"/>
        </w:rPr>
      </w:pPr>
      <w:r>
        <w:rPr>
          <w:rFonts w:hint="eastAsia" w:ascii="Times New Roman" w:hAnsi="Times New Roman" w:cs="Times New Roman"/>
          <w:lang w:val="en-US" w:eastAsia="zh-CN"/>
        </w:rPr>
        <w:t>3.2.2 码头总平面布置</w:t>
      </w:r>
    </w:p>
    <w:p>
      <w:pPr>
        <w:pStyle w:val="19"/>
        <w:bidi w:val="0"/>
        <w:rPr>
          <w:rFonts w:hint="eastAsia"/>
          <w:lang w:val="en-US" w:eastAsia="zh-CN"/>
        </w:rPr>
      </w:pPr>
      <w:r>
        <w:rPr>
          <w:rFonts w:hint="eastAsia"/>
          <w:lang w:val="en-US" w:eastAsia="zh-CN"/>
        </w:rPr>
        <w:t>港丰码头为离岸平台式布置，码头前沿线顺岸布置在-2.0m的等深线附近，与潮流流向和等深线基本一致，码头前沿线方位角12.68°~192.68°。泊位长度320m，码头共设1个工作平台，尺度为194×28m(兼作靠船平台)，系缆墩4个。码头工作平台与后方陆域罐区成“T”型布置，通过一条宽12m、长207.005m的栈桥与后方陆域连接。</w:t>
      </w:r>
    </w:p>
    <w:p>
      <w:pPr>
        <w:pStyle w:val="19"/>
        <w:bidi w:val="0"/>
        <w:rPr>
          <w:rFonts w:hint="eastAsia"/>
          <w:lang w:val="en-US" w:eastAsia="zh-CN"/>
        </w:rPr>
      </w:pPr>
      <w:r>
        <w:rPr>
          <w:rFonts w:hint="eastAsia"/>
          <w:lang w:val="en-US" w:eastAsia="zh-CN"/>
        </w:rPr>
        <w:t>在距码头平台后沿64m处栈桥北侧设置一个消控室平台，平台尺度为13×13m，栈桥南侧设置两个水平补充平台。后方陆域纵深309.05~551.01m，宽463.74m，形成总面积为185239.50m</w:t>
      </w:r>
      <w:r>
        <w:rPr>
          <w:rFonts w:hint="eastAsia"/>
          <w:vertAlign w:val="superscript"/>
          <w:lang w:val="en-US" w:eastAsia="zh-CN"/>
        </w:rPr>
        <w:t>2</w:t>
      </w:r>
      <w:r>
        <w:rPr>
          <w:rFonts w:hint="eastAsia"/>
          <w:lang w:val="en-US" w:eastAsia="zh-CN"/>
        </w:rPr>
        <w:t>。</w:t>
      </w:r>
    </w:p>
    <w:p>
      <w:pPr>
        <w:pStyle w:val="19"/>
        <w:bidi w:val="0"/>
        <w:rPr>
          <w:rFonts w:hint="eastAsia"/>
          <w:lang w:val="en-US" w:eastAsia="zh-CN"/>
        </w:rPr>
      </w:pPr>
      <w:r>
        <w:rPr>
          <w:rFonts w:hint="eastAsia"/>
          <w:lang w:val="en-US" w:eastAsia="zh-CN"/>
        </w:rPr>
        <w:t>工作平台顶面高程＋12.0m，码头系缆平台高程+9.0m，系缆墩顶面高程＋9.0m，栈桥面高程+12.0m，后方陆域设计高程为+10.0m。</w:t>
      </w:r>
    </w:p>
    <w:p>
      <w:pPr>
        <w:pStyle w:val="19"/>
        <w:bidi w:val="0"/>
        <w:rPr>
          <w:rFonts w:hint="eastAsia"/>
          <w:lang w:val="en-US" w:eastAsia="zh-CN"/>
        </w:rPr>
      </w:pPr>
      <w:r>
        <w:rPr>
          <w:rFonts w:hint="eastAsia"/>
          <w:lang w:val="en-US" w:eastAsia="zh-CN"/>
        </w:rPr>
        <w:t>码头前方停泊水域宽65m，底面高程-13.3m，回旋圆直径462.5m，底高程-9.0m。</w:t>
      </w:r>
    </w:p>
    <w:p>
      <w:pPr>
        <w:pStyle w:val="19"/>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t>码头平面布置图详见图3.2-1。</w:t>
      </w:r>
    </w:p>
    <w:p>
      <w:pPr>
        <w:pStyle w:val="19"/>
        <w:bidi w:val="0"/>
        <w:rPr>
          <w:rFonts w:hint="eastAsia"/>
          <w:lang w:val="en-US" w:eastAsia="zh-CN"/>
        </w:rPr>
      </w:pPr>
      <w:r>
        <w:rPr>
          <w:rFonts w:hint="eastAsia"/>
          <w:lang w:val="en-US" w:eastAsia="zh-CN"/>
        </w:rPr>
        <w:drawing>
          <wp:inline distT="0" distB="0" distL="114300" distR="114300">
            <wp:extent cx="8393430" cy="4941570"/>
            <wp:effectExtent l="9525" t="9525" r="17145" b="2095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1"/>
                    <a:stretch>
                      <a:fillRect/>
                    </a:stretch>
                  </pic:blipFill>
                  <pic:spPr>
                    <a:xfrm>
                      <a:off x="0" y="0"/>
                      <a:ext cx="8393430" cy="4941570"/>
                    </a:xfrm>
                    <a:prstGeom prst="rect">
                      <a:avLst/>
                    </a:prstGeom>
                    <a:noFill/>
                    <a:ln>
                      <a:solidFill>
                        <a:schemeClr val="tx1"/>
                      </a:solidFill>
                    </a:ln>
                  </pic:spPr>
                </pic:pic>
              </a:graphicData>
            </a:graphic>
          </wp:inline>
        </w:drawing>
      </w:r>
    </w:p>
    <w:p>
      <w:pPr>
        <w:pStyle w:val="23"/>
        <w:bidi w:val="0"/>
        <w:rPr>
          <w:rFonts w:hint="eastAsia"/>
          <w:lang w:val="en-US" w:eastAsia="zh-CN"/>
        </w:rPr>
      </w:pPr>
      <w:r>
        <w:rPr>
          <w:rFonts w:hint="eastAsia"/>
          <w:lang w:val="en-US" w:eastAsia="zh-CN"/>
        </w:rPr>
        <w:t>图3.2-1 港丰码头平面布置图</w:t>
      </w:r>
    </w:p>
    <w:p>
      <w:pPr>
        <w:pStyle w:val="19"/>
        <w:bidi w:val="0"/>
        <w:rPr>
          <w:rFonts w:hint="eastAsia"/>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18"/>
        <w:rPr>
          <w:rFonts w:hint="eastAsia" w:ascii="Times New Roman" w:hAnsi="Times New Roman" w:cs="Times New Roman"/>
          <w:lang w:val="en-US" w:eastAsia="zh-CN"/>
        </w:rPr>
      </w:pPr>
      <w:r>
        <w:rPr>
          <w:rFonts w:hint="eastAsia" w:ascii="Times New Roman" w:hAnsi="Times New Roman" w:cs="Times New Roman"/>
          <w:lang w:val="en-US" w:eastAsia="zh-CN"/>
        </w:rPr>
        <w:t>3.2.3 码头装卸工艺</w:t>
      </w:r>
    </w:p>
    <w:p>
      <w:pPr>
        <w:pStyle w:val="19"/>
        <w:bidi w:val="0"/>
        <w:rPr>
          <w:rFonts w:hint="default"/>
          <w:lang w:val="en-US" w:eastAsia="zh-CN"/>
        </w:rPr>
      </w:pPr>
      <w:r>
        <w:rPr>
          <w:rFonts w:hint="default"/>
          <w:lang w:val="en-US" w:eastAsia="zh-CN"/>
        </w:rPr>
        <w:t>项目货种</w:t>
      </w:r>
      <w:r>
        <w:rPr>
          <w:rFonts w:hint="eastAsia"/>
          <w:lang w:val="en-US" w:eastAsia="zh-CN"/>
        </w:rPr>
        <w:t>调整后</w:t>
      </w:r>
      <w:r>
        <w:rPr>
          <w:rFonts w:hint="default"/>
          <w:lang w:val="en-US" w:eastAsia="zh-CN"/>
        </w:rPr>
        <w:t>，管线布置不变，利用码头工程现有25根输油管线。码头管道采用氮气扫线，每次装卸完成后，对装卸臂和复合软管进行清扫，将装卸臂和复合软管内残存物料扫向储罐。专管专用的管道，一般不扫线，当管道检修时，利用氮气将管道内物料扫向后方罐区；公用管道码头上设清管器，当管道输送物料更换时，利用氮气推动清管球将管道内物料扫向后方仓储区。</w:t>
      </w:r>
    </w:p>
    <w:p>
      <w:pPr>
        <w:pStyle w:val="17"/>
        <w:bidi w:val="0"/>
      </w:pPr>
      <w:bookmarkStart w:id="97" w:name="_Toc3455"/>
      <w:r>
        <w:t>3.</w:t>
      </w:r>
      <w:r>
        <w:rPr>
          <w:rFonts w:hint="eastAsia"/>
          <w:lang w:val="en-US" w:eastAsia="zh-CN"/>
        </w:rPr>
        <w:t>3</w:t>
      </w:r>
      <w:r>
        <w:t xml:space="preserve"> </w:t>
      </w:r>
      <w:r>
        <w:rPr>
          <w:rFonts w:hint="eastAsia"/>
          <w:lang w:eastAsia="zh-CN"/>
        </w:rPr>
        <w:t>港丰石化仓储项目</w:t>
      </w:r>
      <w:r>
        <w:t>建设内容</w:t>
      </w:r>
      <w:bookmarkEnd w:id="97"/>
    </w:p>
    <w:p>
      <w:pPr>
        <w:pStyle w:val="18"/>
        <w:bidi w:val="0"/>
      </w:pPr>
      <w:r>
        <w:t>3.</w:t>
      </w:r>
      <w:r>
        <w:rPr>
          <w:rFonts w:hint="eastAsia"/>
          <w:lang w:val="en-US" w:eastAsia="zh-CN"/>
        </w:rPr>
        <w:t>3</w:t>
      </w:r>
      <w:r>
        <w:t>.</w:t>
      </w:r>
      <w:r>
        <w:rPr>
          <w:rFonts w:hint="eastAsia"/>
          <w:lang w:val="en-US" w:eastAsia="zh-CN"/>
        </w:rPr>
        <w:t>1</w:t>
      </w:r>
      <w:r>
        <w:t xml:space="preserve"> 项目组成与主要建设内容</w:t>
      </w:r>
    </w:p>
    <w:p>
      <w:pPr>
        <w:pStyle w:val="19"/>
        <w:bidi w:val="0"/>
        <w:rPr>
          <w:lang w:eastAsia="zh-Hans"/>
        </w:rPr>
      </w:pPr>
      <w:r>
        <w:t>本项目属于石油化工产品仓储物流</w:t>
      </w:r>
      <w:r>
        <w:rPr>
          <w:lang w:val="en-US"/>
        </w:rPr>
        <w:t>项目</w:t>
      </w:r>
      <w:r>
        <w:t>，项目主体工程主要包括</w:t>
      </w:r>
      <w:r>
        <w:rPr>
          <w:lang w:val="en-US"/>
        </w:rPr>
        <w:t>储罐区</w:t>
      </w:r>
      <w:r>
        <w:t>、</w:t>
      </w:r>
      <w:r>
        <w:rPr>
          <w:lang w:val="en-US"/>
        </w:rPr>
        <w:t>装卸区</w:t>
      </w:r>
      <w:r>
        <w:t>、</w:t>
      </w:r>
      <w:r>
        <w:rPr>
          <w:lang w:val="en-US"/>
        </w:rPr>
        <w:t>装桶区</w:t>
      </w:r>
      <w:r>
        <w:t>、</w:t>
      </w:r>
      <w:r>
        <w:rPr>
          <w:lang w:val="en-US"/>
        </w:rPr>
        <w:t>输送管线</w:t>
      </w:r>
      <w:r>
        <w:t>；</w:t>
      </w:r>
      <w:r>
        <w:rPr>
          <w:lang w:val="en-US"/>
        </w:rPr>
        <w:t>公用工程主要为综合楼</w:t>
      </w:r>
      <w:r>
        <w:t>；</w:t>
      </w:r>
      <w:r>
        <w:rPr>
          <w:lang w:val="en-US"/>
        </w:rPr>
        <w:t>配套工程主要包括供电</w:t>
      </w:r>
      <w:r>
        <w:t>、</w:t>
      </w:r>
      <w:r>
        <w:rPr>
          <w:lang w:val="en-US"/>
        </w:rPr>
        <w:t>供水</w:t>
      </w:r>
      <w:r>
        <w:t>、</w:t>
      </w:r>
      <w:r>
        <w:rPr>
          <w:rFonts w:hint="eastAsia"/>
          <w:lang w:val="en-US" w:eastAsia="zh-Hans"/>
        </w:rPr>
        <w:t>制冷</w:t>
      </w:r>
      <w:r>
        <w:rPr>
          <w:lang w:eastAsia="zh-Hans"/>
        </w:rPr>
        <w:t>、</w:t>
      </w:r>
      <w:r>
        <w:rPr>
          <w:lang w:val="en-US"/>
        </w:rPr>
        <w:t>消防</w:t>
      </w:r>
      <w:r>
        <w:t>、</w:t>
      </w:r>
      <w:r>
        <w:rPr>
          <w:rFonts w:hint="eastAsia"/>
          <w:lang w:val="en-US" w:eastAsia="zh-Hans"/>
        </w:rPr>
        <w:t>机修</w:t>
      </w:r>
      <w:r>
        <w:rPr>
          <w:lang w:eastAsia="zh-Hans"/>
        </w:rPr>
        <w:t>、</w:t>
      </w:r>
      <w:r>
        <w:rPr>
          <w:lang w:val="en-US"/>
        </w:rPr>
        <w:t>中心化验室等</w:t>
      </w:r>
      <w:r>
        <w:t>；</w:t>
      </w:r>
      <w:r>
        <w:rPr>
          <w:lang w:val="en-US"/>
        </w:rPr>
        <w:t>环保工程主要包括废气</w:t>
      </w:r>
      <w:r>
        <w:t>、</w:t>
      </w:r>
      <w:r>
        <w:rPr>
          <w:lang w:val="en-US"/>
        </w:rPr>
        <w:t>污水</w:t>
      </w:r>
      <w:r>
        <w:t>、</w:t>
      </w:r>
      <w:r>
        <w:rPr>
          <w:lang w:val="en-US"/>
        </w:rPr>
        <w:t>固废处理设施</w:t>
      </w:r>
      <w:r>
        <w:t>、</w:t>
      </w:r>
      <w:r>
        <w:rPr>
          <w:lang w:val="en-US"/>
        </w:rPr>
        <w:t>消防事故池</w:t>
      </w:r>
      <w:r>
        <w:t>、</w:t>
      </w:r>
      <w:r>
        <w:rPr>
          <w:lang w:val="en-US"/>
        </w:rPr>
        <w:t>初期雨水池等</w:t>
      </w:r>
      <w:r>
        <w:t>。</w:t>
      </w:r>
    </w:p>
    <w:p>
      <w:pPr>
        <w:pStyle w:val="19"/>
        <w:bidi w:val="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根据</w:t>
      </w:r>
      <w:r>
        <w:rPr>
          <w:lang w:val="en-US"/>
        </w:rPr>
        <w:t>建设单位</w:t>
      </w:r>
      <w:r>
        <w:t>提供的资料及现场</w:t>
      </w:r>
      <w:r>
        <w:rPr>
          <w:rFonts w:hint="eastAsia"/>
          <w:lang w:eastAsia="zh-CN"/>
        </w:rPr>
        <w:t>核查</w:t>
      </w:r>
      <w:r>
        <w:t>结果，本项目主要建设内容</w:t>
      </w:r>
      <w:r>
        <w:rPr>
          <w:rFonts w:hint="eastAsia"/>
          <w:lang w:eastAsia="zh-CN"/>
        </w:rPr>
        <w:t>变化情况</w:t>
      </w:r>
      <w:r>
        <w:t>见表3.</w:t>
      </w:r>
      <w:r>
        <w:rPr>
          <w:rFonts w:hint="eastAsia"/>
          <w:lang w:val="en-US" w:eastAsia="zh-CN"/>
        </w:rPr>
        <w:t>3</w:t>
      </w:r>
      <w:r>
        <w:rPr>
          <w:lang w:val="en-US"/>
        </w:rPr>
        <w:t>.</w:t>
      </w:r>
      <w:r>
        <w:rPr>
          <w:rFonts w:hint="eastAsia"/>
          <w:lang w:val="en-US" w:eastAsia="zh-CN"/>
        </w:rPr>
        <w:t>1</w:t>
      </w:r>
      <w:r>
        <w:t>。</w:t>
      </w:r>
    </w:p>
    <w:p>
      <w:pPr>
        <w:pStyle w:val="23"/>
        <w:bidi w:val="0"/>
        <w:ind w:left="420" w:leftChars="0" w:firstLine="420" w:firstLineChars="0"/>
        <w:rPr>
          <w:rFonts w:hint="eastAsia"/>
          <w:lang w:eastAsia="zh-CN"/>
        </w:rPr>
      </w:pPr>
      <w:r>
        <w:t>表3.</w:t>
      </w:r>
      <w:r>
        <w:rPr>
          <w:rFonts w:hint="eastAsia"/>
          <w:lang w:val="en-US" w:eastAsia="zh-CN"/>
        </w:rPr>
        <w:t>3</w:t>
      </w:r>
      <w:r>
        <w:t>.</w:t>
      </w:r>
      <w:r>
        <w:rPr>
          <w:rFonts w:hint="eastAsia"/>
          <w:lang w:val="en-US" w:eastAsia="zh-CN"/>
        </w:rPr>
        <w:t>1</w:t>
      </w:r>
      <w:r>
        <w:t xml:space="preserve"> </w:t>
      </w:r>
      <w:r>
        <w:rPr>
          <w:rFonts w:hint="eastAsia"/>
          <w:lang w:eastAsia="zh-CN"/>
        </w:rPr>
        <w:t>港丰石化仓储项目建设内容变化情况</w:t>
      </w:r>
    </w:p>
    <w:tbl>
      <w:tblPr>
        <w:tblStyle w:val="14"/>
        <w:tblW w:w="14163"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0"/>
        <w:gridCol w:w="1017"/>
        <w:gridCol w:w="5241"/>
        <w:gridCol w:w="5241"/>
        <w:gridCol w:w="204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blHeader/>
        </w:trPr>
        <w:tc>
          <w:tcPr>
            <w:tcW w:w="620" w:type="dxa"/>
            <w:vAlign w:val="center"/>
          </w:tcPr>
          <w:p>
            <w:pPr>
              <w:pStyle w:val="24"/>
              <w:bidi w:val="0"/>
            </w:pPr>
            <w:r>
              <w:t>序号</w:t>
            </w:r>
          </w:p>
        </w:tc>
        <w:tc>
          <w:tcPr>
            <w:tcW w:w="1017" w:type="dxa"/>
            <w:vAlign w:val="center"/>
          </w:tcPr>
          <w:p>
            <w:pPr>
              <w:pStyle w:val="24"/>
              <w:bidi w:val="0"/>
            </w:pPr>
            <w:r>
              <w:t>单项名称</w:t>
            </w:r>
          </w:p>
        </w:tc>
        <w:tc>
          <w:tcPr>
            <w:tcW w:w="5241" w:type="dxa"/>
            <w:vAlign w:val="center"/>
          </w:tcPr>
          <w:p>
            <w:pPr>
              <w:pStyle w:val="24"/>
              <w:bidi w:val="0"/>
            </w:pPr>
            <w:r>
              <w:t>环评</w:t>
            </w:r>
            <w:r>
              <w:rPr>
                <w:rFonts w:hint="eastAsia"/>
                <w:lang w:eastAsia="zh-CN"/>
              </w:rPr>
              <w:t>报告</w:t>
            </w:r>
            <w:r>
              <w:t>建设内容</w:t>
            </w:r>
          </w:p>
        </w:tc>
        <w:tc>
          <w:tcPr>
            <w:tcW w:w="5241" w:type="dxa"/>
            <w:vAlign w:val="center"/>
          </w:tcPr>
          <w:p>
            <w:pPr>
              <w:pStyle w:val="24"/>
              <w:bidi w:val="0"/>
            </w:pPr>
            <w:r>
              <w:t>实际建设内容</w:t>
            </w:r>
          </w:p>
        </w:tc>
        <w:tc>
          <w:tcPr>
            <w:tcW w:w="2044" w:type="dxa"/>
            <w:vAlign w:val="center"/>
          </w:tcPr>
          <w:p>
            <w:pPr>
              <w:pStyle w:val="24"/>
              <w:bidi w:val="0"/>
              <w:rPr>
                <w:rFonts w:hint="eastAsia"/>
                <w:lang w:eastAsia="zh-CN"/>
              </w:rPr>
            </w:pPr>
            <w:r>
              <w:rPr>
                <w:rFonts w:hint="eastAsia"/>
                <w:lang w:eastAsia="zh-CN"/>
              </w:rPr>
              <w:t>变化情况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b/>
                <w:bCs/>
              </w:rPr>
            </w:pPr>
            <w:r>
              <w:rPr>
                <w:b/>
                <w:bCs/>
              </w:rPr>
              <w:t>1</w:t>
            </w:r>
          </w:p>
        </w:tc>
        <w:tc>
          <w:tcPr>
            <w:tcW w:w="13543" w:type="dxa"/>
            <w:gridSpan w:val="4"/>
            <w:vAlign w:val="center"/>
          </w:tcPr>
          <w:p>
            <w:pPr>
              <w:pStyle w:val="24"/>
              <w:bidi w:val="0"/>
              <w:jc w:val="left"/>
              <w:rPr>
                <w:b/>
                <w:bCs/>
              </w:rPr>
            </w:pPr>
            <w:r>
              <w:rPr>
                <w:b/>
                <w:bCs/>
              </w:rPr>
              <w:t>主体工程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restart"/>
            <w:vAlign w:val="center"/>
          </w:tcPr>
          <w:p>
            <w:pPr>
              <w:pStyle w:val="24"/>
              <w:bidi w:val="0"/>
            </w:pPr>
            <w:r>
              <w:t>1.1</w:t>
            </w:r>
          </w:p>
        </w:tc>
        <w:tc>
          <w:tcPr>
            <w:tcW w:w="1017" w:type="dxa"/>
            <w:vMerge w:val="restart"/>
            <w:vAlign w:val="center"/>
          </w:tcPr>
          <w:p>
            <w:pPr>
              <w:pStyle w:val="24"/>
              <w:bidi w:val="0"/>
            </w:pPr>
            <w:r>
              <w:t>储罐区</w:t>
            </w:r>
          </w:p>
        </w:tc>
        <w:tc>
          <w:tcPr>
            <w:tcW w:w="5241" w:type="dxa"/>
            <w:vAlign w:val="center"/>
          </w:tcPr>
          <w:p>
            <w:pPr>
              <w:pStyle w:val="24"/>
              <w:bidi w:val="0"/>
              <w:rPr>
                <w:rFonts w:hint="eastAsia"/>
              </w:rPr>
            </w:pPr>
            <w:r>
              <w:t>1#罐组：储罐2000m</w:t>
            </w:r>
            <w:r>
              <w:rPr>
                <w:vertAlign w:val="superscript"/>
              </w:rPr>
              <w:t>3</w:t>
            </w:r>
            <w:r>
              <w:t>×2，7500m</w:t>
            </w:r>
            <w:r>
              <w:rPr>
                <w:vertAlign w:val="superscript"/>
              </w:rPr>
              <w:t>3</w:t>
            </w:r>
            <w:r>
              <w:t>×1，10000m</w:t>
            </w:r>
            <w:r>
              <w:rPr>
                <w:vertAlign w:val="superscript"/>
              </w:rPr>
              <w:t>3</w:t>
            </w:r>
            <w:r>
              <w:t>×4；泵棚：39×7(6.5)m。</w:t>
            </w:r>
          </w:p>
        </w:tc>
        <w:tc>
          <w:tcPr>
            <w:tcW w:w="5241" w:type="dxa"/>
            <w:vAlign w:val="center"/>
          </w:tcPr>
          <w:p>
            <w:pPr>
              <w:pStyle w:val="24"/>
              <w:bidi w:val="0"/>
            </w:pPr>
            <w:r>
              <w:t>1#罐组：储罐2000m</w:t>
            </w:r>
            <w:r>
              <w:rPr>
                <w:vertAlign w:val="superscript"/>
              </w:rPr>
              <w:t>3</w:t>
            </w:r>
            <w:r>
              <w:t>×2，7500m</w:t>
            </w:r>
            <w:r>
              <w:rPr>
                <w:vertAlign w:val="superscript"/>
              </w:rPr>
              <w:t>3</w:t>
            </w:r>
            <w:r>
              <w:t>×1，10000m</w:t>
            </w:r>
            <w:r>
              <w:rPr>
                <w:vertAlign w:val="superscript"/>
              </w:rPr>
              <w:t>3</w:t>
            </w:r>
            <w:r>
              <w:t>×4；泵棚：39×7(6.5)m。</w:t>
            </w:r>
          </w:p>
        </w:tc>
        <w:tc>
          <w:tcPr>
            <w:tcW w:w="2044" w:type="dxa"/>
            <w:vAlign w:val="center"/>
          </w:tcPr>
          <w:p>
            <w:pPr>
              <w:pStyle w:val="24"/>
              <w:bidi w:val="0"/>
              <w:rPr>
                <w:rFonts w:hint="eastAsia"/>
                <w:lang w:eastAsia="zh-CN"/>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rPr>
                <w:rFonts w:hint="eastAsia"/>
              </w:rPr>
            </w:pPr>
            <w:r>
              <w:t>2#罐组：储罐1500m</w:t>
            </w:r>
            <w:r>
              <w:rPr>
                <w:vertAlign w:val="superscript"/>
              </w:rPr>
              <w:t>3</w:t>
            </w:r>
            <w:r>
              <w:t>×10；泵棚：40×7(5.5)m。</w:t>
            </w:r>
          </w:p>
        </w:tc>
        <w:tc>
          <w:tcPr>
            <w:tcW w:w="5241" w:type="dxa"/>
            <w:vAlign w:val="center"/>
          </w:tcPr>
          <w:p>
            <w:pPr>
              <w:pStyle w:val="24"/>
              <w:bidi w:val="0"/>
            </w:pPr>
            <w:r>
              <w:t>2#罐组：储罐1500m</w:t>
            </w:r>
            <w:r>
              <w:rPr>
                <w:vertAlign w:val="superscript"/>
              </w:rPr>
              <w:t>3</w:t>
            </w:r>
            <w:r>
              <w:t>×10；泵棚：40×7(5.5)m。</w:t>
            </w:r>
          </w:p>
        </w:tc>
        <w:tc>
          <w:tcPr>
            <w:tcW w:w="2044" w:type="dxa"/>
            <w:vAlign w:val="center"/>
          </w:tcPr>
          <w:p>
            <w:pPr>
              <w:pStyle w:val="24"/>
              <w:bidi w:val="0"/>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rPr>
                <w:rFonts w:hint="eastAsia"/>
              </w:rPr>
            </w:pPr>
            <w:r>
              <w:t>3#罐组：储罐3000m</w:t>
            </w:r>
            <w:r>
              <w:rPr>
                <w:vertAlign w:val="superscript"/>
              </w:rPr>
              <w:t>3</w:t>
            </w:r>
            <w:r>
              <w:t>×8；泵棚：36×7(5.5)m。</w:t>
            </w:r>
          </w:p>
        </w:tc>
        <w:tc>
          <w:tcPr>
            <w:tcW w:w="5241" w:type="dxa"/>
            <w:vAlign w:val="center"/>
          </w:tcPr>
          <w:p>
            <w:pPr>
              <w:pStyle w:val="24"/>
              <w:bidi w:val="0"/>
            </w:pPr>
            <w:r>
              <w:t>3#罐组：储罐3000m</w:t>
            </w:r>
            <w:r>
              <w:rPr>
                <w:vertAlign w:val="superscript"/>
              </w:rPr>
              <w:t>3</w:t>
            </w:r>
            <w:r>
              <w:t>×8；泵棚：36×7(5.5)m。</w:t>
            </w:r>
          </w:p>
        </w:tc>
        <w:tc>
          <w:tcPr>
            <w:tcW w:w="2044" w:type="dxa"/>
            <w:vAlign w:val="center"/>
          </w:tcPr>
          <w:p>
            <w:pPr>
              <w:pStyle w:val="24"/>
              <w:bidi w:val="0"/>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rPr>
                <w:rFonts w:hint="eastAsia"/>
              </w:rPr>
            </w:pPr>
            <w:r>
              <w:t>4#罐组：储罐5000m</w:t>
            </w:r>
            <w:r>
              <w:rPr>
                <w:vertAlign w:val="superscript"/>
              </w:rPr>
              <w:t>3</w:t>
            </w:r>
            <w:r>
              <w:t>×4；含管道交换站1：26×18×7m。</w:t>
            </w:r>
          </w:p>
        </w:tc>
        <w:tc>
          <w:tcPr>
            <w:tcW w:w="5241" w:type="dxa"/>
            <w:vAlign w:val="center"/>
          </w:tcPr>
          <w:p>
            <w:pPr>
              <w:pStyle w:val="24"/>
              <w:bidi w:val="0"/>
            </w:pPr>
            <w:r>
              <w:t>4#罐组：储罐5000m</w:t>
            </w:r>
            <w:r>
              <w:rPr>
                <w:vertAlign w:val="superscript"/>
              </w:rPr>
              <w:t>3</w:t>
            </w:r>
            <w:r>
              <w:t>×4；含管道交换站1：26×18×7m。</w:t>
            </w:r>
          </w:p>
        </w:tc>
        <w:tc>
          <w:tcPr>
            <w:tcW w:w="2044" w:type="dxa"/>
            <w:vAlign w:val="center"/>
          </w:tcPr>
          <w:p>
            <w:pPr>
              <w:pStyle w:val="24"/>
              <w:bidi w:val="0"/>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pPr>
            <w:r>
              <w:rPr>
                <w:rFonts w:hint="eastAsia"/>
              </w:rPr>
              <w:t>5#罐组：储罐10000m</w:t>
            </w:r>
            <w:r>
              <w:rPr>
                <w:rFonts w:hint="eastAsia"/>
                <w:vertAlign w:val="superscript"/>
              </w:rPr>
              <w:t>3</w:t>
            </w:r>
            <w:r>
              <w:rPr>
                <w:rFonts w:hint="eastAsia"/>
              </w:rPr>
              <w:t>×5；管道交换站2：24×18×7m。</w:t>
            </w:r>
          </w:p>
        </w:tc>
        <w:tc>
          <w:tcPr>
            <w:tcW w:w="5241" w:type="dxa"/>
            <w:vAlign w:val="center"/>
          </w:tcPr>
          <w:p>
            <w:pPr>
              <w:pStyle w:val="24"/>
              <w:bidi w:val="0"/>
            </w:pPr>
            <w:r>
              <w:rPr>
                <w:rFonts w:hint="eastAsia"/>
              </w:rPr>
              <w:t>5#罐组：储罐10000m</w:t>
            </w:r>
            <w:r>
              <w:rPr>
                <w:rFonts w:hint="eastAsia"/>
                <w:vertAlign w:val="superscript"/>
              </w:rPr>
              <w:t>3</w:t>
            </w:r>
            <w:r>
              <w:rPr>
                <w:rFonts w:hint="eastAsia"/>
              </w:rPr>
              <w:t>×5；管道交换站2：24×18×7m。</w:t>
            </w:r>
          </w:p>
        </w:tc>
        <w:tc>
          <w:tcPr>
            <w:tcW w:w="2044" w:type="dxa"/>
            <w:vAlign w:val="center"/>
          </w:tcPr>
          <w:p>
            <w:pPr>
              <w:pStyle w:val="24"/>
              <w:bidi w:val="0"/>
              <w:rPr>
                <w:rFonts w:hint="eastAsia"/>
                <w:lang w:val="en-US" w:eastAsia="zh-Hans"/>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pPr>
            <w:r>
              <w:rPr>
                <w:rFonts w:hint="eastAsia"/>
              </w:rPr>
              <w:t>6#罐组：储罐10000m</w:t>
            </w:r>
            <w:r>
              <w:rPr>
                <w:rFonts w:hint="eastAsia"/>
                <w:vertAlign w:val="superscript"/>
              </w:rPr>
              <w:t>3</w:t>
            </w:r>
            <w:r>
              <w:rPr>
                <w:rFonts w:hint="eastAsia"/>
              </w:rPr>
              <w:t>×10，3000m</w:t>
            </w:r>
            <w:r>
              <w:rPr>
                <w:rFonts w:hint="eastAsia"/>
                <w:vertAlign w:val="superscript"/>
              </w:rPr>
              <w:t>3</w:t>
            </w:r>
            <w:r>
              <w:rPr>
                <w:rFonts w:hint="eastAsia"/>
              </w:rPr>
              <w:t>×1；泵棚：40×7×6m</w:t>
            </w:r>
            <w:r>
              <w:t>。</w:t>
            </w:r>
          </w:p>
        </w:tc>
        <w:tc>
          <w:tcPr>
            <w:tcW w:w="5241" w:type="dxa"/>
            <w:vAlign w:val="center"/>
          </w:tcPr>
          <w:p>
            <w:pPr>
              <w:pStyle w:val="24"/>
              <w:bidi w:val="0"/>
            </w:pPr>
            <w:r>
              <w:rPr>
                <w:rFonts w:hint="eastAsia"/>
              </w:rPr>
              <w:t>6#罐组：储罐10000m</w:t>
            </w:r>
            <w:r>
              <w:rPr>
                <w:rFonts w:hint="eastAsia"/>
                <w:vertAlign w:val="superscript"/>
              </w:rPr>
              <w:t>3</w:t>
            </w:r>
            <w:r>
              <w:rPr>
                <w:rFonts w:hint="eastAsia"/>
              </w:rPr>
              <w:t>×10，3000m</w:t>
            </w:r>
            <w:r>
              <w:rPr>
                <w:rFonts w:hint="eastAsia"/>
                <w:vertAlign w:val="superscript"/>
              </w:rPr>
              <w:t>3</w:t>
            </w:r>
            <w:r>
              <w:rPr>
                <w:rFonts w:hint="eastAsia"/>
              </w:rPr>
              <w:t>×1；泵棚：40×7×6m</w:t>
            </w:r>
            <w:r>
              <w:t>。</w:t>
            </w:r>
          </w:p>
        </w:tc>
        <w:tc>
          <w:tcPr>
            <w:tcW w:w="2044" w:type="dxa"/>
            <w:vAlign w:val="center"/>
          </w:tcPr>
          <w:p>
            <w:pPr>
              <w:pStyle w:val="24"/>
              <w:bidi w:val="0"/>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pPr>
            <w:r>
              <w:rPr>
                <w:rFonts w:hint="eastAsia"/>
              </w:rPr>
              <w:t>7#罐组：石化产品储罐5000m</w:t>
            </w:r>
            <w:r>
              <w:rPr>
                <w:rFonts w:hint="eastAsia"/>
                <w:vertAlign w:val="superscript"/>
              </w:rPr>
              <w:t>3</w:t>
            </w:r>
            <w:r>
              <w:rPr>
                <w:rFonts w:hint="eastAsia"/>
              </w:rPr>
              <w:t>×6；泵棚：15×7×6m，占地和建筑面积均为110m</w:t>
            </w:r>
            <w:r>
              <w:rPr>
                <w:rFonts w:hint="eastAsia"/>
                <w:vertAlign w:val="superscript"/>
              </w:rPr>
              <w:t>2</w:t>
            </w:r>
            <w:r>
              <w:rPr>
                <w:rFonts w:hint="eastAsia"/>
              </w:rPr>
              <w:t>。</w:t>
            </w:r>
          </w:p>
        </w:tc>
        <w:tc>
          <w:tcPr>
            <w:tcW w:w="5241" w:type="dxa"/>
            <w:vAlign w:val="center"/>
          </w:tcPr>
          <w:p>
            <w:pPr>
              <w:pStyle w:val="24"/>
              <w:bidi w:val="0"/>
            </w:pPr>
            <w:r>
              <w:rPr>
                <w:rFonts w:hint="eastAsia"/>
              </w:rPr>
              <w:t>7#罐组：石化产品储罐5000m</w:t>
            </w:r>
            <w:r>
              <w:rPr>
                <w:rFonts w:hint="eastAsia"/>
                <w:vertAlign w:val="superscript"/>
              </w:rPr>
              <w:t>3</w:t>
            </w:r>
            <w:r>
              <w:rPr>
                <w:rFonts w:hint="eastAsia"/>
              </w:rPr>
              <w:t>×6；泵棚：15×7×6m，占地和建筑面积均为110m</w:t>
            </w:r>
            <w:r>
              <w:rPr>
                <w:rFonts w:hint="eastAsia"/>
                <w:vertAlign w:val="superscript"/>
              </w:rPr>
              <w:t>2</w:t>
            </w:r>
            <w:r>
              <w:rPr>
                <w:rFonts w:hint="eastAsia"/>
              </w:rPr>
              <w:t>。</w:t>
            </w:r>
          </w:p>
        </w:tc>
        <w:tc>
          <w:tcPr>
            <w:tcW w:w="2044" w:type="dxa"/>
            <w:vAlign w:val="center"/>
          </w:tcPr>
          <w:p>
            <w:pPr>
              <w:pStyle w:val="24"/>
              <w:bidi w:val="0"/>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pPr>
            <w:r>
              <w:rPr>
                <w:rFonts w:hint="eastAsia"/>
              </w:rPr>
              <w:t>8#罐组：储罐15000m</w:t>
            </w:r>
            <w:r>
              <w:rPr>
                <w:rFonts w:hint="eastAsia"/>
                <w:vertAlign w:val="superscript"/>
              </w:rPr>
              <w:t>3</w:t>
            </w:r>
            <w:r>
              <w:rPr>
                <w:rFonts w:hint="eastAsia"/>
              </w:rPr>
              <w:t>×10；泵棚40×7×6m。</w:t>
            </w:r>
          </w:p>
        </w:tc>
        <w:tc>
          <w:tcPr>
            <w:tcW w:w="5241" w:type="dxa"/>
            <w:vAlign w:val="center"/>
          </w:tcPr>
          <w:p>
            <w:pPr>
              <w:pStyle w:val="24"/>
              <w:bidi w:val="0"/>
            </w:pPr>
            <w:r>
              <w:rPr>
                <w:rFonts w:hint="eastAsia"/>
              </w:rPr>
              <w:t>8#罐组：储罐15000m</w:t>
            </w:r>
            <w:r>
              <w:rPr>
                <w:rFonts w:hint="eastAsia"/>
                <w:vertAlign w:val="superscript"/>
              </w:rPr>
              <w:t>3</w:t>
            </w:r>
            <w:r>
              <w:rPr>
                <w:rFonts w:hint="eastAsia"/>
              </w:rPr>
              <w:t>×10；泵棚40×7×6m。</w:t>
            </w:r>
          </w:p>
        </w:tc>
        <w:tc>
          <w:tcPr>
            <w:tcW w:w="2044" w:type="dxa"/>
            <w:vAlign w:val="center"/>
          </w:tcPr>
          <w:p>
            <w:pPr>
              <w:pStyle w:val="24"/>
              <w:bidi w:val="0"/>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restart"/>
            <w:vAlign w:val="center"/>
          </w:tcPr>
          <w:p>
            <w:pPr>
              <w:pStyle w:val="24"/>
              <w:bidi w:val="0"/>
            </w:pPr>
            <w:r>
              <w:t>1.2</w:t>
            </w:r>
          </w:p>
        </w:tc>
        <w:tc>
          <w:tcPr>
            <w:tcW w:w="1017" w:type="dxa"/>
            <w:vMerge w:val="restart"/>
            <w:vAlign w:val="center"/>
          </w:tcPr>
          <w:p>
            <w:pPr>
              <w:pStyle w:val="24"/>
              <w:bidi w:val="0"/>
            </w:pPr>
            <w:r>
              <w:t>装卸区</w:t>
            </w:r>
          </w:p>
        </w:tc>
        <w:tc>
          <w:tcPr>
            <w:tcW w:w="5241" w:type="dxa"/>
            <w:vAlign w:val="center"/>
          </w:tcPr>
          <w:p>
            <w:pPr>
              <w:pStyle w:val="24"/>
              <w:bidi w:val="0"/>
              <w:rPr>
                <w:rFonts w:hint="eastAsia"/>
              </w:rPr>
            </w:pPr>
            <w:r>
              <w:t>装车站一</w:t>
            </w:r>
            <w:r>
              <w:rPr>
                <w:rFonts w:hint="eastAsia"/>
                <w:lang w:eastAsia="zh-CN"/>
              </w:rPr>
              <w:t>：</w:t>
            </w:r>
            <w:r>
              <w:t>82×17×10m，单层敞开式棚，内设7个装车栈台（28个车位），占地面积1394m</w:t>
            </w:r>
            <w:r>
              <w:rPr>
                <w:vertAlign w:val="superscript"/>
              </w:rPr>
              <w:t>2</w:t>
            </w:r>
            <w:r>
              <w:t>，建筑面积697m</w:t>
            </w:r>
            <w:r>
              <w:rPr>
                <w:vertAlign w:val="superscript"/>
              </w:rPr>
              <w:t>2</w:t>
            </w:r>
            <w:r>
              <w:t>。</w:t>
            </w:r>
          </w:p>
        </w:tc>
        <w:tc>
          <w:tcPr>
            <w:tcW w:w="5241" w:type="dxa"/>
            <w:vAlign w:val="center"/>
          </w:tcPr>
          <w:p>
            <w:pPr>
              <w:pStyle w:val="24"/>
              <w:bidi w:val="0"/>
            </w:pPr>
            <w:r>
              <w:rPr>
                <w:rFonts w:hint="eastAsia"/>
                <w:lang w:eastAsia="zh-Hans"/>
              </w:rPr>
              <w:t>装车站一</w:t>
            </w:r>
            <w:r>
              <w:rPr>
                <w:rFonts w:hint="eastAsia"/>
                <w:lang w:eastAsia="zh-CN"/>
              </w:rPr>
              <w:t>：</w:t>
            </w:r>
            <w:r>
              <w:rPr>
                <w:rFonts w:hint="eastAsia"/>
                <w:lang w:eastAsia="zh-Hans"/>
              </w:rPr>
              <w:t>82×17×10m，单层敞开式棚，内设7个装车栈台（28个车位），占地面积1394m</w:t>
            </w:r>
            <w:r>
              <w:rPr>
                <w:rFonts w:hint="eastAsia"/>
                <w:vertAlign w:val="superscript"/>
                <w:lang w:eastAsia="zh-Hans"/>
              </w:rPr>
              <w:t>2</w:t>
            </w:r>
            <w:r>
              <w:rPr>
                <w:rFonts w:hint="eastAsia"/>
                <w:lang w:eastAsia="zh-Hans"/>
              </w:rPr>
              <w:t>，建筑面积697m</w:t>
            </w:r>
            <w:r>
              <w:rPr>
                <w:rFonts w:hint="eastAsia"/>
                <w:vertAlign w:val="superscript"/>
                <w:lang w:eastAsia="zh-Hans"/>
              </w:rPr>
              <w:t>2</w:t>
            </w:r>
            <w:r>
              <w:rPr>
                <w:rFonts w:hint="eastAsia"/>
                <w:lang w:eastAsia="zh-Hans"/>
              </w:rPr>
              <w:t>。</w:t>
            </w:r>
          </w:p>
        </w:tc>
        <w:tc>
          <w:tcPr>
            <w:tcW w:w="2044" w:type="dxa"/>
            <w:vAlign w:val="center"/>
          </w:tcPr>
          <w:p>
            <w:pPr>
              <w:pStyle w:val="24"/>
              <w:bidi w:val="0"/>
              <w:rPr>
                <w:rFonts w:hint="eastAsia"/>
                <w:lang w:eastAsia="zh-Hans"/>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Merge w:val="continue"/>
            <w:vAlign w:val="center"/>
          </w:tcPr>
          <w:p>
            <w:pPr>
              <w:pStyle w:val="24"/>
              <w:bidi w:val="0"/>
            </w:pPr>
          </w:p>
        </w:tc>
        <w:tc>
          <w:tcPr>
            <w:tcW w:w="1017" w:type="dxa"/>
            <w:vMerge w:val="continue"/>
            <w:vAlign w:val="center"/>
          </w:tcPr>
          <w:p>
            <w:pPr>
              <w:pStyle w:val="24"/>
              <w:bidi w:val="0"/>
            </w:pPr>
          </w:p>
        </w:tc>
        <w:tc>
          <w:tcPr>
            <w:tcW w:w="5241" w:type="dxa"/>
            <w:vAlign w:val="center"/>
          </w:tcPr>
          <w:p>
            <w:pPr>
              <w:pStyle w:val="24"/>
              <w:bidi w:val="0"/>
            </w:pPr>
            <w:r>
              <w:rPr>
                <w:rFonts w:hint="eastAsia"/>
              </w:rPr>
              <w:t>装车站二：85.6×20×9m，单层敞开式棚，内设7个装车栈台（28个车位），占地面积1712m</w:t>
            </w:r>
            <w:r>
              <w:rPr>
                <w:rFonts w:hint="eastAsia"/>
                <w:vertAlign w:val="superscript"/>
              </w:rPr>
              <w:t>2</w:t>
            </w:r>
            <w:r>
              <w:rPr>
                <w:rFonts w:hint="eastAsia"/>
              </w:rPr>
              <w:t>，建筑面积856m</w:t>
            </w:r>
            <w:r>
              <w:rPr>
                <w:rFonts w:hint="eastAsia"/>
                <w:vertAlign w:val="superscript"/>
              </w:rPr>
              <w:t>2</w:t>
            </w:r>
            <w:r>
              <w:rPr>
                <w:rFonts w:hint="eastAsia"/>
              </w:rPr>
              <w:t>。</w:t>
            </w:r>
          </w:p>
        </w:tc>
        <w:tc>
          <w:tcPr>
            <w:tcW w:w="5241" w:type="dxa"/>
            <w:vAlign w:val="center"/>
          </w:tcPr>
          <w:p>
            <w:pPr>
              <w:pStyle w:val="24"/>
              <w:bidi w:val="0"/>
            </w:pPr>
            <w:r>
              <w:rPr>
                <w:rFonts w:hint="eastAsia"/>
              </w:rPr>
              <w:t>装车站二：85.6×20×9m，单层敞开式棚，内设7个装车栈台（28个车位），占地面积1712m</w:t>
            </w:r>
            <w:r>
              <w:rPr>
                <w:rFonts w:hint="eastAsia"/>
                <w:vertAlign w:val="superscript"/>
              </w:rPr>
              <w:t>2</w:t>
            </w:r>
            <w:r>
              <w:rPr>
                <w:rFonts w:hint="eastAsia"/>
              </w:rPr>
              <w:t>，建筑面积856m</w:t>
            </w:r>
            <w:r>
              <w:rPr>
                <w:rFonts w:hint="eastAsia"/>
                <w:vertAlign w:val="superscript"/>
              </w:rPr>
              <w:t>2</w:t>
            </w:r>
            <w:r>
              <w:rPr>
                <w:rFonts w:hint="eastAsia"/>
              </w:rPr>
              <w:t>。</w:t>
            </w:r>
          </w:p>
        </w:tc>
        <w:tc>
          <w:tcPr>
            <w:tcW w:w="2044" w:type="dxa"/>
            <w:vAlign w:val="center"/>
          </w:tcPr>
          <w:p>
            <w:pPr>
              <w:pStyle w:val="24"/>
              <w:bidi w:val="0"/>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1.3</w:t>
            </w:r>
          </w:p>
        </w:tc>
        <w:tc>
          <w:tcPr>
            <w:tcW w:w="1017" w:type="dxa"/>
            <w:vAlign w:val="center"/>
          </w:tcPr>
          <w:p>
            <w:pPr>
              <w:pStyle w:val="24"/>
              <w:bidi w:val="0"/>
            </w:pPr>
            <w:r>
              <w:t>装桶区</w:t>
            </w:r>
          </w:p>
        </w:tc>
        <w:tc>
          <w:tcPr>
            <w:tcW w:w="5241" w:type="dxa"/>
            <w:vAlign w:val="center"/>
          </w:tcPr>
          <w:p>
            <w:pPr>
              <w:pStyle w:val="24"/>
              <w:bidi w:val="0"/>
            </w:pPr>
            <w:r>
              <w:t>装桶间：66×25×6m，二层，占地面积1257.5m</w:t>
            </w:r>
            <w:r>
              <w:rPr>
                <w:vertAlign w:val="superscript"/>
              </w:rPr>
              <w:t>2</w:t>
            </w:r>
            <w:r>
              <w:t>，建筑面积2447.4m</w:t>
            </w:r>
            <w:r>
              <w:rPr>
                <w:vertAlign w:val="superscript"/>
              </w:rPr>
              <w:t>2</w:t>
            </w:r>
            <w:r>
              <w:t>。</w:t>
            </w:r>
          </w:p>
        </w:tc>
        <w:tc>
          <w:tcPr>
            <w:tcW w:w="5241" w:type="dxa"/>
            <w:vAlign w:val="center"/>
          </w:tcPr>
          <w:p>
            <w:pPr>
              <w:pStyle w:val="24"/>
              <w:bidi w:val="0"/>
              <w:rPr>
                <w:lang w:eastAsia="zh-Hans"/>
              </w:rPr>
            </w:pPr>
            <w:r>
              <w:rPr>
                <w:rFonts w:hint="eastAsia"/>
                <w:lang w:eastAsia="zh-Hans"/>
              </w:rPr>
              <w:t>装桶间：66×25×6m，二层，占地面积1257.5m</w:t>
            </w:r>
            <w:r>
              <w:rPr>
                <w:rFonts w:hint="eastAsia"/>
                <w:vertAlign w:val="superscript"/>
                <w:lang w:eastAsia="zh-Hans"/>
              </w:rPr>
              <w:t>2</w:t>
            </w:r>
            <w:r>
              <w:rPr>
                <w:rFonts w:hint="eastAsia"/>
                <w:lang w:eastAsia="zh-Hans"/>
              </w:rPr>
              <w:t>，建筑面积2447.4m</w:t>
            </w:r>
            <w:r>
              <w:rPr>
                <w:rFonts w:hint="eastAsia"/>
                <w:vertAlign w:val="superscript"/>
                <w:lang w:eastAsia="zh-Hans"/>
              </w:rPr>
              <w:t>2</w:t>
            </w:r>
            <w:r>
              <w:rPr>
                <w:rFonts w:hint="eastAsia"/>
                <w:lang w:eastAsia="zh-Hans"/>
              </w:rPr>
              <w:t>。</w:t>
            </w:r>
          </w:p>
        </w:tc>
        <w:tc>
          <w:tcPr>
            <w:tcW w:w="2044" w:type="dxa"/>
            <w:vAlign w:val="center"/>
          </w:tcPr>
          <w:p>
            <w:pPr>
              <w:pStyle w:val="24"/>
              <w:bidi w:val="0"/>
              <w:rPr>
                <w:rFonts w:hint="eastAsia"/>
                <w:lang w:eastAsia="zh-Hans"/>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1.4</w:t>
            </w:r>
          </w:p>
        </w:tc>
        <w:tc>
          <w:tcPr>
            <w:tcW w:w="1017" w:type="dxa"/>
            <w:vAlign w:val="center"/>
          </w:tcPr>
          <w:p>
            <w:pPr>
              <w:pStyle w:val="24"/>
              <w:bidi w:val="0"/>
            </w:pPr>
            <w:r>
              <w:t>输送管线</w:t>
            </w:r>
          </w:p>
        </w:tc>
        <w:tc>
          <w:tcPr>
            <w:tcW w:w="5241" w:type="dxa"/>
            <w:vAlign w:val="center"/>
          </w:tcPr>
          <w:p>
            <w:pPr>
              <w:pStyle w:val="24"/>
              <w:bidi w:val="0"/>
            </w:pPr>
            <w:r>
              <w:rPr>
                <w:lang w:val="en-GB"/>
              </w:rPr>
              <w:t>栈桥根部至本工程</w:t>
            </w:r>
            <w:r>
              <w:rPr>
                <w:rFonts w:hint="eastAsia"/>
                <w:lang w:val="en-GB" w:eastAsia="zh-CN"/>
              </w:rPr>
              <w:t>罐区</w:t>
            </w:r>
            <w:r>
              <w:rPr>
                <w:lang w:val="en-GB"/>
              </w:rPr>
              <w:t>部分。</w:t>
            </w:r>
          </w:p>
        </w:tc>
        <w:tc>
          <w:tcPr>
            <w:tcW w:w="5241" w:type="dxa"/>
            <w:vAlign w:val="center"/>
          </w:tcPr>
          <w:p>
            <w:pPr>
              <w:pStyle w:val="24"/>
              <w:bidi w:val="0"/>
              <w:rPr>
                <w:lang w:val="en-GB"/>
              </w:rPr>
            </w:pPr>
            <w:r>
              <w:rPr>
                <w:lang w:val="en-GB"/>
              </w:rPr>
              <w:t>栈桥根部至本工程</w:t>
            </w:r>
            <w:r>
              <w:rPr>
                <w:rFonts w:hint="eastAsia"/>
                <w:lang w:val="en-GB" w:eastAsia="zh-CN"/>
              </w:rPr>
              <w:t>罐区</w:t>
            </w:r>
            <w:r>
              <w:rPr>
                <w:lang w:val="en-GB"/>
              </w:rPr>
              <w:t>部分。</w:t>
            </w:r>
          </w:p>
        </w:tc>
        <w:tc>
          <w:tcPr>
            <w:tcW w:w="2044" w:type="dxa"/>
            <w:vAlign w:val="center"/>
          </w:tcPr>
          <w:p>
            <w:pPr>
              <w:pStyle w:val="24"/>
              <w:bidi w:val="0"/>
              <w:rPr>
                <w:lang w:val="en-GB"/>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trPr>
        <w:tc>
          <w:tcPr>
            <w:tcW w:w="620" w:type="dxa"/>
            <w:vAlign w:val="center"/>
          </w:tcPr>
          <w:p>
            <w:pPr>
              <w:pStyle w:val="24"/>
              <w:bidi w:val="0"/>
              <w:rPr>
                <w:b/>
                <w:bCs/>
              </w:rPr>
            </w:pPr>
            <w:r>
              <w:rPr>
                <w:b/>
                <w:bCs/>
              </w:rPr>
              <w:t>2</w:t>
            </w:r>
          </w:p>
        </w:tc>
        <w:tc>
          <w:tcPr>
            <w:tcW w:w="13543" w:type="dxa"/>
            <w:gridSpan w:val="4"/>
            <w:vAlign w:val="center"/>
          </w:tcPr>
          <w:p>
            <w:pPr>
              <w:pStyle w:val="24"/>
              <w:bidi w:val="0"/>
              <w:jc w:val="left"/>
              <w:rPr>
                <w:b/>
                <w:bCs/>
              </w:rPr>
            </w:pPr>
            <w:r>
              <w:rPr>
                <w:b/>
                <w:bCs/>
              </w:rPr>
              <w:t>公用工程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trPr>
        <w:tc>
          <w:tcPr>
            <w:tcW w:w="620" w:type="dxa"/>
            <w:vAlign w:val="center"/>
          </w:tcPr>
          <w:p>
            <w:pPr>
              <w:pStyle w:val="24"/>
              <w:bidi w:val="0"/>
            </w:pPr>
            <w:r>
              <w:t>2.1</w:t>
            </w:r>
          </w:p>
        </w:tc>
        <w:tc>
          <w:tcPr>
            <w:tcW w:w="1017" w:type="dxa"/>
            <w:vAlign w:val="center"/>
          </w:tcPr>
          <w:p>
            <w:pPr>
              <w:pStyle w:val="24"/>
              <w:bidi w:val="0"/>
            </w:pPr>
            <w:r>
              <w:t>综合楼</w:t>
            </w:r>
          </w:p>
        </w:tc>
        <w:tc>
          <w:tcPr>
            <w:tcW w:w="5241" w:type="dxa"/>
            <w:vAlign w:val="center"/>
          </w:tcPr>
          <w:p>
            <w:pPr>
              <w:pStyle w:val="24"/>
              <w:bidi w:val="0"/>
            </w:pPr>
            <w:r>
              <w:rPr>
                <w:rFonts w:hint="eastAsia"/>
                <w:lang w:eastAsia="zh-Hans"/>
              </w:rPr>
              <w:t>占地面积899.3m</w:t>
            </w:r>
            <w:r>
              <w:rPr>
                <w:rFonts w:hint="eastAsia"/>
                <w:vertAlign w:val="superscript"/>
                <w:lang w:eastAsia="zh-Hans"/>
              </w:rPr>
              <w:t>2</w:t>
            </w:r>
            <w:r>
              <w:rPr>
                <w:rFonts w:hint="eastAsia"/>
                <w:lang w:eastAsia="zh-Hans"/>
              </w:rPr>
              <w:t>，建筑面积2719.26m</w:t>
            </w:r>
            <w:r>
              <w:rPr>
                <w:rFonts w:hint="eastAsia"/>
                <w:vertAlign w:val="superscript"/>
                <w:lang w:eastAsia="zh-Hans"/>
              </w:rPr>
              <w:t>2</w:t>
            </w:r>
          </w:p>
        </w:tc>
        <w:tc>
          <w:tcPr>
            <w:tcW w:w="5241" w:type="dxa"/>
            <w:vAlign w:val="center"/>
          </w:tcPr>
          <w:p>
            <w:pPr>
              <w:pStyle w:val="24"/>
              <w:bidi w:val="0"/>
            </w:pPr>
            <w:r>
              <w:rPr>
                <w:rFonts w:hint="eastAsia"/>
                <w:lang w:eastAsia="zh-Hans"/>
              </w:rPr>
              <w:t>占地面积899.3m</w:t>
            </w:r>
            <w:r>
              <w:rPr>
                <w:rFonts w:hint="eastAsia"/>
                <w:vertAlign w:val="superscript"/>
                <w:lang w:eastAsia="zh-Hans"/>
              </w:rPr>
              <w:t>2</w:t>
            </w:r>
            <w:r>
              <w:rPr>
                <w:rFonts w:hint="eastAsia"/>
                <w:lang w:eastAsia="zh-Hans"/>
              </w:rPr>
              <w:t>，建筑面积2719.26m</w:t>
            </w:r>
            <w:r>
              <w:rPr>
                <w:rFonts w:hint="eastAsia"/>
                <w:vertAlign w:val="superscript"/>
                <w:lang w:eastAsia="zh-Hans"/>
              </w:rPr>
              <w:t>2</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trPr>
        <w:tc>
          <w:tcPr>
            <w:tcW w:w="620" w:type="dxa"/>
            <w:vAlign w:val="center"/>
          </w:tcPr>
          <w:p>
            <w:pPr>
              <w:pStyle w:val="24"/>
              <w:bidi w:val="0"/>
              <w:rPr>
                <w:rFonts w:hint="default" w:eastAsia="宋体"/>
                <w:lang w:val="en-US" w:eastAsia="zh-CN"/>
              </w:rPr>
            </w:pPr>
            <w:r>
              <w:rPr>
                <w:rFonts w:hint="eastAsia"/>
                <w:lang w:val="en-US" w:eastAsia="zh-CN"/>
              </w:rPr>
              <w:t>2.2</w:t>
            </w:r>
          </w:p>
        </w:tc>
        <w:tc>
          <w:tcPr>
            <w:tcW w:w="1017" w:type="dxa"/>
            <w:vAlign w:val="center"/>
          </w:tcPr>
          <w:p>
            <w:pPr>
              <w:pStyle w:val="24"/>
              <w:bidi w:val="0"/>
              <w:rPr>
                <w:rFonts w:hint="eastAsia" w:eastAsia="宋体"/>
                <w:lang w:eastAsia="zh-CN"/>
              </w:rPr>
            </w:pPr>
            <w:r>
              <w:rPr>
                <w:rFonts w:hint="eastAsia"/>
                <w:lang w:eastAsia="zh-CN"/>
              </w:rPr>
              <w:t>生产辅房</w:t>
            </w:r>
          </w:p>
        </w:tc>
        <w:tc>
          <w:tcPr>
            <w:tcW w:w="5241" w:type="dxa"/>
            <w:vAlign w:val="center"/>
          </w:tcPr>
          <w:p>
            <w:pPr>
              <w:pStyle w:val="24"/>
              <w:bidi w:val="0"/>
            </w:pPr>
            <w:r>
              <w:rPr>
                <w:rFonts w:hint="eastAsia"/>
              </w:rPr>
              <w:t>生产辅房一占地/建筑面积3</w:t>
            </w:r>
            <w:r>
              <w:t>30.14</w:t>
            </w:r>
            <w:r>
              <w:rPr>
                <w:rFonts w:hint="eastAsia"/>
              </w:rPr>
              <w:t>m</w:t>
            </w:r>
            <w:r>
              <w:rPr>
                <w:vertAlign w:val="superscript"/>
              </w:rPr>
              <w:t>2</w:t>
            </w:r>
            <w:r>
              <w:rPr>
                <w:rFonts w:hint="eastAsia"/>
              </w:rPr>
              <w:t>，生产辅房二占地面积</w:t>
            </w:r>
            <w:r>
              <w:t>1010.71</w:t>
            </w:r>
            <w:r>
              <w:rPr>
                <w:rFonts w:hint="eastAsia"/>
              </w:rPr>
              <w:t>m</w:t>
            </w:r>
            <w:r>
              <w:rPr>
                <w:vertAlign w:val="superscript"/>
              </w:rPr>
              <w:t>2</w:t>
            </w:r>
            <w:r>
              <w:rPr>
                <w:rFonts w:hint="eastAsia"/>
              </w:rPr>
              <w:t>，建筑面积1</w:t>
            </w:r>
            <w:r>
              <w:t>857</w:t>
            </w:r>
            <w:r>
              <w:rPr>
                <w:rFonts w:hint="eastAsia"/>
              </w:rPr>
              <w:t>m</w:t>
            </w:r>
            <w:r>
              <w:rPr>
                <w:vertAlign w:val="superscript"/>
              </w:rPr>
              <w:t>2</w:t>
            </w:r>
            <w:r>
              <w:rPr>
                <w:rFonts w:hint="eastAsia"/>
              </w:rPr>
              <w:t>，生产辅房三占地面积5</w:t>
            </w:r>
            <w:r>
              <w:t>11</w:t>
            </w:r>
            <w:r>
              <w:rPr>
                <w:rFonts w:hint="eastAsia"/>
              </w:rPr>
              <w:t>m</w:t>
            </w:r>
            <w:r>
              <w:rPr>
                <w:vertAlign w:val="superscript"/>
              </w:rPr>
              <w:t>2</w:t>
            </w:r>
            <w:r>
              <w:rPr>
                <w:rFonts w:hint="eastAsia"/>
              </w:rPr>
              <w:t>，建筑面积1</w:t>
            </w:r>
            <w:r>
              <w:t>022</w:t>
            </w:r>
            <w:r>
              <w:rPr>
                <w:rFonts w:hint="eastAsia"/>
              </w:rPr>
              <w:t>m</w:t>
            </w:r>
            <w:r>
              <w:rPr>
                <w:vertAlign w:val="superscript"/>
              </w:rPr>
              <w:t>2</w:t>
            </w:r>
            <w:r>
              <w:rPr>
                <w:rFonts w:hint="eastAsia"/>
              </w:rPr>
              <w:t>，生产辅房五占地面积</w:t>
            </w:r>
            <w:r>
              <w:t>197.6</w:t>
            </w:r>
            <w:r>
              <w:rPr>
                <w:rFonts w:hint="eastAsia"/>
              </w:rPr>
              <w:t>m</w:t>
            </w:r>
            <w:r>
              <w:rPr>
                <w:vertAlign w:val="superscript"/>
              </w:rPr>
              <w:t>2</w:t>
            </w:r>
            <w:r>
              <w:rPr>
                <w:rFonts w:hint="eastAsia"/>
              </w:rPr>
              <w:t>，建筑面积</w:t>
            </w:r>
            <w:r>
              <w:t>499.2</w:t>
            </w:r>
            <w:r>
              <w:rPr>
                <w:rFonts w:hint="eastAsia"/>
              </w:rPr>
              <w:t>m</w:t>
            </w:r>
            <w:r>
              <w:rPr>
                <w:vertAlign w:val="superscript"/>
              </w:rPr>
              <w:t>2</w:t>
            </w:r>
          </w:p>
        </w:tc>
        <w:tc>
          <w:tcPr>
            <w:tcW w:w="5241" w:type="dxa"/>
            <w:vAlign w:val="center"/>
          </w:tcPr>
          <w:p>
            <w:pPr>
              <w:pStyle w:val="24"/>
              <w:bidi w:val="0"/>
              <w:rPr>
                <w:rFonts w:hint="eastAsia"/>
                <w:lang w:eastAsia="zh-Hans"/>
              </w:rPr>
            </w:pPr>
            <w:r>
              <w:rPr>
                <w:rFonts w:hint="eastAsia"/>
                <w:lang w:eastAsia="zh-Hans"/>
              </w:rPr>
              <w:t>生产辅房一占地/建筑面积330.14m</w:t>
            </w:r>
            <w:r>
              <w:rPr>
                <w:rFonts w:hint="eastAsia"/>
                <w:vertAlign w:val="superscript"/>
                <w:lang w:eastAsia="zh-Hans"/>
              </w:rPr>
              <w:t>2</w:t>
            </w:r>
            <w:r>
              <w:rPr>
                <w:rFonts w:hint="eastAsia"/>
                <w:lang w:eastAsia="zh-Hans"/>
              </w:rPr>
              <w:t>，生产辅房二占地面积1010.71m</w:t>
            </w:r>
            <w:r>
              <w:rPr>
                <w:rFonts w:hint="eastAsia"/>
                <w:vertAlign w:val="superscript"/>
                <w:lang w:eastAsia="zh-Hans"/>
              </w:rPr>
              <w:t>2</w:t>
            </w:r>
            <w:r>
              <w:rPr>
                <w:rFonts w:hint="eastAsia"/>
                <w:lang w:eastAsia="zh-Hans"/>
              </w:rPr>
              <w:t>，建筑面积1857m</w:t>
            </w:r>
            <w:r>
              <w:rPr>
                <w:rFonts w:hint="eastAsia"/>
                <w:vertAlign w:val="superscript"/>
                <w:lang w:eastAsia="zh-Hans"/>
              </w:rPr>
              <w:t>2</w:t>
            </w:r>
            <w:r>
              <w:rPr>
                <w:rFonts w:hint="eastAsia"/>
                <w:lang w:eastAsia="zh-Hans"/>
              </w:rPr>
              <w:t>，生产辅房三占地面积511m</w:t>
            </w:r>
            <w:r>
              <w:rPr>
                <w:rFonts w:hint="eastAsia"/>
                <w:vertAlign w:val="superscript"/>
                <w:lang w:eastAsia="zh-Hans"/>
              </w:rPr>
              <w:t>2</w:t>
            </w:r>
            <w:r>
              <w:rPr>
                <w:rFonts w:hint="eastAsia"/>
                <w:lang w:eastAsia="zh-Hans"/>
              </w:rPr>
              <w:t>，建筑面积1022m</w:t>
            </w:r>
            <w:r>
              <w:rPr>
                <w:rFonts w:hint="eastAsia"/>
                <w:vertAlign w:val="superscript"/>
                <w:lang w:eastAsia="zh-Hans"/>
              </w:rPr>
              <w:t>2</w:t>
            </w:r>
            <w:r>
              <w:rPr>
                <w:rFonts w:hint="eastAsia"/>
                <w:lang w:eastAsia="zh-Hans"/>
              </w:rPr>
              <w:t>，生产辅房五占地面积197.6m</w:t>
            </w:r>
            <w:r>
              <w:rPr>
                <w:rFonts w:hint="eastAsia"/>
                <w:vertAlign w:val="superscript"/>
                <w:lang w:eastAsia="zh-Hans"/>
              </w:rPr>
              <w:t>2</w:t>
            </w:r>
            <w:r>
              <w:rPr>
                <w:rFonts w:hint="eastAsia"/>
                <w:lang w:eastAsia="zh-Hans"/>
              </w:rPr>
              <w:t>，建筑面积499.2m</w:t>
            </w:r>
            <w:r>
              <w:rPr>
                <w:rFonts w:hint="eastAsia"/>
                <w:vertAlign w:val="superscript"/>
                <w:lang w:eastAsia="zh-Hans"/>
              </w:rPr>
              <w:t>2</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trPr>
        <w:tc>
          <w:tcPr>
            <w:tcW w:w="620" w:type="dxa"/>
            <w:vAlign w:val="center"/>
          </w:tcPr>
          <w:p>
            <w:pPr>
              <w:pStyle w:val="24"/>
              <w:bidi w:val="0"/>
              <w:rPr>
                <w:rFonts w:hint="default" w:eastAsia="宋体"/>
                <w:lang w:val="en-US" w:eastAsia="zh-CN"/>
              </w:rPr>
            </w:pPr>
            <w:r>
              <w:rPr>
                <w:rFonts w:hint="eastAsia"/>
                <w:lang w:val="en-US" w:eastAsia="zh-CN"/>
              </w:rPr>
              <w:t>2.3</w:t>
            </w:r>
          </w:p>
        </w:tc>
        <w:tc>
          <w:tcPr>
            <w:tcW w:w="1017" w:type="dxa"/>
            <w:vAlign w:val="center"/>
          </w:tcPr>
          <w:p>
            <w:pPr>
              <w:pStyle w:val="24"/>
              <w:bidi w:val="0"/>
              <w:rPr>
                <w:rFonts w:hint="eastAsia" w:eastAsia="宋体"/>
                <w:lang w:eastAsia="zh-CN"/>
              </w:rPr>
            </w:pPr>
            <w:r>
              <w:rPr>
                <w:rFonts w:hint="eastAsia"/>
                <w:lang w:eastAsia="zh-CN"/>
              </w:rPr>
              <w:t>地磅房</w:t>
            </w:r>
          </w:p>
        </w:tc>
        <w:tc>
          <w:tcPr>
            <w:tcW w:w="5241" w:type="dxa"/>
            <w:vAlign w:val="center"/>
          </w:tcPr>
          <w:p>
            <w:pPr>
              <w:pStyle w:val="24"/>
              <w:bidi w:val="0"/>
            </w:pPr>
            <w:r>
              <w:rPr>
                <w:rFonts w:hint="eastAsia"/>
              </w:rPr>
              <w:t>占地/建筑面积1</w:t>
            </w:r>
            <w:r>
              <w:t>43</w:t>
            </w:r>
            <w:r>
              <w:rPr>
                <w:rFonts w:hint="eastAsia"/>
              </w:rPr>
              <w:t>m</w:t>
            </w:r>
            <w:r>
              <w:rPr>
                <w:vertAlign w:val="superscript"/>
              </w:rPr>
              <w:t>2</w:t>
            </w:r>
          </w:p>
        </w:tc>
        <w:tc>
          <w:tcPr>
            <w:tcW w:w="5241" w:type="dxa"/>
            <w:vAlign w:val="center"/>
          </w:tcPr>
          <w:p>
            <w:pPr>
              <w:pStyle w:val="24"/>
              <w:bidi w:val="0"/>
              <w:rPr>
                <w:rFonts w:hint="eastAsia"/>
                <w:lang w:eastAsia="zh-Hans"/>
              </w:rPr>
            </w:pPr>
            <w:r>
              <w:rPr>
                <w:rFonts w:hint="eastAsia"/>
                <w:lang w:eastAsia="zh-Hans"/>
              </w:rPr>
              <w:t>占地/建筑面积143m</w:t>
            </w:r>
            <w:r>
              <w:rPr>
                <w:rFonts w:hint="eastAsia"/>
                <w:vertAlign w:val="superscript"/>
                <w:lang w:eastAsia="zh-Hans"/>
              </w:rPr>
              <w:t>2</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b/>
                <w:bCs/>
              </w:rPr>
            </w:pPr>
            <w:r>
              <w:rPr>
                <w:b/>
                <w:bCs/>
              </w:rPr>
              <w:t>3</w:t>
            </w:r>
          </w:p>
        </w:tc>
        <w:tc>
          <w:tcPr>
            <w:tcW w:w="13543" w:type="dxa"/>
            <w:gridSpan w:val="4"/>
            <w:vAlign w:val="center"/>
          </w:tcPr>
          <w:p>
            <w:pPr>
              <w:pStyle w:val="24"/>
              <w:bidi w:val="0"/>
              <w:jc w:val="left"/>
              <w:rPr>
                <w:b/>
                <w:bCs/>
              </w:rPr>
            </w:pPr>
            <w:r>
              <w:rPr>
                <w:b/>
                <w:bCs/>
              </w:rPr>
              <w:t>配套工程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3.1</w:t>
            </w:r>
          </w:p>
        </w:tc>
        <w:tc>
          <w:tcPr>
            <w:tcW w:w="1017" w:type="dxa"/>
            <w:vAlign w:val="center"/>
          </w:tcPr>
          <w:p>
            <w:pPr>
              <w:pStyle w:val="24"/>
              <w:bidi w:val="0"/>
            </w:pPr>
            <w:r>
              <w:t>供电</w:t>
            </w:r>
          </w:p>
        </w:tc>
        <w:tc>
          <w:tcPr>
            <w:tcW w:w="5241" w:type="dxa"/>
            <w:vAlign w:val="center"/>
          </w:tcPr>
          <w:p>
            <w:pPr>
              <w:pStyle w:val="24"/>
              <w:bidi w:val="0"/>
            </w:pPr>
            <w:r>
              <w:t>本库区10kV电源引自库区西边5km外的110kV松村变电站。松村变电站装机容量63000kVA。常用负荷为1253kW。</w:t>
            </w:r>
          </w:p>
        </w:tc>
        <w:tc>
          <w:tcPr>
            <w:tcW w:w="5241" w:type="dxa"/>
            <w:vAlign w:val="center"/>
          </w:tcPr>
          <w:p>
            <w:pPr>
              <w:pStyle w:val="24"/>
              <w:bidi w:val="0"/>
            </w:pPr>
            <w:r>
              <w:t>本库区10kV电源引自库区西边5km外的110kV松村变电站。松村变电站装机容量63000kVA。常用负荷为1253kW。</w:t>
            </w:r>
          </w:p>
        </w:tc>
        <w:tc>
          <w:tcPr>
            <w:tcW w:w="2044" w:type="dxa"/>
            <w:vAlign w:val="center"/>
          </w:tcPr>
          <w:p>
            <w:pPr>
              <w:pStyle w:val="24"/>
              <w:bidi w:val="0"/>
              <w:rPr>
                <w:rFonts w:hint="eastAsia"/>
                <w:lang w:eastAsia="zh-Hans"/>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3.2</w:t>
            </w:r>
          </w:p>
        </w:tc>
        <w:tc>
          <w:tcPr>
            <w:tcW w:w="1017" w:type="dxa"/>
            <w:vAlign w:val="center"/>
          </w:tcPr>
          <w:p>
            <w:pPr>
              <w:pStyle w:val="24"/>
              <w:bidi w:val="0"/>
            </w:pPr>
            <w:r>
              <w:t>制冷</w:t>
            </w:r>
          </w:p>
        </w:tc>
        <w:tc>
          <w:tcPr>
            <w:tcW w:w="5241" w:type="dxa"/>
            <w:vAlign w:val="center"/>
          </w:tcPr>
          <w:p>
            <w:pPr>
              <w:pStyle w:val="24"/>
              <w:bidi w:val="0"/>
            </w:pPr>
            <w:r>
              <w:rPr>
                <w:lang w:val="en-GB"/>
              </w:rPr>
              <w:t>螺杆式乙二醇机组2台</w:t>
            </w:r>
            <w:r>
              <w:t>，</w:t>
            </w:r>
            <w:r>
              <w:rPr>
                <w:lang w:val="en-GB"/>
              </w:rPr>
              <w:t>制冷量为241kW/台，制冷剂为R22，载冷剂为乙二醇水溶液。</w:t>
            </w:r>
          </w:p>
        </w:tc>
        <w:tc>
          <w:tcPr>
            <w:tcW w:w="5241" w:type="dxa"/>
            <w:vAlign w:val="center"/>
          </w:tcPr>
          <w:p>
            <w:pPr>
              <w:pStyle w:val="24"/>
              <w:bidi w:val="0"/>
              <w:rPr>
                <w:lang w:val="en-GB"/>
              </w:rPr>
            </w:pPr>
            <w:r>
              <w:rPr>
                <w:lang w:val="en-GB"/>
              </w:rPr>
              <w:t>螺杆式乙二醇机组2台</w:t>
            </w:r>
            <w:r>
              <w:t>，</w:t>
            </w:r>
            <w:r>
              <w:rPr>
                <w:lang w:val="en-GB"/>
              </w:rPr>
              <w:t>制冷量为241kW/台，制冷剂为R22，载冷剂为乙二醇水溶液。</w:t>
            </w:r>
          </w:p>
        </w:tc>
        <w:tc>
          <w:tcPr>
            <w:tcW w:w="2044" w:type="dxa"/>
            <w:vAlign w:val="center"/>
          </w:tcPr>
          <w:p>
            <w:pPr>
              <w:pStyle w:val="24"/>
              <w:bidi w:val="0"/>
              <w:rPr>
                <w:rFonts w:hint="eastAsia"/>
                <w:lang w:eastAsia="zh-Hans"/>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3.3</w:t>
            </w:r>
          </w:p>
        </w:tc>
        <w:tc>
          <w:tcPr>
            <w:tcW w:w="1017" w:type="dxa"/>
            <w:vAlign w:val="center"/>
          </w:tcPr>
          <w:p>
            <w:pPr>
              <w:pStyle w:val="24"/>
              <w:bidi w:val="0"/>
            </w:pPr>
            <w:r>
              <w:t>供水</w:t>
            </w:r>
          </w:p>
        </w:tc>
        <w:tc>
          <w:tcPr>
            <w:tcW w:w="5241" w:type="dxa"/>
            <w:vAlign w:val="center"/>
          </w:tcPr>
          <w:p>
            <w:pPr>
              <w:pStyle w:val="24"/>
              <w:bidi w:val="0"/>
            </w:pPr>
            <w:r>
              <w:t>项目生产生活用水和消防用水由工业区西南边惠东水厂供水，供水压力不小于0.4MPa。</w:t>
            </w:r>
          </w:p>
        </w:tc>
        <w:tc>
          <w:tcPr>
            <w:tcW w:w="5241" w:type="dxa"/>
            <w:vAlign w:val="center"/>
          </w:tcPr>
          <w:p>
            <w:pPr>
              <w:pStyle w:val="24"/>
              <w:bidi w:val="0"/>
            </w:pPr>
            <w:r>
              <w:t>项目生产生活用水和消防用水由工业区西南边惠东水厂供水，供水压力不小于0.4MPa。</w:t>
            </w:r>
          </w:p>
        </w:tc>
        <w:tc>
          <w:tcPr>
            <w:tcW w:w="2044" w:type="dxa"/>
            <w:vAlign w:val="center"/>
          </w:tcPr>
          <w:p>
            <w:pPr>
              <w:pStyle w:val="24"/>
              <w:bidi w:val="0"/>
              <w:rPr>
                <w:rFonts w:hint="eastAsia"/>
                <w:lang w:eastAsia="zh-Hans"/>
              </w:rPr>
            </w:pPr>
            <w:r>
              <w:rPr>
                <w:rFonts w:hint="eastAsia"/>
                <w:lang w:eastAsia="zh-CN"/>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3.4</w:t>
            </w:r>
          </w:p>
        </w:tc>
        <w:tc>
          <w:tcPr>
            <w:tcW w:w="1017" w:type="dxa"/>
            <w:vAlign w:val="center"/>
          </w:tcPr>
          <w:p>
            <w:pPr>
              <w:pStyle w:val="24"/>
              <w:bidi w:val="0"/>
            </w:pPr>
            <w:r>
              <w:t>空压制氮站</w:t>
            </w:r>
          </w:p>
        </w:tc>
        <w:tc>
          <w:tcPr>
            <w:tcW w:w="5241" w:type="dxa"/>
            <w:vAlign w:val="center"/>
          </w:tcPr>
          <w:p>
            <w:pPr>
              <w:pStyle w:val="24"/>
              <w:bidi w:val="0"/>
              <w:rPr>
                <w:lang w:eastAsia="zh-Hans"/>
              </w:rPr>
            </w:pPr>
            <w:r>
              <w:rPr>
                <w:lang w:val="en-GB"/>
              </w:rPr>
              <w:t>设置3台空压机（Q=41.5N</w:t>
            </w:r>
            <w:r>
              <w:t>m</w:t>
            </w:r>
            <w:r>
              <w:rPr>
                <w:vertAlign w:val="superscript"/>
              </w:rPr>
              <w:t>3</w:t>
            </w:r>
            <w:r>
              <w:rPr>
                <w:lang w:val="en-GB"/>
              </w:rPr>
              <w:t>/min）和2台制氮机（Q=800N</w:t>
            </w:r>
            <w:r>
              <w:t>m</w:t>
            </w:r>
            <w:r>
              <w:rPr>
                <w:vertAlign w:val="superscript"/>
              </w:rPr>
              <w:t>3</w:t>
            </w:r>
            <w:r>
              <w:rPr>
                <w:lang w:val="en-GB"/>
              </w:rPr>
              <w:t>/h）。</w:t>
            </w:r>
          </w:p>
        </w:tc>
        <w:tc>
          <w:tcPr>
            <w:tcW w:w="5241" w:type="dxa"/>
            <w:vAlign w:val="center"/>
          </w:tcPr>
          <w:p>
            <w:pPr>
              <w:pStyle w:val="24"/>
              <w:bidi w:val="0"/>
              <w:rPr>
                <w:lang w:eastAsia="zh-Hans"/>
              </w:rPr>
            </w:pPr>
            <w:r>
              <w:rPr>
                <w:rFonts w:hint="eastAsia"/>
                <w:lang w:eastAsia="zh-Hans"/>
              </w:rPr>
              <w:t>项目</w:t>
            </w:r>
            <w:r>
              <w:rPr>
                <w:rFonts w:hint="eastAsia"/>
                <w:lang w:val="en-US" w:eastAsia="zh-Hans"/>
              </w:rPr>
              <w:t>已</w:t>
            </w:r>
            <w:r>
              <w:rPr>
                <w:lang w:val="en-GB"/>
              </w:rPr>
              <w:t>设置</w:t>
            </w:r>
            <w:r>
              <w:t>2</w:t>
            </w:r>
            <w:r>
              <w:rPr>
                <w:lang w:val="en-GB"/>
              </w:rPr>
              <w:t>台空压机（Q=41.5N</w:t>
            </w:r>
            <w:r>
              <w:t>m</w:t>
            </w:r>
            <w:r>
              <w:rPr>
                <w:vertAlign w:val="superscript"/>
              </w:rPr>
              <w:t>3</w:t>
            </w:r>
            <w:r>
              <w:rPr>
                <w:lang w:val="en-GB"/>
              </w:rPr>
              <w:t>/min）和2台制氮机（Q=800N</w:t>
            </w:r>
            <w:r>
              <w:t>m</w:t>
            </w:r>
            <w:r>
              <w:rPr>
                <w:vertAlign w:val="superscript"/>
              </w:rPr>
              <w:t>3</w:t>
            </w:r>
            <w:r>
              <w:rPr>
                <w:lang w:val="en-GB"/>
              </w:rPr>
              <w:t>/h）</w:t>
            </w:r>
            <w:r>
              <w:rPr>
                <w:lang w:eastAsia="zh-Hans"/>
              </w:rPr>
              <w:t>。</w:t>
            </w:r>
            <w:r>
              <w:rPr>
                <w:rFonts w:hint="default"/>
                <w:lang w:val="en-US" w:eastAsia="zh-Hans"/>
              </w:rPr>
              <w:t>配置的2台空压机可满足</w:t>
            </w:r>
            <w:r>
              <w:rPr>
                <w:rFonts w:hint="eastAsia"/>
                <w:lang w:val="en-US" w:eastAsia="zh-Hans"/>
              </w:rPr>
              <w:t>项目</w:t>
            </w:r>
            <w:r>
              <w:rPr>
                <w:rFonts w:hint="default"/>
                <w:lang w:val="en-US" w:eastAsia="zh-Hans"/>
              </w:rPr>
              <w:t>日常运行需求，</w:t>
            </w:r>
            <w:r>
              <w:rPr>
                <w:rFonts w:hint="eastAsia"/>
                <w:lang w:eastAsia="zh-Hans"/>
              </w:rPr>
              <w:t>不</w:t>
            </w:r>
            <w:r>
              <w:rPr>
                <w:rFonts w:hint="eastAsia"/>
                <w:lang w:eastAsia="zh-CN"/>
              </w:rPr>
              <w:t>再</w:t>
            </w:r>
            <w:r>
              <w:rPr>
                <w:rFonts w:hint="eastAsia"/>
                <w:lang w:eastAsia="zh-Hans"/>
              </w:rPr>
              <w:t>增设</w:t>
            </w:r>
            <w:r>
              <w:rPr>
                <w:rFonts w:hint="eastAsia"/>
                <w:lang w:val="en-US" w:eastAsia="zh-Hans"/>
              </w:rPr>
              <w:t>第三台</w:t>
            </w:r>
            <w:r>
              <w:rPr>
                <w:lang w:eastAsia="zh-Hans"/>
              </w:rPr>
              <w:t>。</w:t>
            </w:r>
          </w:p>
        </w:tc>
        <w:tc>
          <w:tcPr>
            <w:tcW w:w="2044" w:type="dxa"/>
            <w:vAlign w:val="center"/>
          </w:tcPr>
          <w:p>
            <w:pPr>
              <w:pStyle w:val="24"/>
              <w:bidi w:val="0"/>
              <w:rPr>
                <w:lang w:eastAsia="zh-Hans"/>
              </w:rPr>
            </w:pPr>
            <w:r>
              <w:rPr>
                <w:rFonts w:hint="default"/>
                <w:lang w:val="en-US" w:eastAsia="zh-Hans"/>
              </w:rPr>
              <w:t>空压机台数调整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rFonts w:ascii="Times New Roman" w:hAnsi="Times New Roman" w:eastAsia="宋体" w:cs="Times New Roman"/>
                <w:kern w:val="0"/>
                <w:sz w:val="20"/>
                <w:szCs w:val="21"/>
                <w:lang w:val="en-US" w:eastAsia="zh-Hans" w:bidi="ar-SA"/>
              </w:rPr>
            </w:pPr>
            <w:r>
              <w:t>3</w:t>
            </w:r>
            <w:r>
              <w:rPr>
                <w:rFonts w:hint="eastAsia"/>
                <w:lang w:eastAsia="zh-Hans"/>
              </w:rPr>
              <w:t>.</w:t>
            </w:r>
            <w:r>
              <w:rPr>
                <w:rFonts w:hint="eastAsia"/>
                <w:lang w:val="en-US" w:eastAsia="zh-CN"/>
              </w:rPr>
              <w:t>5</w:t>
            </w:r>
          </w:p>
        </w:tc>
        <w:tc>
          <w:tcPr>
            <w:tcW w:w="1017" w:type="dxa"/>
            <w:vAlign w:val="center"/>
          </w:tcPr>
          <w:p>
            <w:pPr>
              <w:pStyle w:val="24"/>
              <w:bidi w:val="0"/>
              <w:rPr>
                <w:rFonts w:ascii="Times New Roman" w:hAnsi="Times New Roman" w:eastAsia="宋体" w:cs="Times New Roman"/>
                <w:kern w:val="0"/>
                <w:sz w:val="20"/>
                <w:szCs w:val="21"/>
                <w:lang w:val="en-US" w:eastAsia="zh-CN" w:bidi="ar-SA"/>
              </w:rPr>
            </w:pPr>
            <w:r>
              <w:t>供热</w:t>
            </w:r>
          </w:p>
        </w:tc>
        <w:tc>
          <w:tcPr>
            <w:tcW w:w="5241" w:type="dxa"/>
            <w:vAlign w:val="center"/>
          </w:tcPr>
          <w:p>
            <w:pPr>
              <w:pStyle w:val="24"/>
              <w:bidi w:val="0"/>
              <w:rPr>
                <w:rFonts w:ascii="Times New Roman" w:hAnsi="Times New Roman" w:eastAsia="宋体" w:cs="Times New Roman"/>
                <w:kern w:val="0"/>
                <w:sz w:val="20"/>
                <w:szCs w:val="21"/>
                <w:lang w:val="en-GB" w:eastAsia="zh-CN" w:bidi="ar-SA"/>
              </w:rPr>
            </w:pPr>
            <w:r>
              <w:t>在库区内设2台1t/h燃油锅炉，采用轻柴油作为燃料。年开启锅炉12次，每次约2小时，主要用于清洗粘度较高物质管线和储罐吹扫。</w:t>
            </w:r>
          </w:p>
        </w:tc>
        <w:tc>
          <w:tcPr>
            <w:tcW w:w="5241" w:type="dxa"/>
            <w:vAlign w:val="center"/>
          </w:tcPr>
          <w:p>
            <w:pPr>
              <w:pStyle w:val="24"/>
              <w:bidi w:val="0"/>
              <w:rPr>
                <w:rFonts w:hint="eastAsia" w:ascii="Times New Roman" w:hAnsi="Times New Roman" w:eastAsia="宋体" w:cs="Times New Roman"/>
                <w:kern w:val="0"/>
                <w:sz w:val="20"/>
                <w:szCs w:val="21"/>
                <w:lang w:val="en-US" w:eastAsia="zh-Hans" w:bidi="ar-SA"/>
              </w:rPr>
            </w:pPr>
            <w:r>
              <w:t>燃油锅炉</w:t>
            </w:r>
            <w:r>
              <w:rPr>
                <w:rFonts w:hint="eastAsia"/>
                <w:lang w:val="en-US" w:eastAsia="zh-Hans"/>
              </w:rPr>
              <w:t>暂未建设</w:t>
            </w:r>
            <w:r>
              <w:t>，管线和储罐吹扫采用水和氮气。</w:t>
            </w:r>
            <w:r>
              <w:rPr>
                <w:rFonts w:hint="eastAsia"/>
                <w:lang w:val="en-US" w:eastAsia="zh-Hans"/>
              </w:rPr>
              <w:t>目前拟储存的货种需要使用到的蒸汽较少</w:t>
            </w:r>
            <w:r>
              <w:rPr>
                <w:rFonts w:hint="default"/>
                <w:lang w:eastAsia="zh-Hans"/>
              </w:rPr>
              <w:t>，安装电伴热暂时替代锅炉，</w:t>
            </w:r>
            <w:r>
              <w:rPr>
                <w:rFonts w:hint="eastAsia"/>
                <w:lang w:eastAsia="zh-Hans"/>
              </w:rPr>
              <w:t>暂</w:t>
            </w:r>
            <w:r>
              <w:t>不利用锅炉蒸汽。</w:t>
            </w:r>
            <w:r>
              <w:rPr>
                <w:rFonts w:hint="eastAsia"/>
                <w:lang w:val="en-US" w:eastAsia="zh-Hans"/>
              </w:rPr>
              <w:t>后续待生产运行需要时再行建设锅炉</w:t>
            </w:r>
            <w:r>
              <w:rPr>
                <w:rFonts w:hint="default"/>
                <w:lang w:eastAsia="zh-Hans"/>
              </w:rPr>
              <w:t>。</w:t>
            </w:r>
          </w:p>
        </w:tc>
        <w:tc>
          <w:tcPr>
            <w:tcW w:w="2044" w:type="dxa"/>
            <w:vAlign w:val="center"/>
          </w:tcPr>
          <w:p>
            <w:pPr>
              <w:pStyle w:val="24"/>
              <w:bidi w:val="0"/>
              <w:rPr>
                <w:rFonts w:hint="eastAsia" w:ascii="Times New Roman" w:hAnsi="Times New Roman" w:eastAsia="宋体" w:cs="Times New Roman"/>
                <w:kern w:val="0"/>
                <w:sz w:val="20"/>
                <w:szCs w:val="21"/>
                <w:lang w:val="en-US" w:eastAsia="zh-CN" w:bidi="ar-SA"/>
              </w:rPr>
            </w:pPr>
            <w:r>
              <w:rPr>
                <w:rFonts w:hint="eastAsia"/>
                <w:lang w:eastAsia="zh-Hans"/>
              </w:rPr>
              <w:t>燃油锅炉暂未建设</w:t>
            </w:r>
            <w:r>
              <w:rPr>
                <w:rFonts w:hint="eastAsia"/>
                <w:lang w:eastAsia="zh-CN"/>
              </w:rPr>
              <w:t>，使用电伴热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rFonts w:hint="eastAsia" w:eastAsia="宋体"/>
                <w:lang w:eastAsia="zh-CN"/>
              </w:rPr>
            </w:pPr>
            <w:r>
              <w:t>3.</w:t>
            </w:r>
            <w:r>
              <w:rPr>
                <w:rFonts w:hint="eastAsia"/>
                <w:lang w:val="en-US" w:eastAsia="zh-CN"/>
              </w:rPr>
              <w:t>6</w:t>
            </w:r>
          </w:p>
        </w:tc>
        <w:tc>
          <w:tcPr>
            <w:tcW w:w="1017" w:type="dxa"/>
            <w:vAlign w:val="center"/>
          </w:tcPr>
          <w:p>
            <w:pPr>
              <w:pStyle w:val="24"/>
              <w:bidi w:val="0"/>
            </w:pPr>
            <w:r>
              <w:t>消防</w:t>
            </w:r>
          </w:p>
        </w:tc>
        <w:tc>
          <w:tcPr>
            <w:tcW w:w="5241" w:type="dxa"/>
            <w:vAlign w:val="center"/>
          </w:tcPr>
          <w:p>
            <w:pPr>
              <w:pStyle w:val="24"/>
              <w:bidi w:val="0"/>
            </w:pPr>
            <w:r>
              <w:rPr>
                <w:lang w:val="en-GB"/>
              </w:rPr>
              <w:t>在库区设置5000m</w:t>
            </w:r>
            <w:r>
              <w:rPr>
                <w:vertAlign w:val="superscript"/>
                <w:lang w:val="en-GB"/>
              </w:rPr>
              <w:t>3</w:t>
            </w:r>
            <w:r>
              <w:rPr>
                <w:lang w:val="en-GB"/>
              </w:rPr>
              <w:t>消防水罐3只，供库区及码头消防用水</w:t>
            </w:r>
          </w:p>
        </w:tc>
        <w:tc>
          <w:tcPr>
            <w:tcW w:w="5241" w:type="dxa"/>
            <w:vAlign w:val="center"/>
          </w:tcPr>
          <w:p>
            <w:pPr>
              <w:pStyle w:val="24"/>
              <w:bidi w:val="0"/>
              <w:rPr>
                <w:lang w:eastAsia="zh-Hans"/>
              </w:rPr>
            </w:pPr>
            <w:r>
              <w:rPr>
                <w:rFonts w:hint="eastAsia"/>
                <w:lang w:val="en-US" w:eastAsia="zh-Hans"/>
              </w:rPr>
              <w:t>项目已</w:t>
            </w:r>
            <w:r>
              <w:rPr>
                <w:lang w:val="en-GB"/>
              </w:rPr>
              <w:t>设置5000</w:t>
            </w:r>
            <w:r>
              <w:t>m</w:t>
            </w:r>
            <w:r>
              <w:rPr>
                <w:vertAlign w:val="superscript"/>
              </w:rPr>
              <w:t>3</w:t>
            </w:r>
            <w:r>
              <w:rPr>
                <w:lang w:val="en-GB"/>
              </w:rPr>
              <w:t>消防水罐2只，供库区及码头消防用水</w:t>
            </w:r>
            <w:r>
              <w:t>，预留第三只消防水罐安装位置</w:t>
            </w:r>
            <w:r>
              <w:rPr>
                <w:rFonts w:hint="eastAsia"/>
              </w:rPr>
              <w:t>。</w:t>
            </w:r>
            <w:r>
              <w:t>采用临时高压给水系统，由消防水罐、消防水泵、泡沫消防水泵、环状消防管网、室外消火栓、消防水炮和储罐固定喷水冷却装置组成。</w:t>
            </w:r>
          </w:p>
          <w:p>
            <w:pPr>
              <w:pStyle w:val="24"/>
              <w:bidi w:val="0"/>
              <w:rPr>
                <w:rFonts w:hint="default"/>
                <w:lang w:eastAsia="zh-Hans"/>
              </w:rPr>
            </w:pPr>
            <w:r>
              <w:t>根据港丰能源有限公司提供的项目给排水施工图等设计文件论证，</w:t>
            </w:r>
            <w:r>
              <w:rPr>
                <w:rFonts w:hint="eastAsia"/>
                <w:lang w:val="en-US" w:eastAsia="zh-Hans"/>
              </w:rPr>
              <w:t>现有</w:t>
            </w:r>
            <w:r>
              <w:t>消防水罐配置情况可满足</w:t>
            </w:r>
            <w:r>
              <w:rPr>
                <w:rFonts w:hint="eastAsia"/>
                <w:lang w:eastAsia="zh-Hans"/>
              </w:rPr>
              <w:t>项目总体</w:t>
            </w:r>
            <w:r>
              <w:t>消防用水量需求，</w:t>
            </w:r>
            <w:r>
              <w:rPr>
                <w:rFonts w:hint="eastAsia"/>
                <w:lang w:val="en-US" w:eastAsia="zh-Hans"/>
              </w:rPr>
              <w:t>且项目</w:t>
            </w:r>
            <w:r>
              <w:t>建设已通过消防验收。</w:t>
            </w:r>
            <w:r>
              <w:rPr>
                <w:rFonts w:hint="eastAsia"/>
                <w:lang w:val="en-US" w:eastAsia="zh-Hans"/>
              </w:rPr>
              <w:t>不</w:t>
            </w:r>
            <w:r>
              <w:rPr>
                <w:rFonts w:hint="eastAsia"/>
                <w:lang w:val="en-US" w:eastAsia="zh-CN"/>
              </w:rPr>
              <w:t>再</w:t>
            </w:r>
            <w:r>
              <w:rPr>
                <w:rFonts w:hint="eastAsia"/>
                <w:lang w:val="en-US" w:eastAsia="zh-Hans"/>
              </w:rPr>
              <w:t>增设第三只消防水罐</w:t>
            </w:r>
            <w:r>
              <w:rPr>
                <w:rFonts w:hint="default"/>
                <w:lang w:eastAsia="zh-Hans"/>
              </w:rPr>
              <w:t>。</w:t>
            </w:r>
          </w:p>
        </w:tc>
        <w:tc>
          <w:tcPr>
            <w:tcW w:w="2044" w:type="dxa"/>
            <w:vAlign w:val="center"/>
          </w:tcPr>
          <w:p>
            <w:pPr>
              <w:pStyle w:val="24"/>
              <w:bidi w:val="0"/>
              <w:rPr>
                <w:lang w:eastAsia="zh-Hans"/>
              </w:rPr>
            </w:pPr>
            <w:r>
              <w:rPr>
                <w:rFonts w:hint="eastAsia"/>
                <w:lang w:eastAsia="zh-Hans"/>
              </w:rPr>
              <w:t>消防水罐数量调整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rFonts w:hint="eastAsia" w:eastAsia="宋体"/>
                <w:lang w:eastAsia="zh-CN"/>
              </w:rPr>
            </w:pPr>
            <w:r>
              <w:t>3.</w:t>
            </w:r>
            <w:r>
              <w:rPr>
                <w:rFonts w:hint="eastAsia"/>
                <w:lang w:val="en-US" w:eastAsia="zh-CN"/>
              </w:rPr>
              <w:t>7</w:t>
            </w:r>
          </w:p>
        </w:tc>
        <w:tc>
          <w:tcPr>
            <w:tcW w:w="1017" w:type="dxa"/>
            <w:vAlign w:val="center"/>
          </w:tcPr>
          <w:p>
            <w:pPr>
              <w:pStyle w:val="24"/>
              <w:bidi w:val="0"/>
            </w:pPr>
            <w:r>
              <w:t>机修</w:t>
            </w:r>
          </w:p>
        </w:tc>
        <w:tc>
          <w:tcPr>
            <w:tcW w:w="5241" w:type="dxa"/>
            <w:vAlign w:val="center"/>
          </w:tcPr>
          <w:p>
            <w:pPr>
              <w:pStyle w:val="24"/>
              <w:bidi w:val="0"/>
            </w:pPr>
            <w:r>
              <w:rPr>
                <w:lang w:val="en-GB"/>
              </w:rPr>
              <w:t>本工程在库区西南侧消防道路出口旁设置一维修车间。</w:t>
            </w:r>
          </w:p>
        </w:tc>
        <w:tc>
          <w:tcPr>
            <w:tcW w:w="5241" w:type="dxa"/>
            <w:vAlign w:val="center"/>
          </w:tcPr>
          <w:p>
            <w:pPr>
              <w:pStyle w:val="24"/>
              <w:bidi w:val="0"/>
              <w:rPr>
                <w:lang w:val="en-GB"/>
              </w:rPr>
            </w:pPr>
            <w:r>
              <w:rPr>
                <w:lang w:val="en-GB"/>
              </w:rPr>
              <w:t>本工程在库区西南侧消防道路出口旁设置一维修车间。</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rFonts w:hint="eastAsia" w:eastAsia="宋体"/>
                <w:lang w:eastAsia="zh-CN"/>
              </w:rPr>
            </w:pPr>
            <w:r>
              <w:t>3.</w:t>
            </w:r>
            <w:r>
              <w:rPr>
                <w:rFonts w:hint="eastAsia"/>
                <w:lang w:val="en-US" w:eastAsia="zh-CN"/>
              </w:rPr>
              <w:t>8</w:t>
            </w:r>
          </w:p>
        </w:tc>
        <w:tc>
          <w:tcPr>
            <w:tcW w:w="1017" w:type="dxa"/>
            <w:vAlign w:val="center"/>
          </w:tcPr>
          <w:p>
            <w:pPr>
              <w:pStyle w:val="24"/>
              <w:bidi w:val="0"/>
            </w:pPr>
            <w:r>
              <w:t>中心化验室</w:t>
            </w:r>
          </w:p>
        </w:tc>
        <w:tc>
          <w:tcPr>
            <w:tcW w:w="5241" w:type="dxa"/>
            <w:vAlign w:val="center"/>
          </w:tcPr>
          <w:p>
            <w:pPr>
              <w:pStyle w:val="24"/>
              <w:bidi w:val="0"/>
            </w:pPr>
            <w:r>
              <w:rPr>
                <w:lang w:val="en-GB"/>
              </w:rPr>
              <w:t>本项目在生产辅房二内设置化验室，面积约为：270</w:t>
            </w:r>
            <w:r>
              <w:t>m</w:t>
            </w:r>
            <w:r>
              <w:rPr>
                <w:vertAlign w:val="superscript"/>
              </w:rPr>
              <w:t>2</w:t>
            </w:r>
            <w:r>
              <w:t>。</w:t>
            </w:r>
          </w:p>
        </w:tc>
        <w:tc>
          <w:tcPr>
            <w:tcW w:w="5241" w:type="dxa"/>
            <w:vAlign w:val="center"/>
          </w:tcPr>
          <w:p>
            <w:pPr>
              <w:pStyle w:val="24"/>
              <w:bidi w:val="0"/>
              <w:rPr>
                <w:lang w:val="en-GB"/>
              </w:rPr>
            </w:pPr>
            <w:r>
              <w:rPr>
                <w:lang w:val="en-GB"/>
              </w:rPr>
              <w:t>本项目在生产辅房二内设置化验室，面积约为：270</w:t>
            </w:r>
            <w:r>
              <w:t>m</w:t>
            </w:r>
            <w:r>
              <w:rPr>
                <w:vertAlign w:val="superscript"/>
              </w:rPr>
              <w:t>2</w:t>
            </w:r>
            <w:r>
              <w:t>。</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b/>
                <w:bCs/>
              </w:rPr>
            </w:pPr>
            <w:r>
              <w:rPr>
                <w:b/>
                <w:bCs/>
              </w:rPr>
              <w:t>4</w:t>
            </w:r>
          </w:p>
        </w:tc>
        <w:tc>
          <w:tcPr>
            <w:tcW w:w="13543" w:type="dxa"/>
            <w:gridSpan w:val="4"/>
            <w:vAlign w:val="center"/>
          </w:tcPr>
          <w:p>
            <w:pPr>
              <w:pStyle w:val="24"/>
              <w:bidi w:val="0"/>
              <w:jc w:val="left"/>
              <w:rPr>
                <w:b/>
                <w:bCs/>
              </w:rPr>
            </w:pPr>
            <w:r>
              <w:rPr>
                <w:b/>
                <w:bCs/>
              </w:rPr>
              <w:t>环保工程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4.1</w:t>
            </w:r>
          </w:p>
        </w:tc>
        <w:tc>
          <w:tcPr>
            <w:tcW w:w="1017" w:type="dxa"/>
            <w:vAlign w:val="center"/>
          </w:tcPr>
          <w:p>
            <w:pPr>
              <w:pStyle w:val="24"/>
              <w:bidi w:val="0"/>
            </w:pPr>
            <w:r>
              <w:t>废气处理</w:t>
            </w:r>
          </w:p>
        </w:tc>
        <w:tc>
          <w:tcPr>
            <w:tcW w:w="5241" w:type="dxa"/>
            <w:vAlign w:val="center"/>
          </w:tcPr>
          <w:p>
            <w:pPr>
              <w:pStyle w:val="24"/>
              <w:numPr>
                <w:ilvl w:val="0"/>
                <w:numId w:val="0"/>
              </w:numPr>
              <w:bidi w:val="0"/>
              <w:jc w:val="center"/>
              <w:rPr>
                <w:rFonts w:hint="eastAsia" w:eastAsia="宋体"/>
                <w:lang w:val="en-US" w:eastAsia="zh-CN"/>
              </w:rPr>
            </w:pPr>
            <w:r>
              <w:rPr>
                <w:rFonts w:hint="eastAsia"/>
                <w:lang w:eastAsia="zh-CN"/>
              </w:rPr>
              <w:t>（</w:t>
            </w:r>
            <w:r>
              <w:rPr>
                <w:rFonts w:hint="eastAsia"/>
                <w:lang w:val="en-US" w:eastAsia="zh-CN"/>
              </w:rPr>
              <w:t>1）油品</w:t>
            </w:r>
            <w:r>
              <w:rPr>
                <w:rFonts w:hint="eastAsia"/>
              </w:rPr>
              <w:t>废气通过</w:t>
            </w:r>
            <w:r>
              <w:rPr>
                <w:rFonts w:hint="eastAsia"/>
                <w:lang w:val="en-US" w:eastAsia="zh-CN"/>
              </w:rPr>
              <w:t>油气回收装置</w:t>
            </w:r>
            <w:r>
              <w:rPr>
                <w:rFonts w:hint="eastAsia"/>
              </w:rPr>
              <w:t>进行处理</w:t>
            </w:r>
            <w:r>
              <w:rPr>
                <w:rFonts w:hint="eastAsia"/>
                <w:bCs/>
                <w:lang w:val="en-US" w:eastAsia="zh-CN"/>
              </w:rPr>
              <w:t>后经15m高排气筒（DA001）排放</w:t>
            </w:r>
            <w:r>
              <w:rPr>
                <w:rFonts w:hint="eastAsia"/>
              </w:rPr>
              <w:t>，</w:t>
            </w:r>
            <w:r>
              <w:rPr>
                <w:rFonts w:hint="eastAsia"/>
                <w:lang w:val="en-US" w:eastAsia="zh-CN"/>
              </w:rPr>
              <w:t>回收装置</w:t>
            </w:r>
            <w:r>
              <w:rPr>
                <w:rFonts w:hint="eastAsia"/>
              </w:rPr>
              <w:t>采取“冷凝+吸附”二级处理工艺</w:t>
            </w:r>
            <w:r>
              <w:rPr>
                <w:rFonts w:hint="eastAsia"/>
                <w:lang w:eastAsia="zh-CN"/>
              </w:rPr>
              <w:t>；</w:t>
            </w:r>
          </w:p>
          <w:p>
            <w:pPr>
              <w:pStyle w:val="24"/>
              <w:numPr>
                <w:ilvl w:val="0"/>
                <w:numId w:val="0"/>
              </w:numPr>
              <w:bidi w:val="0"/>
              <w:jc w:val="center"/>
              <w:rPr>
                <w:rFonts w:hint="eastAsia"/>
                <w:lang w:eastAsia="zh-CN"/>
              </w:rPr>
            </w:pPr>
            <w:r>
              <w:rPr>
                <w:rFonts w:hint="eastAsia"/>
                <w:lang w:eastAsia="zh-CN"/>
              </w:rPr>
              <w:t>（</w:t>
            </w:r>
            <w:r>
              <w:rPr>
                <w:rFonts w:hint="eastAsia"/>
                <w:lang w:val="en-US" w:eastAsia="zh-CN"/>
              </w:rPr>
              <w:t>2）</w:t>
            </w:r>
            <w:r>
              <w:rPr>
                <w:rFonts w:hint="eastAsia"/>
              </w:rPr>
              <w:t>非水溶性化工品废气通过废气净化装置2进行处理</w:t>
            </w:r>
            <w:r>
              <w:rPr>
                <w:rFonts w:hint="eastAsia"/>
                <w:bCs/>
                <w:lang w:val="en-US" w:eastAsia="zh-CN"/>
              </w:rPr>
              <w:t>后经15m高排气筒（DA004）排放</w:t>
            </w:r>
            <w:r>
              <w:rPr>
                <w:rFonts w:hint="eastAsia"/>
              </w:rPr>
              <w:t>，废气净化装置2采取“</w:t>
            </w:r>
            <w:r>
              <w:rPr>
                <w:rFonts w:hint="eastAsia"/>
                <w:bCs/>
              </w:rPr>
              <w:t>化学</w:t>
            </w:r>
            <w:r>
              <w:rPr>
                <w:bCs/>
              </w:rPr>
              <w:t>洗涤塔</w:t>
            </w:r>
            <w:r>
              <w:rPr>
                <w:rFonts w:hint="eastAsia"/>
                <w:bCs/>
              </w:rPr>
              <w:t>-</w:t>
            </w:r>
            <w:r>
              <w:rPr>
                <w:bCs/>
              </w:rPr>
              <w:t>生物</w:t>
            </w:r>
            <w:r>
              <w:rPr>
                <w:rFonts w:hint="eastAsia"/>
                <w:bCs/>
              </w:rPr>
              <w:t>滤床-活性炭吸附</w:t>
            </w:r>
            <w:r>
              <w:rPr>
                <w:rFonts w:hint="eastAsia"/>
              </w:rPr>
              <w:t>”处理工艺</w:t>
            </w:r>
            <w:r>
              <w:rPr>
                <w:rFonts w:hint="eastAsia"/>
                <w:lang w:eastAsia="zh-CN"/>
              </w:rPr>
              <w:t>；</w:t>
            </w:r>
          </w:p>
          <w:p>
            <w:pPr>
              <w:pStyle w:val="24"/>
              <w:numPr>
                <w:ilvl w:val="0"/>
                <w:numId w:val="0"/>
              </w:numPr>
              <w:bidi w:val="0"/>
              <w:jc w:val="center"/>
              <w:rPr>
                <w:rFonts w:hint="eastAsia" w:eastAsia="宋体"/>
                <w:lang w:val="en-US" w:eastAsia="zh-CN"/>
              </w:rPr>
            </w:pPr>
            <w:r>
              <w:rPr>
                <w:rFonts w:hint="eastAsia"/>
                <w:lang w:eastAsia="zh-CN"/>
              </w:rPr>
              <w:t>（</w:t>
            </w:r>
            <w:r>
              <w:rPr>
                <w:rFonts w:hint="eastAsia"/>
                <w:lang w:val="en-US" w:eastAsia="zh-CN"/>
              </w:rPr>
              <w:t>3）</w:t>
            </w:r>
            <w:r>
              <w:rPr>
                <w:rFonts w:hint="eastAsia"/>
              </w:rPr>
              <w:t>库区</w:t>
            </w:r>
            <w:r>
              <w:rPr>
                <w:rFonts w:hint="eastAsia"/>
                <w:bCs/>
              </w:rPr>
              <w:t>水溶性</w:t>
            </w:r>
            <w:r>
              <w:rPr>
                <w:rFonts w:hint="eastAsia"/>
                <w:bCs/>
                <w:lang w:val="en-US" w:eastAsia="zh-CN"/>
              </w:rPr>
              <w:t>化工品废气</w:t>
            </w:r>
            <w:r>
              <w:rPr>
                <w:rFonts w:hint="eastAsia"/>
                <w:bCs/>
              </w:rPr>
              <w:t>采取碱液洗涤进行喷淋处理</w:t>
            </w:r>
            <w:r>
              <w:rPr>
                <w:rFonts w:hint="eastAsia"/>
                <w:bCs/>
                <w:lang w:val="en-US" w:eastAsia="zh-CN"/>
              </w:rPr>
              <w:t>后经15m高排气筒（DA002）排放</w:t>
            </w:r>
            <w:r>
              <w:rPr>
                <w:rFonts w:hint="eastAsia"/>
                <w:bCs/>
                <w:lang w:eastAsia="zh-CN"/>
              </w:rPr>
              <w:t>；</w:t>
            </w:r>
          </w:p>
          <w:p>
            <w:pPr>
              <w:pStyle w:val="24"/>
              <w:bidi w:val="0"/>
              <w:jc w:val="center"/>
              <w:rPr>
                <w:lang w:val="en-GB"/>
              </w:rPr>
            </w:pPr>
            <w:r>
              <w:rPr>
                <w:rFonts w:hint="eastAsia"/>
                <w:lang w:val="en-GB" w:eastAsia="zh-CN"/>
              </w:rPr>
              <w:t>（</w:t>
            </w:r>
            <w:r>
              <w:rPr>
                <w:rFonts w:hint="eastAsia"/>
                <w:lang w:val="en-US" w:eastAsia="zh-CN"/>
              </w:rPr>
              <w:t>4）</w:t>
            </w:r>
            <w:r>
              <w:rPr>
                <w:lang w:val="en-GB"/>
              </w:rPr>
              <w:t>污水站废气和危废间废抽排废气送碱液喷淋+活性炭吸收处理系统处理排气筒</w:t>
            </w:r>
            <w:r>
              <w:rPr>
                <w:rFonts w:hint="eastAsia"/>
                <w:lang w:val="en-GB" w:eastAsia="zh-CN"/>
              </w:rPr>
              <w:t>（</w:t>
            </w:r>
            <w:r>
              <w:rPr>
                <w:lang w:val="en-GB"/>
              </w:rPr>
              <w:t>DA003</w:t>
            </w:r>
            <w:r>
              <w:rPr>
                <w:rFonts w:hint="eastAsia"/>
                <w:lang w:val="en-GB" w:eastAsia="zh-CN"/>
              </w:rPr>
              <w:t>）</w:t>
            </w:r>
            <w:r>
              <w:rPr>
                <w:lang w:val="en-GB"/>
              </w:rPr>
              <w:t>排放。</w:t>
            </w:r>
          </w:p>
          <w:p>
            <w:pPr>
              <w:pStyle w:val="24"/>
              <w:numPr>
                <w:ilvl w:val="0"/>
                <w:numId w:val="0"/>
              </w:numPr>
              <w:bidi w:val="0"/>
              <w:jc w:val="center"/>
              <w:rPr>
                <w:rFonts w:hint="default"/>
                <w:lang w:val="en-GB"/>
              </w:rPr>
            </w:pPr>
            <w:r>
              <w:rPr>
                <w:rFonts w:hint="eastAsia"/>
                <w:lang w:val="en-GB" w:eastAsia="zh-CN"/>
              </w:rPr>
              <w:t>（</w:t>
            </w:r>
            <w:r>
              <w:rPr>
                <w:rFonts w:hint="eastAsia"/>
                <w:lang w:val="en-US" w:eastAsia="zh-CN"/>
              </w:rPr>
              <w:t>5）</w:t>
            </w:r>
            <w:r>
              <w:rPr>
                <w:lang w:val="en-GB"/>
              </w:rPr>
              <w:t>燃油锅炉采用低氮燃烧器，燃料使用轻柴油，废气经8m高排气筒</w:t>
            </w:r>
            <w:r>
              <w:rPr>
                <w:rFonts w:hint="eastAsia"/>
                <w:lang w:val="en-GB" w:eastAsia="zh-CN"/>
              </w:rPr>
              <w:t>（</w:t>
            </w:r>
            <w:r>
              <w:rPr>
                <w:lang w:val="en-GB"/>
              </w:rPr>
              <w:t>DA005</w:t>
            </w:r>
            <w:r>
              <w:rPr>
                <w:rFonts w:hint="eastAsia"/>
                <w:lang w:val="en-GB" w:eastAsia="zh-CN"/>
              </w:rPr>
              <w:t>）</w:t>
            </w:r>
            <w:r>
              <w:rPr>
                <w:lang w:val="en-GB"/>
              </w:rPr>
              <w:t>排放。</w:t>
            </w:r>
          </w:p>
        </w:tc>
        <w:tc>
          <w:tcPr>
            <w:tcW w:w="5241" w:type="dxa"/>
            <w:vAlign w:val="center"/>
          </w:tcPr>
          <w:p>
            <w:pPr>
              <w:pStyle w:val="24"/>
              <w:numPr>
                <w:ilvl w:val="0"/>
                <w:numId w:val="0"/>
              </w:numPr>
              <w:bidi w:val="0"/>
              <w:jc w:val="center"/>
              <w:rPr>
                <w:rFonts w:hint="eastAsia" w:eastAsia="宋体"/>
                <w:lang w:val="en-US" w:eastAsia="zh-CN"/>
              </w:rPr>
            </w:pPr>
            <w:r>
              <w:rPr>
                <w:rFonts w:hint="eastAsia"/>
                <w:lang w:eastAsia="zh-CN"/>
              </w:rPr>
              <w:t>（</w:t>
            </w:r>
            <w:r>
              <w:rPr>
                <w:rFonts w:hint="eastAsia"/>
                <w:lang w:val="en-US" w:eastAsia="zh-CN"/>
              </w:rPr>
              <w:t>1）油品</w:t>
            </w:r>
            <w:r>
              <w:rPr>
                <w:rFonts w:hint="eastAsia"/>
              </w:rPr>
              <w:t>废气通过</w:t>
            </w:r>
            <w:r>
              <w:rPr>
                <w:rFonts w:hint="eastAsia"/>
                <w:lang w:val="en-US" w:eastAsia="zh-CN"/>
              </w:rPr>
              <w:t>油气回收装置</w:t>
            </w:r>
            <w:r>
              <w:rPr>
                <w:rFonts w:hint="eastAsia"/>
              </w:rPr>
              <w:t>进行处理</w:t>
            </w:r>
            <w:r>
              <w:rPr>
                <w:rFonts w:hint="eastAsia"/>
                <w:bCs/>
                <w:lang w:val="en-US" w:eastAsia="zh-CN"/>
              </w:rPr>
              <w:t>后经15m高排气筒（DA001）排放</w:t>
            </w:r>
            <w:r>
              <w:rPr>
                <w:rFonts w:hint="eastAsia"/>
              </w:rPr>
              <w:t>，</w:t>
            </w:r>
            <w:r>
              <w:rPr>
                <w:rFonts w:hint="eastAsia"/>
                <w:lang w:val="en-US" w:eastAsia="zh-CN"/>
              </w:rPr>
              <w:t>回收装置</w:t>
            </w:r>
            <w:r>
              <w:rPr>
                <w:rFonts w:hint="eastAsia"/>
              </w:rPr>
              <w:t>采取“冷凝+吸附”二级处理工艺</w:t>
            </w:r>
            <w:r>
              <w:rPr>
                <w:rFonts w:hint="eastAsia"/>
                <w:lang w:eastAsia="zh-CN"/>
              </w:rPr>
              <w:t>；</w:t>
            </w:r>
          </w:p>
          <w:p>
            <w:pPr>
              <w:pStyle w:val="24"/>
              <w:numPr>
                <w:ilvl w:val="0"/>
                <w:numId w:val="0"/>
              </w:numPr>
              <w:bidi w:val="0"/>
              <w:jc w:val="center"/>
              <w:rPr>
                <w:rFonts w:hint="eastAsia"/>
                <w:lang w:eastAsia="zh-CN"/>
              </w:rPr>
            </w:pPr>
            <w:r>
              <w:rPr>
                <w:rFonts w:hint="eastAsia"/>
                <w:lang w:eastAsia="zh-CN"/>
              </w:rPr>
              <w:t>（</w:t>
            </w:r>
            <w:r>
              <w:rPr>
                <w:rFonts w:hint="eastAsia"/>
                <w:lang w:val="en-US" w:eastAsia="zh-CN"/>
              </w:rPr>
              <w:t>2）</w:t>
            </w:r>
            <w:r>
              <w:rPr>
                <w:rFonts w:hint="eastAsia"/>
              </w:rPr>
              <w:t>非水溶性化工品废气通过废气净化装置2进行处理</w:t>
            </w:r>
            <w:r>
              <w:rPr>
                <w:rFonts w:hint="eastAsia"/>
                <w:bCs/>
                <w:lang w:val="en-US" w:eastAsia="zh-CN"/>
              </w:rPr>
              <w:t>后经15m高排气筒（DA004）排放</w:t>
            </w:r>
            <w:r>
              <w:rPr>
                <w:rFonts w:hint="eastAsia"/>
              </w:rPr>
              <w:t>，废气净化装置2采取“</w:t>
            </w:r>
            <w:r>
              <w:rPr>
                <w:rFonts w:hint="eastAsia"/>
                <w:bCs/>
              </w:rPr>
              <w:t>化学</w:t>
            </w:r>
            <w:r>
              <w:rPr>
                <w:bCs/>
              </w:rPr>
              <w:t>洗涤塔</w:t>
            </w:r>
            <w:r>
              <w:rPr>
                <w:rFonts w:hint="eastAsia"/>
                <w:bCs/>
              </w:rPr>
              <w:t>-</w:t>
            </w:r>
            <w:r>
              <w:rPr>
                <w:bCs/>
              </w:rPr>
              <w:t>生物</w:t>
            </w:r>
            <w:r>
              <w:rPr>
                <w:rFonts w:hint="eastAsia"/>
                <w:bCs/>
              </w:rPr>
              <w:t>滤床-活性炭吸附</w:t>
            </w:r>
            <w:r>
              <w:rPr>
                <w:rFonts w:hint="eastAsia"/>
              </w:rPr>
              <w:t>”处理工艺</w:t>
            </w:r>
            <w:r>
              <w:rPr>
                <w:rFonts w:hint="eastAsia"/>
                <w:lang w:eastAsia="zh-CN"/>
              </w:rPr>
              <w:t>；</w:t>
            </w:r>
          </w:p>
          <w:p>
            <w:pPr>
              <w:pStyle w:val="24"/>
              <w:numPr>
                <w:ilvl w:val="0"/>
                <w:numId w:val="0"/>
              </w:numPr>
              <w:bidi w:val="0"/>
              <w:jc w:val="center"/>
              <w:rPr>
                <w:rFonts w:hint="eastAsia" w:eastAsia="宋体"/>
                <w:lang w:val="en-US" w:eastAsia="zh-CN"/>
              </w:rPr>
            </w:pPr>
            <w:r>
              <w:rPr>
                <w:rFonts w:hint="eastAsia"/>
                <w:lang w:eastAsia="zh-CN"/>
              </w:rPr>
              <w:t>（</w:t>
            </w:r>
            <w:r>
              <w:rPr>
                <w:rFonts w:hint="eastAsia"/>
                <w:lang w:val="en-US" w:eastAsia="zh-CN"/>
              </w:rPr>
              <w:t>3）</w:t>
            </w:r>
            <w:r>
              <w:rPr>
                <w:rFonts w:hint="eastAsia"/>
              </w:rPr>
              <w:t>库区</w:t>
            </w:r>
            <w:r>
              <w:rPr>
                <w:rFonts w:hint="eastAsia"/>
                <w:bCs/>
              </w:rPr>
              <w:t>水溶性</w:t>
            </w:r>
            <w:r>
              <w:rPr>
                <w:rFonts w:hint="eastAsia"/>
                <w:bCs/>
                <w:lang w:val="en-US" w:eastAsia="zh-CN"/>
              </w:rPr>
              <w:t>化工品废气</w:t>
            </w:r>
            <w:r>
              <w:rPr>
                <w:rFonts w:hint="eastAsia"/>
                <w:bCs/>
              </w:rPr>
              <w:t>采取碱液洗涤进行喷淋处理</w:t>
            </w:r>
            <w:r>
              <w:rPr>
                <w:rFonts w:hint="eastAsia"/>
                <w:bCs/>
                <w:lang w:val="en-US" w:eastAsia="zh-CN"/>
              </w:rPr>
              <w:t>后经15m高排气筒（DA002）排放</w:t>
            </w:r>
            <w:r>
              <w:rPr>
                <w:rFonts w:hint="eastAsia"/>
                <w:bCs/>
                <w:lang w:eastAsia="zh-CN"/>
              </w:rPr>
              <w:t>；</w:t>
            </w:r>
          </w:p>
          <w:p>
            <w:pPr>
              <w:pStyle w:val="24"/>
              <w:bidi w:val="0"/>
              <w:jc w:val="center"/>
              <w:rPr>
                <w:lang w:val="en-GB"/>
              </w:rPr>
            </w:pPr>
            <w:r>
              <w:rPr>
                <w:rFonts w:hint="eastAsia"/>
                <w:lang w:val="en-GB" w:eastAsia="zh-CN"/>
              </w:rPr>
              <w:t>（</w:t>
            </w:r>
            <w:r>
              <w:rPr>
                <w:rFonts w:hint="eastAsia"/>
                <w:lang w:val="en-US" w:eastAsia="zh-CN"/>
              </w:rPr>
              <w:t>4）</w:t>
            </w:r>
            <w:r>
              <w:rPr>
                <w:lang w:val="en-GB"/>
              </w:rPr>
              <w:t>污水站废气和危废间废抽排废气送碱液喷淋+活性炭吸收处理系统处理排气筒</w:t>
            </w:r>
            <w:r>
              <w:rPr>
                <w:rFonts w:hint="eastAsia"/>
                <w:lang w:val="en-GB" w:eastAsia="zh-CN"/>
              </w:rPr>
              <w:t>（</w:t>
            </w:r>
            <w:r>
              <w:rPr>
                <w:lang w:val="en-GB"/>
              </w:rPr>
              <w:t>DA003</w:t>
            </w:r>
            <w:r>
              <w:rPr>
                <w:rFonts w:hint="eastAsia"/>
                <w:lang w:val="en-GB" w:eastAsia="zh-CN"/>
              </w:rPr>
              <w:t>）</w:t>
            </w:r>
            <w:r>
              <w:rPr>
                <w:lang w:val="en-GB"/>
              </w:rPr>
              <w:t>排放。</w:t>
            </w:r>
          </w:p>
          <w:p>
            <w:pPr>
              <w:pStyle w:val="24"/>
              <w:bidi w:val="0"/>
              <w:jc w:val="center"/>
              <w:rPr>
                <w:lang w:eastAsia="zh-Hans"/>
              </w:rPr>
            </w:pPr>
            <w:r>
              <w:rPr>
                <w:rFonts w:hint="eastAsia"/>
                <w:lang w:val="en-GB" w:eastAsia="zh-CN"/>
              </w:rPr>
              <w:t>（</w:t>
            </w:r>
            <w:r>
              <w:rPr>
                <w:rFonts w:hint="eastAsia"/>
                <w:lang w:val="en-US" w:eastAsia="zh-CN"/>
              </w:rPr>
              <w:t>5）</w:t>
            </w:r>
            <w:r>
              <w:rPr>
                <w:rFonts w:hint="eastAsia"/>
                <w:lang w:eastAsia="zh-Hans"/>
              </w:rPr>
              <w:t>锅炉及其排气筒</w:t>
            </w:r>
            <w:r>
              <w:rPr>
                <w:rFonts w:hint="eastAsia"/>
                <w:lang w:val="en-US" w:eastAsia="zh-CN"/>
              </w:rPr>
              <w:t>暂未建设</w:t>
            </w:r>
            <w:r>
              <w:rPr>
                <w:lang w:val="en-GB"/>
              </w:rPr>
              <w:t>。</w:t>
            </w:r>
          </w:p>
        </w:tc>
        <w:tc>
          <w:tcPr>
            <w:tcW w:w="2044" w:type="dxa"/>
            <w:vAlign w:val="center"/>
          </w:tcPr>
          <w:p>
            <w:pPr>
              <w:pStyle w:val="24"/>
              <w:bidi w:val="0"/>
              <w:rPr>
                <w:rFonts w:hint="eastAsia"/>
                <w:lang w:eastAsia="zh-Hans"/>
              </w:rPr>
            </w:pPr>
            <w:r>
              <w:rPr>
                <w:rFonts w:hint="eastAsia"/>
                <w:lang w:eastAsia="zh-Hans"/>
              </w:rPr>
              <w:t>暂</w:t>
            </w:r>
            <w:r>
              <w:rPr>
                <w:rFonts w:hint="eastAsia"/>
                <w:lang w:val="en-US" w:eastAsia="zh-Hans"/>
              </w:rPr>
              <w:t>未</w:t>
            </w:r>
            <w:r>
              <w:rPr>
                <w:rFonts w:hint="eastAsia"/>
                <w:lang w:eastAsia="zh-Hans"/>
              </w:rPr>
              <w:t>建设锅炉及其</w:t>
            </w:r>
          </w:p>
          <w:p>
            <w:pPr>
              <w:pStyle w:val="24"/>
              <w:bidi w:val="0"/>
            </w:pPr>
            <w:r>
              <w:rPr>
                <w:rFonts w:hint="eastAsia"/>
                <w:lang w:eastAsia="zh-Hans"/>
              </w:rPr>
              <w:t>排气筒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4.2</w:t>
            </w:r>
          </w:p>
        </w:tc>
        <w:tc>
          <w:tcPr>
            <w:tcW w:w="1017" w:type="dxa"/>
            <w:vAlign w:val="center"/>
          </w:tcPr>
          <w:p>
            <w:pPr>
              <w:pStyle w:val="24"/>
              <w:bidi w:val="0"/>
            </w:pPr>
            <w:r>
              <w:t>污水处理</w:t>
            </w:r>
          </w:p>
        </w:tc>
        <w:tc>
          <w:tcPr>
            <w:tcW w:w="5241" w:type="dxa"/>
            <w:vAlign w:val="center"/>
          </w:tcPr>
          <w:p>
            <w:pPr>
              <w:pStyle w:val="24"/>
              <w:bidi w:val="0"/>
              <w:rPr>
                <w:lang w:val="en-GB"/>
              </w:rPr>
            </w:pPr>
            <w:r>
              <w:rPr>
                <w:lang w:val="en-GB"/>
              </w:rPr>
              <w:t>全厂雨污分流，废水分质分流处理。处理工艺为“分类预处理+生化处理”，规模360t/d</w:t>
            </w:r>
            <w:r>
              <w:rPr>
                <w:rFonts w:hint="eastAsia"/>
                <w:lang w:val="en-GB"/>
              </w:rPr>
              <w:t>；</w:t>
            </w:r>
            <w:r>
              <w:rPr>
                <w:lang w:val="en-GB"/>
              </w:rPr>
              <w:t>含油废水经隔油+汽浮预处理后生化处理，含化学品废水经隔油、fenton预处理后生化处理。设置规范化排污口。</w:t>
            </w:r>
          </w:p>
        </w:tc>
        <w:tc>
          <w:tcPr>
            <w:tcW w:w="5241" w:type="dxa"/>
            <w:vAlign w:val="center"/>
          </w:tcPr>
          <w:p>
            <w:pPr>
              <w:pStyle w:val="24"/>
              <w:bidi w:val="0"/>
              <w:rPr>
                <w:rFonts w:hint="eastAsia" w:eastAsia="宋体"/>
                <w:lang w:val="en-US" w:eastAsia="zh-CN"/>
              </w:rPr>
            </w:pPr>
            <w:r>
              <w:rPr>
                <w:rFonts w:hint="eastAsia"/>
                <w:lang w:val="en-GB" w:eastAsia="zh-Hans"/>
              </w:rPr>
              <w:t>全厂雨污分流，废水分质分流处理。处理工艺为“分类预处理+生化处理”，规模360t/d；含油废水经隔油+汽浮预处理后生化处理，含化学品废水经隔油、fenton预处理后生化处理。</w:t>
            </w:r>
            <w:r>
              <w:rPr>
                <w:rFonts w:hint="eastAsia"/>
                <w:lang w:val="en-GB" w:eastAsia="zh-CN"/>
              </w:rPr>
              <w:t>已按要求</w:t>
            </w:r>
            <w:r>
              <w:rPr>
                <w:rFonts w:hint="eastAsia"/>
                <w:lang w:val="en-GB" w:eastAsia="zh-Hans"/>
              </w:rPr>
              <w:t>设置规范化排污口。</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4.3</w:t>
            </w:r>
          </w:p>
        </w:tc>
        <w:tc>
          <w:tcPr>
            <w:tcW w:w="1017" w:type="dxa"/>
            <w:vAlign w:val="center"/>
          </w:tcPr>
          <w:p>
            <w:pPr>
              <w:pStyle w:val="24"/>
              <w:bidi w:val="0"/>
            </w:pPr>
            <w:r>
              <w:t>固废</w:t>
            </w:r>
          </w:p>
        </w:tc>
        <w:tc>
          <w:tcPr>
            <w:tcW w:w="5241" w:type="dxa"/>
            <w:vAlign w:val="center"/>
          </w:tcPr>
          <w:p>
            <w:pPr>
              <w:pStyle w:val="24"/>
              <w:bidi w:val="0"/>
            </w:pPr>
            <w:r>
              <w:t>在污水站设置危废间一座，占地面积171m</w:t>
            </w:r>
            <w:r>
              <w:rPr>
                <w:vertAlign w:val="superscript"/>
              </w:rPr>
              <w:t>2</w:t>
            </w:r>
          </w:p>
        </w:tc>
        <w:tc>
          <w:tcPr>
            <w:tcW w:w="5241" w:type="dxa"/>
            <w:vAlign w:val="center"/>
          </w:tcPr>
          <w:p>
            <w:pPr>
              <w:pStyle w:val="24"/>
              <w:bidi w:val="0"/>
            </w:pPr>
            <w:r>
              <w:t>在污水站设置危废间一座，占地面积</w:t>
            </w:r>
            <w:r>
              <w:rPr>
                <w:rFonts w:hint="eastAsia"/>
                <w:lang w:val="en-US" w:eastAsia="zh-CN"/>
              </w:rPr>
              <w:t>171</w:t>
            </w:r>
            <w:r>
              <w:t>m</w:t>
            </w:r>
            <w:r>
              <w:rPr>
                <w:vertAlign w:val="superscript"/>
              </w:rPr>
              <w:t>2</w:t>
            </w:r>
            <w:r>
              <w:t>。</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4.4</w:t>
            </w:r>
          </w:p>
        </w:tc>
        <w:tc>
          <w:tcPr>
            <w:tcW w:w="1017" w:type="dxa"/>
            <w:vAlign w:val="center"/>
          </w:tcPr>
          <w:p>
            <w:pPr>
              <w:pStyle w:val="24"/>
              <w:bidi w:val="0"/>
            </w:pPr>
            <w:r>
              <w:t>消防事故水池</w:t>
            </w:r>
          </w:p>
        </w:tc>
        <w:tc>
          <w:tcPr>
            <w:tcW w:w="5241" w:type="dxa"/>
            <w:vAlign w:val="center"/>
          </w:tcPr>
          <w:p>
            <w:pPr>
              <w:pStyle w:val="24"/>
              <w:bidi w:val="0"/>
            </w:pPr>
            <w:r>
              <w:t>占地面积980m</w:t>
            </w:r>
            <w:r>
              <w:rPr>
                <w:vertAlign w:val="superscript"/>
              </w:rPr>
              <w:t>2</w:t>
            </w:r>
            <w:r>
              <w:t>，深4.2m，有效容积V=4000m</w:t>
            </w:r>
            <w:r>
              <w:rPr>
                <w:vertAlign w:val="superscript"/>
              </w:rPr>
              <w:t>3</w:t>
            </w:r>
          </w:p>
        </w:tc>
        <w:tc>
          <w:tcPr>
            <w:tcW w:w="5241" w:type="dxa"/>
            <w:vAlign w:val="center"/>
          </w:tcPr>
          <w:p>
            <w:pPr>
              <w:pStyle w:val="24"/>
              <w:bidi w:val="0"/>
            </w:pPr>
            <w:r>
              <w:t>设置消防污水收集系统，应急消防水收集池（兼做溢油事故池）占地面积980m</w:t>
            </w:r>
            <w:r>
              <w:rPr>
                <w:vertAlign w:val="superscript"/>
              </w:rPr>
              <w:t>2</w:t>
            </w:r>
            <w:r>
              <w:t>，深4.2m，有效容积V=4000m</w:t>
            </w:r>
            <w:r>
              <w:rPr>
                <w:vertAlign w:val="superscript"/>
              </w:rPr>
              <w:t>3</w:t>
            </w:r>
            <w:r>
              <w:t>。</w:t>
            </w:r>
          </w:p>
        </w:tc>
        <w:tc>
          <w:tcPr>
            <w:tcW w:w="2044" w:type="dxa"/>
            <w:vAlign w:val="center"/>
          </w:tcPr>
          <w:p>
            <w:pPr>
              <w:pStyle w:val="24"/>
              <w:bidi w:val="0"/>
              <w:rPr>
                <w:rFonts w:hint="eastAsia"/>
                <w:lang w:eastAsia="zh-Hans"/>
              </w:rPr>
            </w:pPr>
            <w:r>
              <w:rPr>
                <w:rFonts w:hint="eastAsia"/>
                <w:lang w:eastAsia="zh-Hans"/>
              </w:rPr>
              <w:t>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pPr>
            <w:r>
              <w:t>4.5</w:t>
            </w:r>
          </w:p>
        </w:tc>
        <w:tc>
          <w:tcPr>
            <w:tcW w:w="1017" w:type="dxa"/>
            <w:vAlign w:val="center"/>
          </w:tcPr>
          <w:p>
            <w:pPr>
              <w:pStyle w:val="24"/>
              <w:bidi w:val="0"/>
            </w:pPr>
            <w:r>
              <w:t>初期雨水池</w:t>
            </w:r>
          </w:p>
        </w:tc>
        <w:tc>
          <w:tcPr>
            <w:tcW w:w="5241" w:type="dxa"/>
            <w:vAlign w:val="center"/>
          </w:tcPr>
          <w:p>
            <w:pPr>
              <w:pStyle w:val="24"/>
              <w:bidi w:val="0"/>
            </w:pPr>
            <w:r>
              <w:rPr>
                <w:rFonts w:hint="eastAsia"/>
              </w:rPr>
              <w:t>初期雨水池1有效容积：360m</w:t>
            </w:r>
            <w:r>
              <w:rPr>
                <w:rFonts w:hint="eastAsia"/>
                <w:vertAlign w:val="superscript"/>
              </w:rPr>
              <w:t>3</w:t>
            </w:r>
            <w:r>
              <w:rPr>
                <w:rFonts w:hint="eastAsia"/>
              </w:rPr>
              <w:t>；初期雨水池2有效容积：260m</w:t>
            </w:r>
            <w:r>
              <w:rPr>
                <w:rFonts w:hint="eastAsia"/>
                <w:vertAlign w:val="superscript"/>
              </w:rPr>
              <w:t>3</w:t>
            </w:r>
            <w:r>
              <w:rPr>
                <w:rFonts w:hint="eastAsia"/>
              </w:rPr>
              <w:t>；装卸区初期雨水池有效容积：18.6m</w:t>
            </w:r>
            <w:r>
              <w:rPr>
                <w:rFonts w:hint="eastAsia"/>
                <w:vertAlign w:val="superscript"/>
              </w:rPr>
              <w:t>3</w:t>
            </w:r>
            <w:r>
              <w:rPr>
                <w:rFonts w:hint="eastAsia"/>
              </w:rPr>
              <w:t>；初期雨水池3有效容积600m</w:t>
            </w:r>
            <w:r>
              <w:rPr>
                <w:rFonts w:hint="eastAsia"/>
                <w:vertAlign w:val="superscript"/>
              </w:rPr>
              <w:t>3</w:t>
            </w:r>
            <w:r>
              <w:rPr>
                <w:rFonts w:hint="eastAsia"/>
              </w:rPr>
              <w:t>；初期雨水池4有效容积500m</w:t>
            </w:r>
            <w:r>
              <w:rPr>
                <w:rFonts w:hint="eastAsia"/>
                <w:vertAlign w:val="superscript"/>
              </w:rPr>
              <w:t>3</w:t>
            </w:r>
            <w:r>
              <w:rPr>
                <w:rFonts w:hint="eastAsia"/>
              </w:rPr>
              <w:t>；初期雨水池5有效容积150m</w:t>
            </w:r>
            <w:r>
              <w:rPr>
                <w:rFonts w:hint="eastAsia"/>
                <w:vertAlign w:val="superscript"/>
              </w:rPr>
              <w:t>3</w:t>
            </w:r>
            <w:r>
              <w:rPr>
                <w:rFonts w:hint="eastAsia"/>
              </w:rPr>
              <w:t>。化学品调节池有效容积800m</w:t>
            </w:r>
            <w:r>
              <w:rPr>
                <w:rFonts w:hint="eastAsia"/>
                <w:vertAlign w:val="superscript"/>
              </w:rPr>
              <w:t>3</w:t>
            </w:r>
            <w:r>
              <w:rPr>
                <w:rFonts w:hint="eastAsia"/>
              </w:rPr>
              <w:t>，可兼作装卸区初期雨水池的补充，现场敷设装卸区至化学品调节池的连通管道。</w:t>
            </w:r>
          </w:p>
        </w:tc>
        <w:tc>
          <w:tcPr>
            <w:tcW w:w="5241" w:type="dxa"/>
            <w:vAlign w:val="center"/>
          </w:tcPr>
          <w:p>
            <w:pPr>
              <w:pStyle w:val="24"/>
              <w:bidi w:val="0"/>
              <w:rPr>
                <w:rFonts w:hint="default" w:eastAsia="宋体"/>
                <w:lang w:val="en-US" w:eastAsia="zh-CN"/>
              </w:rPr>
            </w:pPr>
            <w:r>
              <w:rPr>
                <w:rFonts w:hint="eastAsia"/>
              </w:rPr>
              <w:t>设置初期雨水收集池</w:t>
            </w:r>
            <w:r>
              <w:rPr>
                <w:rFonts w:hint="default"/>
              </w:rPr>
              <w:t>6</w:t>
            </w:r>
            <w:r>
              <w:rPr>
                <w:rFonts w:hint="eastAsia"/>
              </w:rPr>
              <w:t>座，总容积</w:t>
            </w:r>
            <w:r>
              <w:rPr>
                <w:rFonts w:hint="default"/>
              </w:rPr>
              <w:t>1882</w:t>
            </w:r>
            <w:r>
              <w:rPr>
                <w:rFonts w:hint="eastAsia"/>
                <w:lang w:val="en-US" w:eastAsia="zh-Hans"/>
              </w:rPr>
              <w:t>.</w:t>
            </w:r>
            <w:r>
              <w:rPr>
                <w:rFonts w:hint="default"/>
                <w:lang w:eastAsia="zh-Hans"/>
              </w:rPr>
              <w:t>6</w:t>
            </w:r>
            <w:r>
              <w:rPr>
                <w:rFonts w:hint="eastAsia"/>
              </w:rPr>
              <w:t>m</w:t>
            </w:r>
            <w:r>
              <w:rPr>
                <w:rFonts w:hint="eastAsia"/>
                <w:vertAlign w:val="superscript"/>
              </w:rPr>
              <w:t>3</w:t>
            </w:r>
            <w:r>
              <w:rPr>
                <w:rFonts w:hint="eastAsia"/>
              </w:rPr>
              <w:t>，其中：</w:t>
            </w:r>
            <w:r>
              <w:t>初期雨水池1、</w:t>
            </w:r>
            <w:r>
              <w:rPr>
                <w:rFonts w:hint="eastAsia"/>
                <w:lang w:val="en-US" w:eastAsia="zh-Hans"/>
              </w:rPr>
              <w:t>初期雨水池</w:t>
            </w:r>
            <w:r>
              <w:rPr>
                <w:rFonts w:hint="default"/>
              </w:rPr>
              <w:t>2</w:t>
            </w:r>
            <w:r>
              <w:rPr>
                <w:rFonts w:hint="eastAsia"/>
                <w:lang w:val="en-US" w:eastAsia="zh-Hans"/>
              </w:rPr>
              <w:t>及</w:t>
            </w:r>
            <w:r>
              <w:t>装卸区初期雨水池</w:t>
            </w:r>
            <w:r>
              <w:rPr>
                <w:rFonts w:hint="eastAsia"/>
                <w:lang w:val="en-US" w:eastAsia="zh-Hans"/>
              </w:rPr>
              <w:t>总有效容积</w:t>
            </w:r>
            <w:r>
              <w:rPr>
                <w:rFonts w:hint="default"/>
                <w:lang w:eastAsia="zh-Hans"/>
              </w:rPr>
              <w:t>638</w:t>
            </w:r>
            <w:r>
              <w:rPr>
                <w:rFonts w:hint="eastAsia"/>
                <w:lang w:val="en-US" w:eastAsia="zh-Hans"/>
              </w:rPr>
              <w:t>.</w:t>
            </w:r>
            <w:r>
              <w:rPr>
                <w:rFonts w:hint="default"/>
                <w:lang w:eastAsia="zh-Hans"/>
              </w:rPr>
              <w:t>6</w:t>
            </w:r>
            <w:r>
              <w:rPr>
                <w:rFonts w:hint="eastAsia"/>
              </w:rPr>
              <w:t>m</w:t>
            </w:r>
            <w:r>
              <w:rPr>
                <w:rFonts w:hint="eastAsia"/>
                <w:vertAlign w:val="superscript"/>
              </w:rPr>
              <w:t>3</w:t>
            </w:r>
            <w:r>
              <w:rPr>
                <w:rFonts w:hint="eastAsia"/>
                <w:lang w:eastAsia="zh-CN"/>
              </w:rPr>
              <w:t>；另需依托化学品调节池</w:t>
            </w:r>
            <w:r>
              <w:rPr>
                <w:rFonts w:hint="eastAsia"/>
                <w:lang w:val="en-US" w:eastAsia="zh-CN"/>
              </w:rPr>
              <w:t>200m</w:t>
            </w:r>
            <w:r>
              <w:rPr>
                <w:rFonts w:hint="eastAsia"/>
                <w:vertAlign w:val="superscript"/>
                <w:lang w:val="en-US" w:eastAsia="zh-CN"/>
              </w:rPr>
              <w:t>3</w:t>
            </w:r>
            <w:r>
              <w:rPr>
                <w:rFonts w:hint="eastAsia"/>
                <w:lang w:val="en-US" w:eastAsia="zh-CN"/>
              </w:rPr>
              <w:t>的富余容积中111.4m</w:t>
            </w:r>
            <w:r>
              <w:rPr>
                <w:rFonts w:hint="eastAsia"/>
                <w:vertAlign w:val="superscript"/>
                <w:lang w:val="en-US" w:eastAsia="zh-CN"/>
              </w:rPr>
              <w:t>3</w:t>
            </w:r>
            <w:r>
              <w:rPr>
                <w:rFonts w:hint="eastAsia"/>
                <w:lang w:val="en-US" w:eastAsia="zh-CN"/>
              </w:rPr>
              <w:t>容积</w:t>
            </w:r>
            <w:r>
              <w:rPr>
                <w:lang w:eastAsia="zh-Hans"/>
              </w:rPr>
              <w:t>。</w:t>
            </w:r>
            <w:r>
              <w:rPr>
                <w:rFonts w:hint="eastAsia"/>
              </w:rPr>
              <w:t>初期雨水池3容积</w:t>
            </w:r>
            <w:r>
              <w:t>584</w:t>
            </w:r>
            <w:r>
              <w:rPr>
                <w:rFonts w:hint="eastAsia"/>
              </w:rPr>
              <w:t>m</w:t>
            </w:r>
            <w:r>
              <w:rPr>
                <w:rFonts w:hint="eastAsia"/>
                <w:vertAlign w:val="superscript"/>
              </w:rPr>
              <w:t>3</w:t>
            </w:r>
            <w:r>
              <w:rPr>
                <w:rFonts w:hint="default"/>
              </w:rPr>
              <w:t>，</w:t>
            </w:r>
            <w:r>
              <w:rPr>
                <w:rFonts w:hint="eastAsia"/>
              </w:rPr>
              <w:t>初期雨水池4容积</w:t>
            </w:r>
            <w:r>
              <w:t>484</w:t>
            </w:r>
            <w:r>
              <w:rPr>
                <w:rFonts w:hint="eastAsia"/>
              </w:rPr>
              <w:t>m</w:t>
            </w:r>
            <w:r>
              <w:rPr>
                <w:rFonts w:hint="eastAsia"/>
                <w:vertAlign w:val="superscript"/>
              </w:rPr>
              <w:t>3</w:t>
            </w:r>
            <w:r>
              <w:rPr>
                <w:rFonts w:hint="default"/>
              </w:rPr>
              <w:t>，</w:t>
            </w:r>
            <w:r>
              <w:rPr>
                <w:rFonts w:hint="eastAsia"/>
              </w:rPr>
              <w:t>初期雨水池5容积</w:t>
            </w:r>
            <w:r>
              <w:t>176</w:t>
            </w:r>
            <w:r>
              <w:rPr>
                <w:rFonts w:hint="eastAsia"/>
              </w:rPr>
              <w:t>m</w:t>
            </w:r>
            <w:r>
              <w:rPr>
                <w:rFonts w:hint="eastAsia"/>
                <w:vertAlign w:val="superscript"/>
              </w:rPr>
              <w:t>3</w:t>
            </w:r>
            <w:r>
              <w:rPr>
                <w:rFonts w:hint="eastAsia"/>
              </w:rPr>
              <w:t>。</w:t>
            </w:r>
            <w:r>
              <w:rPr>
                <w:rFonts w:hint="eastAsia"/>
                <w:lang w:val="en-US" w:eastAsia="zh-Hans"/>
              </w:rPr>
              <w:t>初期雨水池</w:t>
            </w:r>
            <w:r>
              <w:rPr>
                <w:rFonts w:hint="default"/>
                <w:lang w:eastAsia="zh-Hans"/>
              </w:rPr>
              <w:t>3、4、5</w:t>
            </w:r>
            <w:r>
              <w:rPr>
                <w:rFonts w:hint="eastAsia"/>
                <w:lang w:eastAsia="zh-CN"/>
              </w:rPr>
              <w:t>实际建设容积</w:t>
            </w:r>
            <w:r>
              <w:t>1181.8</w:t>
            </w:r>
            <w:r>
              <w:rPr>
                <w:rFonts w:hint="eastAsia"/>
              </w:rPr>
              <w:t>m</w:t>
            </w:r>
            <w:r>
              <w:rPr>
                <w:rFonts w:hint="eastAsia"/>
                <w:vertAlign w:val="superscript"/>
              </w:rPr>
              <w:t>3</w:t>
            </w:r>
            <w:r>
              <w:t>，</w:t>
            </w:r>
            <w:r>
              <w:rPr>
                <w:rFonts w:hint="eastAsia"/>
                <w:lang w:eastAsia="zh-Hans"/>
              </w:rPr>
              <w:t>另铺设管道将</w:t>
            </w:r>
            <w:r>
              <w:t>化学品调节池</w:t>
            </w:r>
            <w:r>
              <w:rPr>
                <w:rFonts w:hint="eastAsia"/>
                <w:lang w:eastAsia="zh-Hans"/>
              </w:rPr>
              <w:t>富余容积</w:t>
            </w:r>
            <w:r>
              <w:rPr>
                <w:lang w:eastAsia="zh-Hans"/>
              </w:rPr>
              <w:t>（</w:t>
            </w:r>
            <w:r>
              <w:t>88.6</w:t>
            </w:r>
            <w:r>
              <w:rPr>
                <w:rFonts w:hint="eastAsia"/>
              </w:rPr>
              <w:t>m</w:t>
            </w:r>
            <w:r>
              <w:rPr>
                <w:rFonts w:hint="eastAsia"/>
                <w:vertAlign w:val="superscript"/>
              </w:rPr>
              <w:t>3</w:t>
            </w:r>
            <w:r>
              <w:t>）</w:t>
            </w:r>
            <w:r>
              <w:rPr>
                <w:rFonts w:hint="eastAsia"/>
                <w:lang w:eastAsia="zh-Hans"/>
              </w:rPr>
              <w:t>作为初期雨水池的补充</w:t>
            </w:r>
            <w:r>
              <w:rPr>
                <w:lang w:eastAsia="zh-Hans"/>
              </w:rPr>
              <w:t>。</w:t>
            </w:r>
          </w:p>
        </w:tc>
        <w:tc>
          <w:tcPr>
            <w:tcW w:w="2044" w:type="dxa"/>
            <w:vAlign w:val="center"/>
          </w:tcPr>
          <w:p>
            <w:pPr>
              <w:pStyle w:val="24"/>
              <w:bidi w:val="0"/>
              <w:rPr>
                <w:rFonts w:hint="default" w:eastAsia="宋体"/>
                <w:lang w:val="en-US" w:eastAsia="zh-CN"/>
              </w:rPr>
            </w:pPr>
            <w:r>
              <w:rPr>
                <w:rFonts w:hint="eastAsia"/>
              </w:rPr>
              <w:t>初期雨水池建设调整</w:t>
            </w:r>
            <w:r>
              <w:rPr>
                <w:rFonts w:hint="eastAsia"/>
                <w:lang w:eastAsia="zh-CN"/>
              </w:rPr>
              <w:t>，</w:t>
            </w:r>
            <w:r>
              <w:rPr>
                <w:rFonts w:hint="eastAsia"/>
                <w:lang w:val="en-US" w:eastAsia="zh-CN"/>
              </w:rPr>
              <w:t>已通过港丰一期工程及二期工程项目竣工环保验收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rFonts w:hint="default"/>
                <w:b/>
                <w:bCs/>
              </w:rPr>
            </w:pPr>
            <w:r>
              <w:rPr>
                <w:rFonts w:hint="default"/>
                <w:b/>
                <w:bCs/>
              </w:rPr>
              <w:t>5</w:t>
            </w:r>
          </w:p>
        </w:tc>
        <w:tc>
          <w:tcPr>
            <w:tcW w:w="13543" w:type="dxa"/>
            <w:gridSpan w:val="4"/>
            <w:vAlign w:val="center"/>
          </w:tcPr>
          <w:p>
            <w:pPr>
              <w:pStyle w:val="24"/>
              <w:bidi w:val="0"/>
              <w:jc w:val="left"/>
              <w:rPr>
                <w:rFonts w:hint="eastAsia"/>
                <w:b/>
                <w:bCs/>
                <w:lang w:val="en-US" w:eastAsia="zh-Hans"/>
              </w:rPr>
            </w:pPr>
            <w:r>
              <w:rPr>
                <w:rFonts w:hint="eastAsia"/>
                <w:b/>
                <w:bCs/>
                <w:lang w:val="en-US" w:eastAsia="zh-Hans"/>
              </w:rPr>
              <w:t>依托工程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rFonts w:hint="default"/>
                <w:lang w:eastAsia="zh-Hans"/>
              </w:rPr>
            </w:pPr>
            <w:r>
              <w:rPr>
                <w:rFonts w:hint="default"/>
              </w:rPr>
              <w:t>5</w:t>
            </w:r>
            <w:r>
              <w:rPr>
                <w:rFonts w:hint="eastAsia"/>
                <w:lang w:val="en-US" w:eastAsia="zh-Hans"/>
              </w:rPr>
              <w:t>.</w:t>
            </w:r>
            <w:r>
              <w:rPr>
                <w:rFonts w:hint="default"/>
                <w:lang w:eastAsia="zh-Hans"/>
              </w:rPr>
              <w:t>1</w:t>
            </w:r>
          </w:p>
        </w:tc>
        <w:tc>
          <w:tcPr>
            <w:tcW w:w="1017" w:type="dxa"/>
            <w:vAlign w:val="center"/>
          </w:tcPr>
          <w:p>
            <w:pPr>
              <w:pStyle w:val="24"/>
              <w:bidi w:val="0"/>
            </w:pPr>
            <w:r>
              <w:t>疏港道路</w:t>
            </w:r>
          </w:p>
        </w:tc>
        <w:tc>
          <w:tcPr>
            <w:tcW w:w="5241" w:type="dxa"/>
            <w:vAlign w:val="center"/>
          </w:tcPr>
          <w:p>
            <w:pPr>
              <w:pStyle w:val="24"/>
              <w:bidi w:val="0"/>
              <w:rPr>
                <w:rFonts w:hint="eastAsia"/>
              </w:rPr>
            </w:pPr>
            <w:r>
              <w:t>利用工业区疏港公路。</w:t>
            </w:r>
          </w:p>
        </w:tc>
        <w:tc>
          <w:tcPr>
            <w:tcW w:w="5241" w:type="dxa"/>
            <w:vAlign w:val="center"/>
          </w:tcPr>
          <w:p>
            <w:pPr>
              <w:pStyle w:val="24"/>
              <w:bidi w:val="0"/>
              <w:rPr>
                <w:rFonts w:hint="eastAsia"/>
                <w:lang w:eastAsia="zh-Hans"/>
              </w:rPr>
            </w:pPr>
            <w:r>
              <w:t>利用工业区疏港公路。</w:t>
            </w:r>
          </w:p>
        </w:tc>
        <w:tc>
          <w:tcPr>
            <w:tcW w:w="2044" w:type="dxa"/>
            <w:vAlign w:val="center"/>
          </w:tcPr>
          <w:p>
            <w:pPr>
              <w:pStyle w:val="24"/>
              <w:bidi w:val="0"/>
              <w:rPr>
                <w:rFonts w:hint="default"/>
                <w:lang w:val="en-US" w:eastAsia="zh-Hans"/>
              </w:rPr>
            </w:pPr>
            <w:r>
              <w:rPr>
                <w:rFonts w:hint="eastAsia"/>
                <w:lang w:val="en-US" w:eastAsia="zh-Hans"/>
              </w:rPr>
              <w:t>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18" w:hRule="atLeast"/>
        </w:trPr>
        <w:tc>
          <w:tcPr>
            <w:tcW w:w="620" w:type="dxa"/>
            <w:vAlign w:val="center"/>
          </w:tcPr>
          <w:p>
            <w:pPr>
              <w:pStyle w:val="24"/>
              <w:bidi w:val="0"/>
              <w:rPr>
                <w:rFonts w:hint="default"/>
                <w:lang w:eastAsia="zh-Hans"/>
              </w:rPr>
            </w:pPr>
            <w:r>
              <w:rPr>
                <w:rFonts w:hint="default"/>
              </w:rPr>
              <w:t>5</w:t>
            </w:r>
            <w:r>
              <w:rPr>
                <w:rFonts w:hint="eastAsia"/>
                <w:lang w:val="en-US" w:eastAsia="zh-Hans"/>
              </w:rPr>
              <w:t>.</w:t>
            </w:r>
            <w:r>
              <w:rPr>
                <w:rFonts w:hint="default"/>
                <w:lang w:eastAsia="zh-Hans"/>
              </w:rPr>
              <w:t>2</w:t>
            </w:r>
          </w:p>
        </w:tc>
        <w:tc>
          <w:tcPr>
            <w:tcW w:w="1017" w:type="dxa"/>
            <w:vAlign w:val="center"/>
          </w:tcPr>
          <w:p>
            <w:pPr>
              <w:pStyle w:val="24"/>
              <w:bidi w:val="0"/>
            </w:pPr>
            <w:r>
              <w:rPr>
                <w:rFonts w:hint="eastAsia"/>
                <w:lang w:val="en-US" w:eastAsia="zh-Hans"/>
              </w:rPr>
              <w:t>斗</w:t>
            </w:r>
            <w:r>
              <w:t>尾港区7#泊位</w:t>
            </w:r>
          </w:p>
        </w:tc>
        <w:tc>
          <w:tcPr>
            <w:tcW w:w="5241" w:type="dxa"/>
            <w:vAlign w:val="center"/>
          </w:tcPr>
          <w:p>
            <w:pPr>
              <w:pStyle w:val="24"/>
              <w:bidi w:val="0"/>
              <w:rPr>
                <w:rFonts w:hint="default"/>
                <w:lang w:eastAsia="zh-Hans"/>
              </w:rPr>
            </w:pPr>
            <w:r>
              <w:rPr>
                <w:rFonts w:hint="eastAsia"/>
                <w:lang w:val="en-US" w:eastAsia="zh-Hans"/>
              </w:rPr>
              <w:t>配套斗</w:t>
            </w:r>
            <w:r>
              <w:t>尾港区7#泊位。</w:t>
            </w:r>
          </w:p>
        </w:tc>
        <w:tc>
          <w:tcPr>
            <w:tcW w:w="5241" w:type="dxa"/>
            <w:vAlign w:val="center"/>
          </w:tcPr>
          <w:p>
            <w:pPr>
              <w:pStyle w:val="24"/>
              <w:bidi w:val="0"/>
              <w:rPr>
                <w:rFonts w:hint="eastAsia"/>
                <w:lang w:eastAsia="zh-Hans"/>
              </w:rPr>
            </w:pPr>
            <w:r>
              <w:rPr>
                <w:rFonts w:hint="eastAsia"/>
                <w:lang w:val="en-US" w:eastAsia="zh-Hans"/>
              </w:rPr>
              <w:t>配套斗</w:t>
            </w:r>
            <w:r>
              <w:t>尾港区7#泊位。</w:t>
            </w:r>
          </w:p>
        </w:tc>
        <w:tc>
          <w:tcPr>
            <w:tcW w:w="2044" w:type="dxa"/>
            <w:vAlign w:val="center"/>
          </w:tcPr>
          <w:p>
            <w:pPr>
              <w:pStyle w:val="24"/>
              <w:bidi w:val="0"/>
              <w:rPr>
                <w:rFonts w:hint="default"/>
                <w:lang w:val="en-US" w:eastAsia="zh-Hans"/>
              </w:rPr>
            </w:pPr>
            <w:r>
              <w:rPr>
                <w:rFonts w:hint="eastAsia"/>
                <w:lang w:val="en-US" w:eastAsia="zh-Hans"/>
              </w:rPr>
              <w:t>一致</w:t>
            </w:r>
          </w:p>
        </w:tc>
      </w:tr>
    </w:tbl>
    <w:p>
      <w:pPr>
        <w:pStyle w:val="18"/>
        <w:rPr>
          <w:lang w:val="en-US"/>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8"/>
      </w:pPr>
      <w:r>
        <w:t>3.</w:t>
      </w:r>
      <w:r>
        <w:rPr>
          <w:rFonts w:hint="eastAsia"/>
          <w:lang w:val="en-US" w:eastAsia="zh-CN"/>
        </w:rPr>
        <w:t>3</w:t>
      </w:r>
      <w:r>
        <w:t>.</w:t>
      </w:r>
      <w:r>
        <w:rPr>
          <w:rFonts w:hint="eastAsia"/>
          <w:lang w:val="en-US" w:eastAsia="zh-CN"/>
        </w:rPr>
        <w:t>2</w:t>
      </w:r>
      <w:r>
        <w:t xml:space="preserve"> 建设规模与产品方案</w:t>
      </w:r>
    </w:p>
    <w:p>
      <w:pPr>
        <w:pStyle w:val="19"/>
        <w:ind w:firstLine="480"/>
        <w:rPr>
          <w:lang w:val="en-US"/>
        </w:rPr>
      </w:pPr>
      <w:r>
        <w:rPr>
          <w:lang w:val="en-US"/>
        </w:rPr>
        <w:t>本项目为第三方客户提供石化产品的仓储、中转服务。储罐按年周转4～6次计，预计货品年周转总量为：</w:t>
      </w:r>
      <w:r>
        <w:rPr>
          <w:rFonts w:hint="default"/>
          <w:lang w:val="en-US"/>
        </w:rPr>
        <w:t>144</w:t>
      </w:r>
      <w:r>
        <w:rPr>
          <w:lang w:val="en-US"/>
        </w:rPr>
        <w:t>万吨，进出总量为</w:t>
      </w:r>
      <w:r>
        <w:rPr>
          <w:rFonts w:hint="default"/>
          <w:lang w:val="en-US"/>
        </w:rPr>
        <w:t>288</w:t>
      </w:r>
      <w:r>
        <w:rPr>
          <w:lang w:val="en-US"/>
        </w:rPr>
        <w:t>万吨。</w:t>
      </w:r>
    </w:p>
    <w:p>
      <w:pPr>
        <w:pStyle w:val="19"/>
        <w:ind w:firstLine="480"/>
      </w:pPr>
      <w:r>
        <w:rPr>
          <w:lang w:val="en-US"/>
        </w:rPr>
        <w:t>项目建设储罐61座，总罐容44.35万m</w:t>
      </w:r>
      <w:r>
        <w:rPr>
          <w:vertAlign w:val="superscript"/>
          <w:lang w:val="en-US"/>
        </w:rPr>
        <w:t>3</w:t>
      </w:r>
      <w:r>
        <w:rPr>
          <w:lang w:val="en-US"/>
        </w:rPr>
        <w:t>，涉及经营货种包括</w:t>
      </w:r>
      <w:r>
        <w:t>油品类</w:t>
      </w:r>
      <w:r>
        <w:rPr>
          <w:rFonts w:hint="eastAsia"/>
          <w:lang w:eastAsia="zh-CN"/>
        </w:rPr>
        <w:t>和</w:t>
      </w:r>
      <w:r>
        <w:t>化工品，</w:t>
      </w:r>
      <w:r>
        <w:rPr>
          <w:lang w:val="en-US"/>
        </w:rPr>
        <w:t>共计</w:t>
      </w:r>
      <w:r>
        <w:rPr>
          <w:rFonts w:hint="eastAsia"/>
          <w:lang w:val="en-US" w:eastAsia="zh-CN"/>
        </w:rPr>
        <w:t>58</w:t>
      </w:r>
      <w:r>
        <w:rPr>
          <w:lang w:val="en-US"/>
        </w:rPr>
        <w:t>种</w:t>
      </w:r>
      <w:r>
        <w:t>。</w:t>
      </w:r>
      <w:r>
        <w:rPr>
          <w:rFonts w:hint="eastAsia"/>
          <w:lang w:val="en-US" w:eastAsia="zh-Hans"/>
        </w:rPr>
        <w:t>项目一期工程建设</w:t>
      </w:r>
      <w:r>
        <w:rPr>
          <w:rFonts w:hint="default"/>
          <w:lang w:eastAsia="zh-Hans"/>
        </w:rPr>
        <w:t>1#～4#</w:t>
      </w:r>
      <w:r>
        <w:rPr>
          <w:rFonts w:hint="eastAsia"/>
          <w:lang w:val="en-US" w:eastAsia="zh-Hans"/>
        </w:rPr>
        <w:t>罐组</w:t>
      </w:r>
      <w:r>
        <w:rPr>
          <w:rFonts w:hint="default"/>
          <w:lang w:eastAsia="zh-Hans"/>
        </w:rPr>
        <w:t>，</w:t>
      </w:r>
      <w:r>
        <w:rPr>
          <w:lang w:val="en-US"/>
        </w:rPr>
        <w:t>共计储罐</w:t>
      </w:r>
      <w:r>
        <w:rPr>
          <w:rFonts w:hint="default"/>
        </w:rPr>
        <w:t>29</w:t>
      </w:r>
      <w:r>
        <w:rPr>
          <w:lang w:val="en-US"/>
        </w:rPr>
        <w:t>座</w:t>
      </w:r>
      <w:r>
        <w:t>，</w:t>
      </w:r>
      <w:r>
        <w:rPr>
          <w:lang w:val="en-US"/>
        </w:rPr>
        <w:t>总库容</w:t>
      </w:r>
      <w:r>
        <w:rPr>
          <w:rFonts w:hint="default"/>
        </w:rPr>
        <w:t>11</w:t>
      </w:r>
      <w:r>
        <w:rPr>
          <w:rFonts w:hint="eastAsia"/>
          <w:lang w:val="en-US" w:eastAsia="zh-Hans"/>
        </w:rPr>
        <w:t>.</w:t>
      </w:r>
      <w:r>
        <w:rPr>
          <w:rFonts w:hint="default"/>
          <w:lang w:eastAsia="zh-Hans"/>
        </w:rPr>
        <w:t>05</w:t>
      </w:r>
      <w:r>
        <w:t>万m</w:t>
      </w:r>
      <w:r>
        <w:rPr>
          <w:vertAlign w:val="superscript"/>
        </w:rPr>
        <w:t>3</w:t>
      </w:r>
      <w:r>
        <w:rPr>
          <w:rFonts w:hint="default"/>
          <w:lang w:eastAsia="zh-Hans"/>
        </w:rPr>
        <w:t>；</w:t>
      </w:r>
      <w:r>
        <w:t>5#～8#</w:t>
      </w:r>
      <w:r>
        <w:rPr>
          <w:lang w:val="en-US"/>
        </w:rPr>
        <w:t>罐组</w:t>
      </w:r>
      <w:r>
        <w:t>，</w:t>
      </w:r>
      <w:r>
        <w:rPr>
          <w:lang w:val="en-US"/>
        </w:rPr>
        <w:t>共计储罐</w:t>
      </w:r>
      <w:r>
        <w:t>32</w:t>
      </w:r>
      <w:r>
        <w:rPr>
          <w:lang w:val="en-US"/>
        </w:rPr>
        <w:t>座</w:t>
      </w:r>
      <w:r>
        <w:t>，</w:t>
      </w:r>
      <w:r>
        <w:rPr>
          <w:lang w:val="en-US"/>
        </w:rPr>
        <w:t>总库容</w:t>
      </w:r>
      <w:r>
        <w:t>33</w:t>
      </w:r>
      <w:r>
        <w:rPr>
          <w:rFonts w:hint="eastAsia"/>
          <w:lang w:val="en-US" w:eastAsia="zh-Hans"/>
        </w:rPr>
        <w:t>.</w:t>
      </w:r>
      <w:r>
        <w:rPr>
          <w:lang w:eastAsia="zh-Hans"/>
        </w:rPr>
        <w:t>30</w:t>
      </w:r>
      <w:r>
        <w:t>万m</w:t>
      </w:r>
      <w:r>
        <w:rPr>
          <w:vertAlign w:val="superscript"/>
        </w:rPr>
        <w:t>3</w:t>
      </w:r>
      <w:r>
        <w:rPr>
          <w:rFonts w:hint="default"/>
          <w:lang w:eastAsia="zh-Hans"/>
        </w:rPr>
        <w:t>。</w:t>
      </w:r>
      <w:r>
        <w:rPr>
          <w:rFonts w:hint="eastAsia"/>
          <w:lang w:val="en-US" w:eastAsia="zh-Hans"/>
        </w:rPr>
        <w:t>本项目</w:t>
      </w:r>
      <w:r>
        <w:rPr>
          <w:lang w:val="en-US"/>
        </w:rPr>
        <w:t>涉及的货品有</w:t>
      </w:r>
      <w:r>
        <w:rPr>
          <w:rFonts w:hint="eastAsia"/>
          <w:lang w:val="en-US"/>
        </w:rPr>
        <w:t>润滑油（基础油）、汽油、柴油、生物柴油、抽余油、3#喷气燃料、煤油（航空煤油）、石脑油、轻油、溶剂油、有机热载体、乙酸丁酯（乙酸正丁酯）、乙酸仲丁酯、碳酸二甲酯、脂肪酸甲酯、乙酸甲酯（醋酸甲酯）、丙烯酸丁酯（丙烯酸正丁酯）、乙酸乙烯酯（醋酸乙烯酯）、乙酸乙酯、二乙二醇、乙二醇、甲醇、乙醇、正丁醇、甲苯、对二甲苯、混合二甲苯、三甲苯（三甲基苯）、苯（纯苯）、烷基苯、混合芳烃（主要成分为甲苯、二甲苯、三甲苯）、重芳烃、辛烷（异辛烷）、环己烷、己烷（工业己烷）、环己酮、氢氧化钠溶液（液碱，50%）、甲基叔丁基醚（MTBE）、乙酸（冰醋酸）、二甲基甲酰胺（DMF）、苯乙烯、轻质燃料油（燃料油）、粗白油、乙酸丙酯、甲醛缩二甲醇（甲缩醛）、碳九（裂解碳九）、氢氧化钠溶液（液碱，32%）、1,2-二氯乙烷、变压器油、碳酸甲乙酯、碳酸二乙酯、甲基丙烯酸甲酯、丙烯酸甲酯、丁酮、正丙醇、异丙醇、棕榈酸油、丙烯酸异辛酯</w:t>
      </w:r>
      <w:r>
        <w:rPr>
          <w:rFonts w:hint="default"/>
        </w:rPr>
        <w:t>5</w:t>
      </w:r>
      <w:r>
        <w:rPr>
          <w:rFonts w:hint="eastAsia"/>
          <w:lang w:val="en-US" w:eastAsia="zh-CN"/>
        </w:rPr>
        <w:t>8</w:t>
      </w:r>
      <w:r>
        <w:rPr>
          <w:lang w:val="en-US"/>
        </w:rPr>
        <w:t>种</w:t>
      </w:r>
      <w:r>
        <w:t>。</w:t>
      </w:r>
      <w:r>
        <w:rPr>
          <w:lang w:val="en-US"/>
        </w:rPr>
        <w:t>项目储罐建设配置情况见表</w:t>
      </w:r>
      <w:r>
        <w:t>3</w:t>
      </w:r>
      <w:r>
        <w:rPr>
          <w:lang w:val="en-US"/>
        </w:rPr>
        <w:t>.</w:t>
      </w:r>
      <w:r>
        <w:rPr>
          <w:rFonts w:hint="eastAsia"/>
          <w:lang w:val="en-US" w:eastAsia="zh-CN"/>
        </w:rPr>
        <w:t>3</w:t>
      </w:r>
      <w:r>
        <w:rPr>
          <w:lang w:val="en-US"/>
        </w:rPr>
        <w:t>.</w:t>
      </w:r>
      <w:r>
        <w:rPr>
          <w:rFonts w:hint="eastAsia"/>
          <w:lang w:val="en-US" w:eastAsia="zh-CN"/>
        </w:rPr>
        <w:t>2</w:t>
      </w:r>
      <w:r>
        <w:t>。</w:t>
      </w:r>
    </w:p>
    <w:p>
      <w:pPr>
        <w:pStyle w:val="23"/>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pPr>
      <w:r>
        <w:t>表3.</w:t>
      </w:r>
      <w:r>
        <w:rPr>
          <w:rFonts w:hint="eastAsia"/>
          <w:lang w:val="en-US" w:eastAsia="zh-CN"/>
        </w:rPr>
        <w:t>3</w:t>
      </w:r>
      <w:r>
        <w:t>.</w:t>
      </w:r>
      <w:r>
        <w:rPr>
          <w:rFonts w:hint="eastAsia"/>
          <w:lang w:val="en-US" w:eastAsia="zh-CN"/>
        </w:rPr>
        <w:t>2</w:t>
      </w:r>
      <w:r>
        <w:t xml:space="preserve"> </w:t>
      </w:r>
      <w:r>
        <w:rPr>
          <w:rFonts w:hint="default"/>
          <w:lang w:val="en-US"/>
        </w:rPr>
        <w:t>项目</w:t>
      </w:r>
      <w:r>
        <w:t>储罐配置情况表</w:t>
      </w:r>
    </w:p>
    <w:tbl>
      <w:tblPr>
        <w:tblStyle w:val="14"/>
        <w:tblW w:w="14163"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8"/>
        <w:gridCol w:w="1303"/>
        <w:gridCol w:w="1740"/>
        <w:gridCol w:w="1049"/>
        <w:gridCol w:w="1907"/>
        <w:gridCol w:w="66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blHeader/>
          <w:jc w:val="center"/>
        </w:trPr>
        <w:tc>
          <w:tcPr>
            <w:tcW w:w="1558" w:type="dxa"/>
            <w:shd w:val="clear" w:color="auto" w:fill="auto"/>
            <w:vAlign w:val="center"/>
          </w:tcPr>
          <w:p>
            <w:pPr>
              <w:pStyle w:val="24"/>
              <w:bidi w:val="0"/>
              <w:rPr>
                <w:lang w:val="en-US"/>
              </w:rPr>
            </w:pPr>
            <w:r>
              <w:rPr>
                <w:rFonts w:hint="eastAsia"/>
                <w:lang w:val="en-US"/>
              </w:rPr>
              <w:t>罐组</w:t>
            </w:r>
          </w:p>
        </w:tc>
        <w:tc>
          <w:tcPr>
            <w:tcW w:w="1303" w:type="dxa"/>
            <w:shd w:val="clear" w:color="auto" w:fill="auto"/>
            <w:vAlign w:val="center"/>
          </w:tcPr>
          <w:p>
            <w:pPr>
              <w:pStyle w:val="24"/>
              <w:bidi w:val="0"/>
              <w:rPr>
                <w:lang w:val="en-US"/>
              </w:rPr>
            </w:pPr>
            <w:r>
              <w:rPr>
                <w:rFonts w:hint="eastAsia"/>
                <w:lang w:val="en-US"/>
              </w:rPr>
              <w:t>储罐编号</w:t>
            </w:r>
          </w:p>
        </w:tc>
        <w:tc>
          <w:tcPr>
            <w:tcW w:w="1740" w:type="dxa"/>
            <w:shd w:val="clear" w:color="auto" w:fill="auto"/>
            <w:vAlign w:val="center"/>
          </w:tcPr>
          <w:p>
            <w:pPr>
              <w:pStyle w:val="24"/>
              <w:bidi w:val="0"/>
              <w:rPr>
                <w:lang w:val="en-US"/>
              </w:rPr>
            </w:pPr>
            <w:r>
              <w:rPr>
                <w:rFonts w:hint="eastAsia"/>
                <w:lang w:val="en-US" w:eastAsia="zh-CN"/>
              </w:rPr>
              <w:t>改造前</w:t>
            </w:r>
            <w:r>
              <w:rPr>
                <w:rFonts w:hint="eastAsia"/>
                <w:lang w:val="en-US"/>
              </w:rPr>
              <w:t>配套设施</w:t>
            </w:r>
          </w:p>
        </w:tc>
        <w:tc>
          <w:tcPr>
            <w:tcW w:w="1049" w:type="dxa"/>
            <w:shd w:val="clear" w:color="auto" w:fill="auto"/>
            <w:vAlign w:val="center"/>
          </w:tcPr>
          <w:p>
            <w:pPr>
              <w:pStyle w:val="24"/>
              <w:bidi w:val="0"/>
              <w:rPr>
                <w:lang w:val="en-US"/>
              </w:rPr>
            </w:pPr>
            <w:r>
              <w:rPr>
                <w:rFonts w:hint="eastAsia"/>
                <w:lang w:val="en-US"/>
              </w:rPr>
              <w:t>是否改造</w:t>
            </w:r>
          </w:p>
        </w:tc>
        <w:tc>
          <w:tcPr>
            <w:tcW w:w="1907" w:type="dxa"/>
            <w:shd w:val="clear" w:color="auto" w:fill="auto"/>
            <w:vAlign w:val="center"/>
          </w:tcPr>
          <w:p>
            <w:pPr>
              <w:pStyle w:val="24"/>
              <w:bidi w:val="0"/>
              <w:rPr>
                <w:rFonts w:hint="eastAsia" w:eastAsia="宋体"/>
                <w:lang w:val="en-US" w:eastAsia="zh-CN"/>
              </w:rPr>
            </w:pPr>
            <w:r>
              <w:rPr>
                <w:rFonts w:hint="eastAsia"/>
                <w:lang w:val="en-US" w:eastAsia="zh-CN"/>
              </w:rPr>
              <w:t>改造后配套设施</w:t>
            </w:r>
          </w:p>
        </w:tc>
        <w:tc>
          <w:tcPr>
            <w:tcW w:w="6606" w:type="dxa"/>
            <w:shd w:val="clear" w:color="auto" w:fill="auto"/>
            <w:vAlign w:val="center"/>
          </w:tcPr>
          <w:p>
            <w:pPr>
              <w:pStyle w:val="24"/>
              <w:bidi w:val="0"/>
              <w:rPr>
                <w:lang w:val="en-US"/>
              </w:rPr>
            </w:pPr>
            <w:r>
              <w:rPr>
                <w:rFonts w:hint="eastAsia"/>
                <w:lang w:val="en-US"/>
              </w:rPr>
              <w:t>各储罐拟储存的货种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1#罐组（甲B）</w:t>
            </w:r>
          </w:p>
        </w:tc>
        <w:tc>
          <w:tcPr>
            <w:tcW w:w="1303" w:type="dxa"/>
            <w:shd w:val="clear" w:color="auto" w:fill="auto"/>
            <w:vAlign w:val="center"/>
          </w:tcPr>
          <w:p>
            <w:pPr>
              <w:pStyle w:val="24"/>
              <w:bidi w:val="0"/>
              <w:rPr>
                <w:rFonts w:hint="eastAsia"/>
                <w:lang w:val="en-US"/>
              </w:rPr>
            </w:pPr>
            <w:r>
              <w:rPr>
                <w:rFonts w:hint="eastAsia"/>
                <w:lang w:val="en-US"/>
              </w:rPr>
              <w:t>TK0101</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柴油、汽油、轻质燃料油(燃料油）、石脑油、甲基叔丁基醚、辛烷、甲醇、溶剂油、煤油（航空煤油）；</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TK0102</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柴油、汽油、轻质燃料油(燃料油）、石脑油、甲基叔丁基醚、辛烷、甲醇、溶剂油、煤油（航空煤油）；</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TK0103</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柴油、汽油、轻质燃料油(燃料油）、石脑油、甲基叔丁基醚、辛烷、甲醇、溶剂油、煤油（航空煤油）；</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TK0104</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甲醇、甲基叔丁基醚、溶剂油、辛烷、轻质燃料油(燃料油）、柴油、汽油、石脑油、煤油（航空煤油）；</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TK0105</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shd w:val="clear" w:color="auto" w:fill="auto"/>
            <w:vAlign w:val="center"/>
          </w:tcPr>
          <w:p>
            <w:pPr>
              <w:pStyle w:val="24"/>
              <w:bidi w:val="0"/>
              <w:rPr>
                <w:rFonts w:hint="eastAsia"/>
                <w:lang w:val="en-US"/>
              </w:rPr>
            </w:pPr>
            <w:r>
              <w:rPr>
                <w:rFonts w:hint="eastAsia"/>
                <w:lang w:val="en-US"/>
              </w:rPr>
              <w:t>柴油、轻质燃料油（燃料油）；汽油、石脑油、溶剂油、甲基叔丁基醚、煤油（航空煤油）、辛烷、甲醇；</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TK0106</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甲醇、甲基叔丁基醚、轻质燃料油（燃料油）、辛烷、溶剂油、汽油、柴油、石脑油、煤油（航空煤油）；</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TK0107</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shd w:val="clear" w:color="auto" w:fill="auto"/>
            <w:vAlign w:val="center"/>
          </w:tcPr>
          <w:p>
            <w:pPr>
              <w:pStyle w:val="24"/>
              <w:bidi w:val="0"/>
              <w:rPr>
                <w:rFonts w:hint="eastAsia"/>
                <w:lang w:val="en-US"/>
              </w:rPr>
            </w:pPr>
            <w:r>
              <w:rPr>
                <w:rFonts w:hint="eastAsia"/>
                <w:lang w:val="en-US"/>
              </w:rPr>
              <w:t>柴油、轻质燃料油（燃料油）；汽油、石脑油、溶剂油、甲基叔丁基醚、煤油（航空煤油）、辛烷、甲醇；</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2#罐组（甲B）</w:t>
            </w:r>
          </w:p>
        </w:tc>
        <w:tc>
          <w:tcPr>
            <w:tcW w:w="1303" w:type="dxa"/>
            <w:shd w:val="clear" w:color="auto" w:fill="auto"/>
            <w:vAlign w:val="center"/>
          </w:tcPr>
          <w:p>
            <w:pPr>
              <w:pStyle w:val="24"/>
              <w:bidi w:val="0"/>
              <w:rPr>
                <w:rFonts w:hint="eastAsia"/>
                <w:lang w:val="en-US"/>
              </w:rPr>
            </w:pPr>
            <w:r>
              <w:rPr>
                <w:rFonts w:hint="eastAsia"/>
                <w:lang w:val="en-US"/>
              </w:rPr>
              <w:t>TK0201</w:t>
            </w:r>
          </w:p>
        </w:tc>
        <w:tc>
          <w:tcPr>
            <w:tcW w:w="1740" w:type="dxa"/>
            <w:shd w:val="clear" w:color="auto" w:fill="auto"/>
            <w:vAlign w:val="center"/>
          </w:tcPr>
          <w:p>
            <w:pPr>
              <w:pStyle w:val="24"/>
              <w:bidi w:val="0"/>
              <w:rPr>
                <w:rFonts w:hint="eastAsia"/>
                <w:lang w:val="en-US"/>
              </w:rPr>
            </w:pPr>
            <w:r>
              <w:rPr>
                <w:rFonts w:hint="eastAsia"/>
                <w:lang w:val="en-US"/>
              </w:rPr>
              <w:t>固定顶+氮封+保温+伴热</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乙酸（冰醋酸）、二甲基甲酰胺（DMF）、乙二醇；</w:t>
            </w:r>
          </w:p>
          <w:p>
            <w:pPr>
              <w:pStyle w:val="24"/>
              <w:bidi w:val="0"/>
              <w:rPr>
                <w:rFonts w:hint="eastAsia"/>
                <w:lang w:val="en-US"/>
              </w:rPr>
            </w:pPr>
            <w:r>
              <w:rPr>
                <w:rFonts w:hint="eastAsia"/>
                <w:lang w:val="en-US"/>
              </w:rPr>
              <w:t>（货种合计：3种）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TK0202</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shd w:val="clear" w:color="auto" w:fill="auto"/>
            <w:vAlign w:val="center"/>
          </w:tcPr>
          <w:p>
            <w:pPr>
              <w:pStyle w:val="24"/>
              <w:bidi w:val="0"/>
              <w:rPr>
                <w:rFonts w:hint="eastAsia"/>
                <w:lang w:val="en-US"/>
              </w:rPr>
            </w:pPr>
            <w:r>
              <w:rPr>
                <w:rFonts w:hint="eastAsia"/>
                <w:lang w:val="en-US"/>
              </w:rPr>
              <w:t>二甲基甲酰胺（DMF）、乙二醇；乙醇；</w:t>
            </w:r>
          </w:p>
          <w:p>
            <w:pPr>
              <w:pStyle w:val="24"/>
              <w:bidi w:val="0"/>
              <w:rPr>
                <w:rFonts w:hint="eastAsia"/>
                <w:lang w:val="en-US"/>
              </w:rPr>
            </w:pPr>
            <w:r>
              <w:rPr>
                <w:rFonts w:hint="eastAsia"/>
                <w:lang w:val="en-US"/>
              </w:rPr>
              <w:t>（货种合计：3种）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TK0203</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vMerge w:val="restart"/>
            <w:shd w:val="clear" w:color="auto" w:fill="auto"/>
            <w:vAlign w:val="center"/>
          </w:tcPr>
          <w:p>
            <w:pPr>
              <w:pStyle w:val="24"/>
              <w:bidi w:val="0"/>
              <w:rPr>
                <w:rFonts w:hint="eastAsia"/>
                <w:lang w:val="en-US"/>
              </w:rPr>
            </w:pPr>
            <w:r>
              <w:rPr>
                <w:rFonts w:hint="eastAsia"/>
                <w:lang w:val="en-US"/>
              </w:rPr>
              <w:t>乙酸乙酯、乙酸甲酯、乙酸丙酯、乙酸丁酯、乙酸仲丁酯、异丙醇、甲醛缩二甲醇（甲缩醛）、碳酸甲乙酯、碳酸二乙酯、丁酮；</w:t>
            </w:r>
          </w:p>
          <w:p>
            <w:pPr>
              <w:pStyle w:val="24"/>
              <w:bidi w:val="0"/>
              <w:rPr>
                <w:rFonts w:hint="eastAsia"/>
                <w:lang w:val="en-US"/>
              </w:rPr>
            </w:pPr>
            <w:r>
              <w:rPr>
                <w:rFonts w:hint="eastAsia"/>
                <w:lang w:val="en-US"/>
              </w:rPr>
              <w:t>（货种合计：10种）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TK0204</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TK0205</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丙烯酸丁酯（丙烯酸正丁酯）、丙烯酸甲酯、甲基丙烯酸甲酯、丙烯酸异辛酯；</w:t>
            </w:r>
          </w:p>
          <w:p>
            <w:pPr>
              <w:pStyle w:val="24"/>
              <w:bidi w:val="0"/>
              <w:rPr>
                <w:rFonts w:hint="eastAsia"/>
                <w:lang w:val="en-US"/>
              </w:rPr>
            </w:pPr>
            <w:r>
              <w:rPr>
                <w:rFonts w:hint="eastAsia"/>
                <w:lang w:val="en-US"/>
              </w:rPr>
              <w:t>（货种合计：4种）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TK0206</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shd w:val="clear" w:color="auto" w:fill="auto"/>
            <w:vAlign w:val="center"/>
          </w:tcPr>
          <w:p>
            <w:pPr>
              <w:pStyle w:val="24"/>
              <w:bidi w:val="0"/>
              <w:rPr>
                <w:rFonts w:hint="eastAsia"/>
                <w:lang w:val="en-US"/>
              </w:rPr>
            </w:pPr>
            <w:r>
              <w:rPr>
                <w:rFonts w:hint="eastAsia"/>
                <w:lang w:val="en-US"/>
              </w:rPr>
              <w:t>乙酸乙酯、乙酸甲酯、乙酸丙酯、乙酸丁酯、乙酸仲丁酯、异丙醇、甲醛缩二甲醇（甲缩醛）、碳酸甲乙酯、碳酸二乙酯；</w:t>
            </w:r>
          </w:p>
          <w:p>
            <w:pPr>
              <w:pStyle w:val="24"/>
              <w:bidi w:val="0"/>
              <w:rPr>
                <w:rFonts w:hint="eastAsia"/>
                <w:lang w:val="en-US"/>
              </w:rPr>
            </w:pPr>
            <w:r>
              <w:rPr>
                <w:rFonts w:hint="eastAsia"/>
                <w:lang w:val="en-US"/>
              </w:rPr>
              <w:t>（货种合计：9种）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TK0207</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内浮顶+氮封+保温</w:t>
            </w:r>
          </w:p>
        </w:tc>
        <w:tc>
          <w:tcPr>
            <w:tcW w:w="6606" w:type="dxa"/>
            <w:shd w:val="clear" w:color="auto" w:fill="auto"/>
            <w:vAlign w:val="center"/>
          </w:tcPr>
          <w:p>
            <w:pPr>
              <w:pStyle w:val="24"/>
              <w:bidi w:val="0"/>
              <w:rPr>
                <w:rFonts w:hint="eastAsia"/>
                <w:lang w:val="en-US"/>
              </w:rPr>
            </w:pPr>
            <w:r>
              <w:rPr>
                <w:rFonts w:hint="eastAsia"/>
                <w:lang w:val="en-US"/>
              </w:rPr>
              <w:t>乙酸乙酯、乙酸甲酯、乙酸丙酯、乙酸丁酯、乙酸仲丁酯、异丙醇、甲醛缩二甲醇（甲缩醛）、碳酸甲乙酯、碳酸二乙酯；碳酸二甲酯</w:t>
            </w:r>
          </w:p>
          <w:p>
            <w:pPr>
              <w:pStyle w:val="24"/>
              <w:bidi w:val="0"/>
              <w:rPr>
                <w:rFonts w:hint="eastAsia"/>
                <w:lang w:val="en-US"/>
              </w:rPr>
            </w:pPr>
            <w:r>
              <w:rPr>
                <w:rFonts w:hint="eastAsia"/>
                <w:lang w:val="en-US"/>
              </w:rPr>
              <w:t>（货种合计：10种）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TK0208</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固定顶+氮封</w:t>
            </w:r>
            <w:r>
              <w:rPr>
                <w:rFonts w:hint="eastAsia"/>
                <w:lang w:val="en-US" w:eastAsia="zh-CN"/>
              </w:rPr>
              <w:t>+</w:t>
            </w:r>
            <w:r>
              <w:rPr>
                <w:rFonts w:hint="eastAsia"/>
                <w:lang w:val="en-US"/>
              </w:rPr>
              <w:t>保温</w:t>
            </w:r>
          </w:p>
        </w:tc>
        <w:tc>
          <w:tcPr>
            <w:tcW w:w="6606" w:type="dxa"/>
            <w:shd w:val="clear" w:color="auto" w:fill="auto"/>
            <w:vAlign w:val="center"/>
          </w:tcPr>
          <w:p>
            <w:pPr>
              <w:pStyle w:val="24"/>
              <w:bidi w:val="0"/>
              <w:rPr>
                <w:rFonts w:hint="eastAsia"/>
                <w:lang w:val="en-US"/>
              </w:rPr>
            </w:pPr>
            <w:r>
              <w:rPr>
                <w:rFonts w:hint="eastAsia"/>
                <w:lang w:val="en-US"/>
              </w:rPr>
              <w:t>丙烯酸丁酯（丙烯酸正丁酯）、丙烯酸甲酯、甲基丙烯酸甲酯、丙烯酸异辛酯；</w:t>
            </w:r>
          </w:p>
          <w:p>
            <w:pPr>
              <w:pStyle w:val="24"/>
              <w:bidi w:val="0"/>
              <w:rPr>
                <w:rFonts w:hint="eastAsia"/>
                <w:lang w:val="en-US"/>
              </w:rPr>
            </w:pPr>
            <w:r>
              <w:rPr>
                <w:rFonts w:hint="eastAsia"/>
                <w:lang w:val="en-US"/>
              </w:rPr>
              <w:t>（货种合计：4种）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TK0209</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内浮顶+氮封+保温</w:t>
            </w:r>
          </w:p>
        </w:tc>
        <w:tc>
          <w:tcPr>
            <w:tcW w:w="6606" w:type="dxa"/>
            <w:shd w:val="clear" w:color="auto" w:fill="auto"/>
            <w:vAlign w:val="center"/>
          </w:tcPr>
          <w:p>
            <w:pPr>
              <w:pStyle w:val="24"/>
              <w:bidi w:val="0"/>
              <w:rPr>
                <w:rFonts w:hint="eastAsia"/>
                <w:lang w:val="en-US"/>
              </w:rPr>
            </w:pPr>
            <w:r>
              <w:rPr>
                <w:rFonts w:hint="eastAsia"/>
                <w:lang w:val="en-US"/>
              </w:rPr>
              <w:t>乙酸乙酯、乙酸甲酯、乙酸丙酯、乙酸丁酯、乙酸仲丁酯、异丙醇、甲醛缩二甲醇（甲缩醛）、碳酸甲乙酯、碳酸二乙酯；碳酸二甲酯</w:t>
            </w:r>
          </w:p>
          <w:p>
            <w:pPr>
              <w:pStyle w:val="24"/>
              <w:bidi w:val="0"/>
              <w:rPr>
                <w:rFonts w:hint="eastAsia"/>
                <w:lang w:val="en-US"/>
              </w:rPr>
            </w:pPr>
            <w:r>
              <w:rPr>
                <w:rFonts w:hint="eastAsia"/>
                <w:lang w:val="en-US"/>
              </w:rPr>
              <w:t>（货种合计：10种）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TK0210</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内浮顶+氮封+保温</w:t>
            </w:r>
          </w:p>
        </w:tc>
        <w:tc>
          <w:tcPr>
            <w:tcW w:w="6606" w:type="dxa"/>
            <w:shd w:val="clear" w:color="auto" w:fill="auto"/>
            <w:vAlign w:val="center"/>
          </w:tcPr>
          <w:p>
            <w:pPr>
              <w:pStyle w:val="24"/>
              <w:bidi w:val="0"/>
              <w:rPr>
                <w:rFonts w:hint="eastAsia"/>
                <w:lang w:val="en-US"/>
              </w:rPr>
            </w:pPr>
            <w:r>
              <w:rPr>
                <w:rFonts w:hint="eastAsia"/>
                <w:lang w:val="en-US"/>
              </w:rPr>
              <w:t>乙酸乙酯、乙酸甲酯、乙酸丙酯、乙酸丁酯、乙酸仲丁酯、异丙醇、甲醛缩二甲醇（甲缩醛）、碳酸甲乙酯、碳酸二乙酯；碳酸二甲酯</w:t>
            </w:r>
          </w:p>
          <w:p>
            <w:pPr>
              <w:pStyle w:val="24"/>
              <w:bidi w:val="0"/>
              <w:rPr>
                <w:rFonts w:hint="eastAsia"/>
                <w:lang w:val="en-US"/>
              </w:rPr>
            </w:pPr>
            <w:r>
              <w:rPr>
                <w:rFonts w:hint="eastAsia"/>
                <w:lang w:val="en-US"/>
              </w:rPr>
              <w:t>（货种合计：10种）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3#罐组（甲B）</w:t>
            </w:r>
          </w:p>
        </w:tc>
        <w:tc>
          <w:tcPr>
            <w:tcW w:w="1303" w:type="dxa"/>
            <w:shd w:val="clear" w:color="auto" w:fill="auto"/>
            <w:vAlign w:val="center"/>
          </w:tcPr>
          <w:p>
            <w:pPr>
              <w:pStyle w:val="24"/>
              <w:bidi w:val="0"/>
              <w:rPr>
                <w:rFonts w:hint="eastAsia"/>
                <w:lang w:val="en-US"/>
              </w:rPr>
            </w:pPr>
            <w:r>
              <w:rPr>
                <w:rFonts w:hint="eastAsia"/>
                <w:lang w:val="en-US"/>
              </w:rPr>
              <w:t>TK0301</w:t>
            </w:r>
          </w:p>
        </w:tc>
        <w:tc>
          <w:tcPr>
            <w:tcW w:w="1740" w:type="dxa"/>
            <w:shd w:val="clear" w:color="auto" w:fill="auto"/>
            <w:vAlign w:val="center"/>
          </w:tcPr>
          <w:p>
            <w:pPr>
              <w:pStyle w:val="24"/>
              <w:bidi w:val="0"/>
              <w:rPr>
                <w:rFonts w:hint="eastAsia"/>
                <w:lang w:val="en-US"/>
              </w:rPr>
            </w:pPr>
            <w:r>
              <w:rPr>
                <w:rFonts w:hint="eastAsia"/>
                <w:lang w:val="en-US"/>
              </w:rPr>
              <w:t>固定顶+氮封+保冷+制冷</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苯乙烯、丙烯酸甲酯、甲基丙烯酸甲酯、碳九（裂解碳九）；</w:t>
            </w:r>
          </w:p>
          <w:p>
            <w:pPr>
              <w:pStyle w:val="24"/>
              <w:bidi w:val="0"/>
              <w:rPr>
                <w:rFonts w:hint="eastAsia"/>
                <w:lang w:val="en-US"/>
              </w:rPr>
            </w:pPr>
            <w:r>
              <w:rPr>
                <w:rFonts w:hint="eastAsia"/>
                <w:lang w:val="en-US"/>
              </w:rPr>
              <w:t>（货种合计：4种）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TK0302</w:t>
            </w:r>
          </w:p>
        </w:tc>
        <w:tc>
          <w:tcPr>
            <w:tcW w:w="1740" w:type="dxa"/>
            <w:shd w:val="clear" w:color="auto" w:fill="auto"/>
            <w:vAlign w:val="center"/>
          </w:tcPr>
          <w:p>
            <w:pPr>
              <w:pStyle w:val="24"/>
              <w:bidi w:val="0"/>
              <w:rPr>
                <w:rFonts w:hint="eastAsia"/>
                <w:lang w:val="en-US"/>
              </w:rPr>
            </w:pPr>
            <w:r>
              <w:rPr>
                <w:rFonts w:hint="eastAsia"/>
                <w:lang w:val="en-US"/>
              </w:rPr>
              <w:t>固定顶+氮封+保冷+制冷</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苯乙烯、乙酸乙烯酯、丙烯酸甲酯、甲基丙烯酸甲酯、碳九（裂解碳九）；</w:t>
            </w:r>
          </w:p>
          <w:p>
            <w:pPr>
              <w:pStyle w:val="24"/>
              <w:bidi w:val="0"/>
              <w:rPr>
                <w:rFonts w:hint="eastAsia"/>
                <w:lang w:val="en-US"/>
              </w:rPr>
            </w:pPr>
            <w:r>
              <w:rPr>
                <w:rFonts w:hint="eastAsia"/>
                <w:lang w:val="en-US"/>
              </w:rPr>
              <w:t>（货种合计：5种）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TK0303</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vMerge w:val="restart"/>
            <w:shd w:val="clear" w:color="auto" w:fill="auto"/>
            <w:vAlign w:val="center"/>
          </w:tcPr>
          <w:p>
            <w:pPr>
              <w:pStyle w:val="24"/>
              <w:bidi w:val="0"/>
              <w:rPr>
                <w:rFonts w:hint="eastAsia"/>
                <w:lang w:val="en-US"/>
              </w:rPr>
            </w:pPr>
            <w:r>
              <w:rPr>
                <w:rFonts w:hint="eastAsia"/>
                <w:lang w:val="en-US"/>
              </w:rPr>
              <w:t>碳九（裂解碳九）；乙酸乙烯酯、甲苯、混合二甲苯、三甲苯、正丁醇、异丙醇、环己酮、环己烷、碳酸甲乙酯、碳酸二乙酯、正丙醇；</w:t>
            </w:r>
          </w:p>
          <w:p>
            <w:pPr>
              <w:pStyle w:val="24"/>
              <w:bidi w:val="0"/>
              <w:rPr>
                <w:rFonts w:hint="eastAsia"/>
                <w:lang w:val="en-US"/>
              </w:rPr>
            </w:pPr>
            <w:r>
              <w:rPr>
                <w:rFonts w:hint="eastAsia"/>
                <w:lang w:val="en-US"/>
              </w:rPr>
              <w:t>（货种合计：12种）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TK0304</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TK0305</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vMerge w:val="restart"/>
            <w:shd w:val="clear" w:color="auto" w:fill="auto"/>
            <w:vAlign w:val="center"/>
          </w:tcPr>
          <w:p>
            <w:pPr>
              <w:pStyle w:val="24"/>
              <w:bidi w:val="0"/>
              <w:rPr>
                <w:rFonts w:hint="eastAsia"/>
                <w:lang w:val="en-US"/>
              </w:rPr>
            </w:pPr>
            <w:r>
              <w:rPr>
                <w:rFonts w:hint="eastAsia"/>
                <w:lang w:val="en-US"/>
              </w:rPr>
              <w:t>碳九（裂解碳九）</w:t>
            </w:r>
            <w:r>
              <w:rPr>
                <w:lang w:val="en-US"/>
              </w:rPr>
              <w:t>；</w:t>
            </w:r>
            <w:r>
              <w:rPr>
                <w:rFonts w:hint="eastAsia"/>
                <w:lang w:val="en-US"/>
              </w:rPr>
              <w:t>甲苯、混合二甲苯、三甲苯、环己酮、环己烷、乙酸乙烯酯、正丁醇、异丙醇、碳酸甲乙酯、碳酸二乙酯、正丙醇；</w:t>
            </w:r>
          </w:p>
          <w:p>
            <w:pPr>
              <w:pStyle w:val="24"/>
              <w:bidi w:val="0"/>
              <w:rPr>
                <w:rFonts w:hint="eastAsia"/>
                <w:lang w:val="en-US"/>
              </w:rPr>
            </w:pPr>
            <w:r>
              <w:rPr>
                <w:rFonts w:hint="eastAsia"/>
                <w:lang w:val="en-US"/>
              </w:rPr>
              <w:t>（货种合计：12种）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TK0306</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3"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TK0307</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内浮顶+氮封+保温</w:t>
            </w:r>
          </w:p>
        </w:tc>
        <w:tc>
          <w:tcPr>
            <w:tcW w:w="6606" w:type="dxa"/>
            <w:vMerge w:val="restart"/>
            <w:shd w:val="clear" w:color="auto" w:fill="auto"/>
            <w:vAlign w:val="center"/>
          </w:tcPr>
          <w:p>
            <w:pPr>
              <w:pStyle w:val="24"/>
              <w:bidi w:val="0"/>
              <w:rPr>
                <w:rFonts w:hint="eastAsia"/>
                <w:lang w:val="en-US"/>
              </w:rPr>
            </w:pPr>
            <w:r>
              <w:rPr>
                <w:rFonts w:hint="eastAsia"/>
                <w:lang w:val="en-US"/>
              </w:rPr>
              <w:t>碳九（裂解碳九）；甲苯、三甲苯、环己酮、环己烷、正丁醇、混合二甲苯、乙酸乙烯酯、异丙醇、碳酸甲乙酯、碳酸二乙酯；碳酸二甲酯；</w:t>
            </w:r>
          </w:p>
          <w:p>
            <w:pPr>
              <w:pStyle w:val="24"/>
              <w:bidi w:val="0"/>
              <w:rPr>
                <w:rFonts w:hint="eastAsia"/>
                <w:lang w:val="en-US"/>
              </w:rPr>
            </w:pPr>
            <w:r>
              <w:rPr>
                <w:rFonts w:hint="eastAsia"/>
                <w:lang w:val="en-US"/>
              </w:rPr>
              <w:t>（货种合计：12种）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TK0308</w:t>
            </w:r>
          </w:p>
        </w:tc>
        <w:tc>
          <w:tcPr>
            <w:tcW w:w="1740" w:type="dxa"/>
            <w:shd w:val="clear" w:color="auto" w:fill="auto"/>
            <w:vAlign w:val="center"/>
          </w:tcPr>
          <w:p>
            <w:pPr>
              <w:pStyle w:val="24"/>
              <w:bidi w:val="0"/>
              <w:rPr>
                <w:rFonts w:hint="eastAsia"/>
                <w:lang w:val="en-US"/>
              </w:rPr>
            </w:pPr>
            <w:r>
              <w:rPr>
                <w:rFonts w:hint="eastAsia"/>
                <w:lang w:val="en-US"/>
              </w:rPr>
              <w:t>固定顶+氮封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内浮顶+氮封+保温</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4#罐组（甲B）</w:t>
            </w:r>
          </w:p>
        </w:tc>
        <w:tc>
          <w:tcPr>
            <w:tcW w:w="1303" w:type="dxa"/>
            <w:shd w:val="clear" w:color="auto" w:fill="auto"/>
            <w:vAlign w:val="center"/>
          </w:tcPr>
          <w:p>
            <w:pPr>
              <w:pStyle w:val="24"/>
              <w:bidi w:val="0"/>
              <w:rPr>
                <w:rFonts w:hint="eastAsia"/>
                <w:lang w:val="en-US"/>
              </w:rPr>
            </w:pPr>
            <w:r>
              <w:rPr>
                <w:rFonts w:hint="eastAsia"/>
                <w:lang w:val="en-US"/>
              </w:rPr>
              <w:t>TK0401</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甲苯、汽油、柴油、混合二甲苯、轻质燃料油（燃料油）、混合芳烃、二乙二醇；</w:t>
            </w:r>
          </w:p>
          <w:p>
            <w:pPr>
              <w:pStyle w:val="24"/>
              <w:bidi w:val="0"/>
              <w:rPr>
                <w:rFonts w:hint="eastAsia"/>
                <w:lang w:val="en-US"/>
              </w:rPr>
            </w:pPr>
            <w:r>
              <w:rPr>
                <w:rFonts w:hint="eastAsia"/>
                <w:lang w:val="en-US"/>
              </w:rPr>
              <w:t>（货种合计：7种）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TK0402</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TK0403</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甲苯、汽油、柴油、混合二甲苯、轻质燃料油（燃料油）、混合芳烃、二乙二醇；</w:t>
            </w:r>
          </w:p>
          <w:p>
            <w:pPr>
              <w:pStyle w:val="24"/>
              <w:bidi w:val="0"/>
              <w:rPr>
                <w:rFonts w:hint="eastAsia"/>
                <w:lang w:val="en-US"/>
              </w:rPr>
            </w:pPr>
            <w:r>
              <w:rPr>
                <w:rFonts w:hint="eastAsia"/>
                <w:lang w:val="en-US"/>
              </w:rPr>
              <w:t>（货种合计：7种）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TK0404</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5#罐组（甲B）</w:t>
            </w:r>
          </w:p>
        </w:tc>
        <w:tc>
          <w:tcPr>
            <w:tcW w:w="1303" w:type="dxa"/>
            <w:shd w:val="clear" w:color="auto" w:fill="auto"/>
            <w:vAlign w:val="center"/>
          </w:tcPr>
          <w:p>
            <w:pPr>
              <w:pStyle w:val="24"/>
              <w:bidi w:val="0"/>
              <w:rPr>
                <w:rFonts w:hint="eastAsia"/>
                <w:lang w:val="en-US"/>
              </w:rPr>
            </w:pPr>
            <w:r>
              <w:rPr>
                <w:rFonts w:hint="eastAsia"/>
                <w:lang w:val="en-US"/>
              </w:rPr>
              <w:t>TK0501</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氮封</w:t>
            </w:r>
            <w:r>
              <w:rPr>
                <w:rFonts w:hint="eastAsia"/>
                <w:lang w:val="en-US" w:eastAsia="zh-CN"/>
              </w:rPr>
              <w:t>+</w:t>
            </w:r>
            <w:r>
              <w:rPr>
                <w:rFonts w:hint="eastAsia"/>
                <w:lang w:val="en-US"/>
              </w:rPr>
              <w:t>保温，取消内浮盘</w:t>
            </w:r>
          </w:p>
        </w:tc>
        <w:tc>
          <w:tcPr>
            <w:tcW w:w="6606" w:type="dxa"/>
            <w:shd w:val="clear" w:color="auto" w:fill="auto"/>
            <w:vAlign w:val="center"/>
          </w:tcPr>
          <w:p>
            <w:pPr>
              <w:pStyle w:val="24"/>
              <w:bidi w:val="0"/>
              <w:rPr>
                <w:rFonts w:hint="eastAsia"/>
                <w:lang w:val="en-US"/>
              </w:rPr>
            </w:pPr>
            <w:r>
              <w:rPr>
                <w:rFonts w:hint="eastAsia"/>
                <w:lang w:val="en-US"/>
              </w:rPr>
              <w:t>氢氧化钠溶液（液碱，32%）、有机热载体、烷基苯、二乙二醇、乙二醇、棕榈酸油；氢氧化钠溶液（液碱，50.0%）；</w:t>
            </w:r>
          </w:p>
          <w:p>
            <w:pPr>
              <w:pStyle w:val="24"/>
              <w:bidi w:val="0"/>
              <w:rPr>
                <w:rFonts w:hint="eastAsia"/>
                <w:lang w:val="en-US"/>
              </w:rPr>
            </w:pPr>
            <w:r>
              <w:rPr>
                <w:rFonts w:hint="eastAsia"/>
                <w:lang w:val="en-US"/>
              </w:rPr>
              <w:t>（货种合计：7种）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TK0502</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eastAsia="zh-Hans"/>
              </w:rPr>
            </w:pPr>
            <w:r>
              <w:rPr>
                <w:rFonts w:hint="eastAsia"/>
                <w:lang w:val="en-US" w:eastAsia="zh-Hans"/>
              </w:rPr>
              <w:t>是</w:t>
            </w:r>
          </w:p>
        </w:tc>
        <w:tc>
          <w:tcPr>
            <w:tcW w:w="1907" w:type="dxa"/>
            <w:shd w:val="clear" w:color="auto" w:fill="auto"/>
            <w:vAlign w:val="center"/>
          </w:tcPr>
          <w:p>
            <w:pPr>
              <w:pStyle w:val="24"/>
              <w:bidi w:val="0"/>
              <w:rPr>
                <w:rFonts w:hint="eastAsia"/>
                <w:lang w:val="en-US"/>
              </w:rPr>
            </w:pPr>
            <w:r>
              <w:rPr>
                <w:rFonts w:hint="eastAsia"/>
                <w:lang w:val="en-US"/>
              </w:rPr>
              <w:t>氮封</w:t>
            </w:r>
            <w:r>
              <w:rPr>
                <w:rFonts w:hint="eastAsia"/>
                <w:lang w:val="en-US" w:eastAsia="zh-CN"/>
              </w:rPr>
              <w:t>，</w:t>
            </w:r>
            <w:r>
              <w:rPr>
                <w:rFonts w:hint="eastAsia"/>
                <w:lang w:val="en-US"/>
              </w:rPr>
              <w:t>取消内浮盘</w:t>
            </w:r>
          </w:p>
        </w:tc>
        <w:tc>
          <w:tcPr>
            <w:tcW w:w="6606" w:type="dxa"/>
            <w:shd w:val="clear" w:color="auto" w:fill="auto"/>
            <w:vAlign w:val="center"/>
          </w:tcPr>
          <w:p>
            <w:pPr>
              <w:pStyle w:val="24"/>
              <w:bidi w:val="0"/>
              <w:rPr>
                <w:rFonts w:hint="eastAsia"/>
                <w:lang w:val="en-US"/>
              </w:rPr>
            </w:pPr>
            <w:r>
              <w:rPr>
                <w:rFonts w:hint="eastAsia"/>
                <w:lang w:val="en-US"/>
              </w:rPr>
              <w:t>氢氧化钠溶液（液碱，32%）、有机热载体、烷基苯、二乙二醇、乙二醇、棕榈酸油、变压器油；</w:t>
            </w:r>
          </w:p>
          <w:p>
            <w:pPr>
              <w:pStyle w:val="24"/>
              <w:bidi w:val="0"/>
              <w:rPr>
                <w:rFonts w:hint="eastAsia"/>
                <w:lang w:val="en-US"/>
              </w:rPr>
            </w:pPr>
            <w:r>
              <w:rPr>
                <w:rFonts w:hint="eastAsia"/>
                <w:lang w:val="en-US"/>
              </w:rPr>
              <w:t>（货种合计：7种）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TK0503</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氢氧化钠溶液（液碱，32%）、有机热载体、烷基苯、二乙二醇、乙二醇、棕榈酸油、变压器油；</w:t>
            </w:r>
          </w:p>
          <w:p>
            <w:pPr>
              <w:pStyle w:val="24"/>
              <w:bidi w:val="0"/>
              <w:rPr>
                <w:rFonts w:hint="eastAsia"/>
                <w:lang w:val="en-US"/>
              </w:rPr>
            </w:pPr>
            <w:r>
              <w:rPr>
                <w:rFonts w:hint="eastAsia"/>
                <w:lang w:val="en-US"/>
              </w:rPr>
              <w:t>（货种合计：7种）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TK0504</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氢氧化钠溶液（液碱，32%）、有机热载体、烷基苯、乙二醇、二乙二醇、棕榈酸油、润滑油（基础油）；</w:t>
            </w:r>
          </w:p>
          <w:p>
            <w:pPr>
              <w:pStyle w:val="24"/>
              <w:bidi w:val="0"/>
              <w:rPr>
                <w:rFonts w:hint="eastAsia"/>
                <w:lang w:val="en-US"/>
              </w:rPr>
            </w:pPr>
            <w:r>
              <w:rPr>
                <w:rFonts w:hint="eastAsia"/>
                <w:lang w:val="en-US"/>
              </w:rPr>
              <w:t>（货种合计：7种）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TK0505</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氢氧化钠溶液（液碱，32%）、有机热载体、烷基苯、乙二醇、二乙二醇、棕榈酸油、润滑油（基础油）；</w:t>
            </w:r>
          </w:p>
          <w:p>
            <w:pPr>
              <w:pStyle w:val="24"/>
              <w:bidi w:val="0"/>
              <w:rPr>
                <w:rFonts w:hint="eastAsia"/>
                <w:lang w:val="en-US"/>
              </w:rPr>
            </w:pPr>
            <w:r>
              <w:rPr>
                <w:rFonts w:hint="eastAsia"/>
                <w:lang w:val="en-US"/>
              </w:rPr>
              <w:t>（货种合计：7种）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6#罐组（甲B）</w:t>
            </w:r>
          </w:p>
        </w:tc>
        <w:tc>
          <w:tcPr>
            <w:tcW w:w="1303" w:type="dxa"/>
            <w:shd w:val="clear" w:color="auto" w:fill="auto"/>
            <w:vAlign w:val="center"/>
          </w:tcPr>
          <w:p>
            <w:pPr>
              <w:pStyle w:val="24"/>
              <w:bidi w:val="0"/>
              <w:rPr>
                <w:rFonts w:hint="eastAsia"/>
                <w:lang w:val="en-US"/>
              </w:rPr>
            </w:pPr>
            <w:r>
              <w:rPr>
                <w:rFonts w:hint="eastAsia"/>
                <w:lang w:val="en-US"/>
              </w:rPr>
              <w:t>TK0601</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汽油、柴油、生物柴油、脂肪酸甲酯、煤油（航空煤油）、石脑油、抽余油、3#喷气燃料、甲基叔丁基醚、混合芳烃、辛烷、环己烷、甲苯、混合二甲苯、三甲苯、重芳烃、甲醇、乙醇、轻油、粗白油、己烷；</w:t>
            </w:r>
          </w:p>
          <w:p>
            <w:pPr>
              <w:pStyle w:val="24"/>
              <w:bidi w:val="0"/>
              <w:rPr>
                <w:rFonts w:hint="eastAsia"/>
                <w:lang w:val="en-US"/>
              </w:rPr>
            </w:pPr>
            <w:r>
              <w:rPr>
                <w:rFonts w:hint="eastAsia"/>
                <w:lang w:val="en-US"/>
              </w:rPr>
              <w:t>（货种合计：21种）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TK0602</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TK0603</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汽油、柴油、生物柴油、脂肪酸甲酯、煤油（航空煤油）、石脑油、抽余油、3#喷气燃料、甲基叔丁基醚、混合芳烃、辛烷、环己烷、甲苯、混合二甲苯、三甲苯、重芳烃、甲醇、乙醇、轻油、粗白油、己烷；</w:t>
            </w:r>
          </w:p>
          <w:p>
            <w:pPr>
              <w:pStyle w:val="24"/>
              <w:bidi w:val="0"/>
              <w:rPr>
                <w:rFonts w:hint="eastAsia"/>
                <w:lang w:val="en-US"/>
              </w:rPr>
            </w:pPr>
            <w:r>
              <w:rPr>
                <w:rFonts w:hint="eastAsia"/>
                <w:lang w:val="en-US"/>
              </w:rPr>
              <w:t>（货种合计：21种）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TK0604</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汽油、柴油、生物柴油、脂肪酸甲酯、煤油（航空煤油）、石脑油、抽余油、3#喷气燃料、甲基叔丁基醚、混合芳烃、辛烷、环己烷、甲苯、混合二甲苯、三甲苯、重芳烃、甲醇、乙醇、轻油、粗白油、己烷；</w:t>
            </w:r>
          </w:p>
          <w:p>
            <w:pPr>
              <w:pStyle w:val="24"/>
              <w:bidi w:val="0"/>
              <w:rPr>
                <w:rFonts w:hint="eastAsia"/>
                <w:lang w:val="en-US"/>
              </w:rPr>
            </w:pPr>
            <w:r>
              <w:rPr>
                <w:rFonts w:hint="eastAsia"/>
                <w:lang w:val="en-US"/>
              </w:rPr>
              <w:t>（货种合计：21种）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TK0605</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汽油、柴油、生物柴油、脂肪酸甲酯、煤油（航空煤油）、石脑油、抽余油、3#喷气燃料、甲基叔丁基醚、混合芳烃、辛烷、环己烷、甲苯、混合二甲苯、三甲苯、重芳烃、甲醇、乙醇、轻油、粗白油、己烷；</w:t>
            </w:r>
          </w:p>
          <w:p>
            <w:pPr>
              <w:pStyle w:val="24"/>
              <w:bidi w:val="0"/>
              <w:rPr>
                <w:rFonts w:hint="eastAsia"/>
                <w:lang w:val="en-US"/>
              </w:rPr>
            </w:pPr>
            <w:r>
              <w:rPr>
                <w:rFonts w:hint="eastAsia"/>
                <w:lang w:val="en-US"/>
              </w:rPr>
              <w:t>（货种合计：21种）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TK0606</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TK0607</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汽油、柴油、生物柴油、脂肪酸甲酯、煤油（航空煤油）、轻油、粗白油、石脑油、抽余油、3#喷气燃料、甲基叔丁基醚、混合芳烃、辛烷、环己烷、甲苯、混合二甲苯、三甲苯、重芳烃、甲醇、乙醇、己烷；</w:t>
            </w:r>
          </w:p>
          <w:p>
            <w:pPr>
              <w:pStyle w:val="24"/>
              <w:bidi w:val="0"/>
              <w:rPr>
                <w:rFonts w:hint="eastAsia"/>
                <w:lang w:val="en-US"/>
              </w:rPr>
            </w:pPr>
            <w:r>
              <w:rPr>
                <w:rFonts w:hint="eastAsia"/>
                <w:lang w:val="en-US"/>
              </w:rPr>
              <w:t>（货种合计：21种）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TK0608</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r>
              <w:rPr>
                <w:rFonts w:hint="eastAsia"/>
                <w:lang w:val="en-US" w:eastAsia="zh-CN"/>
              </w:rPr>
              <w:t>+</w:t>
            </w:r>
            <w:r>
              <w:rPr>
                <w:rFonts w:hint="eastAsia"/>
                <w:lang w:val="en-US"/>
              </w:rPr>
              <w:t>保温+伴热</w:t>
            </w:r>
          </w:p>
        </w:tc>
        <w:tc>
          <w:tcPr>
            <w:tcW w:w="6606" w:type="dxa"/>
            <w:shd w:val="clear" w:color="auto" w:fill="auto"/>
            <w:vAlign w:val="center"/>
          </w:tcPr>
          <w:p>
            <w:pPr>
              <w:pStyle w:val="24"/>
              <w:bidi w:val="0"/>
              <w:rPr>
                <w:rFonts w:hint="eastAsia"/>
                <w:lang w:val="en-US"/>
              </w:rPr>
            </w:pPr>
            <w:r>
              <w:rPr>
                <w:rFonts w:hint="eastAsia"/>
                <w:lang w:val="en-US"/>
              </w:rPr>
              <w:t>汽油、柴油、生物柴油、脂肪酸甲酯、煤油（航空煤油）、石脑油、抽余油、3#喷气燃料、甲基叔丁基醚、混合芳烃、辛烷、环己烷、甲苯、混合二甲苯、三甲苯、重芳烃、甲醇、轻油、粗白油；对二甲苯；</w:t>
            </w:r>
          </w:p>
          <w:p>
            <w:pPr>
              <w:pStyle w:val="24"/>
              <w:bidi w:val="0"/>
              <w:rPr>
                <w:rFonts w:hint="eastAsia"/>
                <w:lang w:val="en-US"/>
              </w:rPr>
            </w:pPr>
            <w:r>
              <w:rPr>
                <w:rFonts w:hint="eastAsia"/>
                <w:lang w:val="en-US"/>
              </w:rPr>
              <w:t>（货种合计：20种）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46"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TK0609</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r>
              <w:rPr>
                <w:rFonts w:hint="eastAsia"/>
                <w:lang w:val="en-US" w:eastAsia="zh-CN"/>
              </w:rPr>
              <w:t>+</w:t>
            </w:r>
            <w:r>
              <w:rPr>
                <w:rFonts w:hint="eastAsia"/>
                <w:lang w:val="en-US"/>
              </w:rPr>
              <w:t>保温+伴热</w:t>
            </w:r>
          </w:p>
        </w:tc>
        <w:tc>
          <w:tcPr>
            <w:tcW w:w="6606" w:type="dxa"/>
            <w:vMerge w:val="restart"/>
            <w:shd w:val="clear" w:color="auto" w:fill="auto"/>
            <w:vAlign w:val="center"/>
          </w:tcPr>
          <w:p>
            <w:pPr>
              <w:pStyle w:val="24"/>
              <w:bidi w:val="0"/>
              <w:rPr>
                <w:rFonts w:hint="eastAsia"/>
                <w:lang w:val="en-US"/>
              </w:rPr>
            </w:pPr>
            <w:r>
              <w:rPr>
                <w:rFonts w:hint="eastAsia"/>
                <w:lang w:val="en-US"/>
              </w:rPr>
              <w:t>汽油、柴油、生物柴油、脂肪酸甲酯、煤油（航空煤油）、石脑油、抽余油、3#喷气燃料、甲基叔丁基醚、混合芳烃、辛烷、环己烷、甲苯、混合二甲苯、三甲苯、重芳烃、甲醇、轻油、粗白油；对二甲苯；</w:t>
            </w:r>
          </w:p>
          <w:p>
            <w:pPr>
              <w:pStyle w:val="24"/>
              <w:bidi w:val="0"/>
              <w:rPr>
                <w:rFonts w:hint="eastAsia"/>
                <w:lang w:val="en-US"/>
              </w:rPr>
            </w:pPr>
            <w:r>
              <w:rPr>
                <w:rFonts w:hint="eastAsia"/>
                <w:lang w:val="en-US"/>
              </w:rPr>
              <w:t>（货种合计：20种）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TK0610</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r>
              <w:rPr>
                <w:rFonts w:hint="eastAsia"/>
                <w:lang w:val="en-US" w:eastAsia="zh-CN"/>
              </w:rPr>
              <w:t>+</w:t>
            </w:r>
            <w:r>
              <w:rPr>
                <w:rFonts w:hint="eastAsia"/>
                <w:lang w:val="en-US"/>
              </w:rPr>
              <w:t>保温+伴热</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TK0611</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shd w:val="clear" w:color="auto" w:fill="auto"/>
            <w:vAlign w:val="center"/>
          </w:tcPr>
          <w:p>
            <w:pPr>
              <w:pStyle w:val="24"/>
              <w:bidi w:val="0"/>
              <w:rPr>
                <w:rFonts w:hint="eastAsia"/>
                <w:lang w:val="en-US"/>
              </w:rPr>
            </w:pPr>
            <w:r>
              <w:rPr>
                <w:rFonts w:hint="eastAsia"/>
                <w:lang w:val="en-US"/>
              </w:rPr>
              <w:t>乙醇、二甲基甲酰胺（DMF）、乙二醇；</w:t>
            </w:r>
          </w:p>
          <w:p>
            <w:pPr>
              <w:pStyle w:val="24"/>
              <w:bidi w:val="0"/>
              <w:rPr>
                <w:rFonts w:hint="eastAsia"/>
                <w:lang w:val="en-US"/>
              </w:rPr>
            </w:pPr>
            <w:r>
              <w:rPr>
                <w:rFonts w:hint="eastAsia"/>
                <w:lang w:val="en-US"/>
              </w:rPr>
              <w:t>（货种合计：3种）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7#罐组（甲B）</w:t>
            </w:r>
          </w:p>
        </w:tc>
        <w:tc>
          <w:tcPr>
            <w:tcW w:w="1303" w:type="dxa"/>
            <w:shd w:val="clear" w:color="auto" w:fill="auto"/>
            <w:vAlign w:val="center"/>
          </w:tcPr>
          <w:p>
            <w:pPr>
              <w:pStyle w:val="24"/>
              <w:bidi w:val="0"/>
              <w:rPr>
                <w:rFonts w:hint="eastAsia"/>
                <w:lang w:val="en-US"/>
              </w:rPr>
            </w:pPr>
            <w:r>
              <w:rPr>
                <w:rFonts w:hint="eastAsia"/>
                <w:lang w:val="en-US"/>
              </w:rPr>
              <w:t>TK0701</w:t>
            </w:r>
          </w:p>
        </w:tc>
        <w:tc>
          <w:tcPr>
            <w:tcW w:w="1740" w:type="dxa"/>
            <w:shd w:val="clear" w:color="auto" w:fill="auto"/>
            <w:vAlign w:val="center"/>
          </w:tcPr>
          <w:p>
            <w:pPr>
              <w:pStyle w:val="24"/>
              <w:bidi w:val="0"/>
              <w:rPr>
                <w:rFonts w:hint="eastAsia"/>
                <w:lang w:val="en-US"/>
              </w:rPr>
            </w:pPr>
            <w:r>
              <w:rPr>
                <w:rFonts w:hint="eastAsia"/>
                <w:lang w:val="en-US"/>
              </w:rPr>
              <w:t>内浮顶+氮封+保温+伴热</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1,2-二氯乙烷；苯；</w:t>
            </w:r>
          </w:p>
          <w:p>
            <w:pPr>
              <w:pStyle w:val="24"/>
              <w:bidi w:val="0"/>
              <w:rPr>
                <w:rFonts w:hint="eastAsia"/>
                <w:lang w:val="en-US"/>
              </w:rPr>
            </w:pPr>
            <w:r>
              <w:rPr>
                <w:rFonts w:hint="eastAsia"/>
                <w:lang w:val="en-US"/>
              </w:rPr>
              <w:t>（货种合计：2种）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TK0702</w:t>
            </w:r>
          </w:p>
        </w:tc>
        <w:tc>
          <w:tcPr>
            <w:tcW w:w="1740" w:type="dxa"/>
            <w:shd w:val="clear" w:color="auto" w:fill="auto"/>
            <w:vAlign w:val="center"/>
          </w:tcPr>
          <w:p>
            <w:pPr>
              <w:pStyle w:val="24"/>
              <w:bidi w:val="0"/>
              <w:rPr>
                <w:rFonts w:hint="eastAsia"/>
                <w:lang w:val="en-US"/>
              </w:rPr>
            </w:pPr>
            <w:r>
              <w:rPr>
                <w:rFonts w:hint="eastAsia"/>
                <w:lang w:val="en-US"/>
              </w:rPr>
              <w:t>内浮顶+氮封+保温+伴热</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TK0703</w:t>
            </w:r>
          </w:p>
        </w:tc>
        <w:tc>
          <w:tcPr>
            <w:tcW w:w="1740" w:type="dxa"/>
            <w:shd w:val="clear" w:color="auto" w:fill="auto"/>
            <w:vAlign w:val="center"/>
          </w:tcPr>
          <w:p>
            <w:pPr>
              <w:pStyle w:val="24"/>
              <w:bidi w:val="0"/>
              <w:rPr>
                <w:rFonts w:hint="eastAsia"/>
                <w:lang w:val="en-US"/>
              </w:rPr>
            </w:pPr>
            <w:r>
              <w:rPr>
                <w:rFonts w:hint="eastAsia"/>
                <w:lang w:val="en-US"/>
              </w:rPr>
              <w:t>内浮顶+氮封+保温+伴热</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1,2-二氯乙烷；苯；</w:t>
            </w:r>
          </w:p>
          <w:p>
            <w:pPr>
              <w:pStyle w:val="24"/>
              <w:bidi w:val="0"/>
              <w:rPr>
                <w:rFonts w:hint="eastAsia"/>
                <w:lang w:val="en-US"/>
              </w:rPr>
            </w:pPr>
            <w:r>
              <w:rPr>
                <w:rFonts w:hint="eastAsia"/>
                <w:lang w:val="en-US"/>
              </w:rPr>
              <w:t>（货种合计：2种）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TK0704</w:t>
            </w:r>
          </w:p>
        </w:tc>
        <w:tc>
          <w:tcPr>
            <w:tcW w:w="1740" w:type="dxa"/>
            <w:shd w:val="clear" w:color="auto" w:fill="auto"/>
            <w:vAlign w:val="center"/>
          </w:tcPr>
          <w:p>
            <w:pPr>
              <w:pStyle w:val="24"/>
              <w:bidi w:val="0"/>
              <w:rPr>
                <w:rFonts w:hint="eastAsia"/>
                <w:lang w:val="en-US"/>
              </w:rPr>
            </w:pPr>
            <w:r>
              <w:rPr>
                <w:rFonts w:hint="eastAsia"/>
                <w:lang w:val="en-US"/>
              </w:rPr>
              <w:t>内浮顶+氮封+保温+伴热</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TK0705</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r>
              <w:rPr>
                <w:rFonts w:hint="eastAsia"/>
                <w:lang w:val="en-US" w:eastAsia="zh-CN"/>
              </w:rPr>
              <w:t>+罐体</w:t>
            </w:r>
            <w:r>
              <w:rPr>
                <w:rFonts w:hint="eastAsia"/>
                <w:lang w:val="en-US"/>
              </w:rPr>
              <w:t>保温+</w:t>
            </w:r>
            <w:r>
              <w:rPr>
                <w:rFonts w:hint="eastAsia"/>
                <w:lang w:val="en-US" w:eastAsia="zh-CN"/>
              </w:rPr>
              <w:t>管线保温</w:t>
            </w:r>
            <w:r>
              <w:rPr>
                <w:rFonts w:hint="eastAsia"/>
                <w:lang w:val="en-US"/>
              </w:rPr>
              <w:t>伴热</w:t>
            </w:r>
          </w:p>
        </w:tc>
        <w:tc>
          <w:tcPr>
            <w:tcW w:w="6606" w:type="dxa"/>
            <w:vMerge w:val="restart"/>
            <w:shd w:val="clear" w:color="auto" w:fill="auto"/>
            <w:vAlign w:val="center"/>
          </w:tcPr>
          <w:p>
            <w:pPr>
              <w:pStyle w:val="24"/>
              <w:bidi w:val="0"/>
              <w:rPr>
                <w:rFonts w:hint="eastAsia"/>
                <w:lang w:val="en-US"/>
              </w:rPr>
            </w:pPr>
            <w:r>
              <w:rPr>
                <w:rFonts w:hint="eastAsia"/>
                <w:lang w:val="en-US"/>
              </w:rPr>
              <w:t>苯、1,2-二氯乙烷；</w:t>
            </w:r>
          </w:p>
          <w:p>
            <w:pPr>
              <w:pStyle w:val="24"/>
              <w:bidi w:val="0"/>
              <w:rPr>
                <w:rFonts w:hint="eastAsia"/>
                <w:lang w:val="en-US"/>
              </w:rPr>
            </w:pPr>
            <w:r>
              <w:rPr>
                <w:rFonts w:hint="eastAsia"/>
                <w:lang w:val="en-US"/>
              </w:rPr>
              <w:t>（货种合计：2种）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TK0706</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是</w:t>
            </w:r>
          </w:p>
        </w:tc>
        <w:tc>
          <w:tcPr>
            <w:tcW w:w="1907" w:type="dxa"/>
            <w:shd w:val="clear" w:color="auto" w:fill="auto"/>
            <w:vAlign w:val="center"/>
          </w:tcPr>
          <w:p>
            <w:pPr>
              <w:pStyle w:val="24"/>
              <w:bidi w:val="0"/>
              <w:rPr>
                <w:rFonts w:hint="eastAsia"/>
                <w:lang w:val="en-US"/>
              </w:rPr>
            </w:pPr>
            <w:r>
              <w:rPr>
                <w:rFonts w:hint="eastAsia"/>
                <w:lang w:val="en-US"/>
              </w:rPr>
              <w:t>内浮顶+氮封</w:t>
            </w:r>
            <w:r>
              <w:rPr>
                <w:rFonts w:hint="eastAsia"/>
                <w:lang w:val="en-US" w:eastAsia="zh-CN"/>
              </w:rPr>
              <w:t>+罐体</w:t>
            </w:r>
            <w:r>
              <w:rPr>
                <w:rFonts w:hint="eastAsia"/>
                <w:lang w:val="en-US"/>
              </w:rPr>
              <w:t>保温+</w:t>
            </w:r>
            <w:r>
              <w:rPr>
                <w:rFonts w:hint="eastAsia"/>
                <w:lang w:val="en-US" w:eastAsia="zh-CN"/>
              </w:rPr>
              <w:t>管线保温</w:t>
            </w:r>
            <w:r>
              <w:rPr>
                <w:rFonts w:hint="eastAsia"/>
                <w:lang w:val="en-US"/>
              </w:rPr>
              <w:t>伴热</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1558" w:type="dxa"/>
            <w:vMerge w:val="restart"/>
            <w:shd w:val="clear" w:color="auto" w:fill="auto"/>
            <w:vAlign w:val="center"/>
          </w:tcPr>
          <w:p>
            <w:pPr>
              <w:pStyle w:val="24"/>
              <w:bidi w:val="0"/>
              <w:rPr>
                <w:rFonts w:hint="eastAsia"/>
                <w:lang w:val="en-US"/>
              </w:rPr>
            </w:pPr>
            <w:r>
              <w:rPr>
                <w:rFonts w:hint="eastAsia"/>
                <w:lang w:val="en-US"/>
              </w:rPr>
              <w:t>8#罐组（甲B）</w:t>
            </w:r>
          </w:p>
        </w:tc>
        <w:tc>
          <w:tcPr>
            <w:tcW w:w="1303" w:type="dxa"/>
            <w:shd w:val="clear" w:color="auto" w:fill="auto"/>
            <w:vAlign w:val="center"/>
          </w:tcPr>
          <w:p>
            <w:pPr>
              <w:pStyle w:val="24"/>
              <w:bidi w:val="0"/>
              <w:rPr>
                <w:rFonts w:hint="eastAsia"/>
                <w:lang w:val="en-US"/>
              </w:rPr>
            </w:pPr>
            <w:r>
              <w:rPr>
                <w:rFonts w:hint="eastAsia"/>
                <w:lang w:val="en-US"/>
              </w:rPr>
              <w:t>TK0801</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甲醇、柴油、汽油、煤油（航空煤油）、生物柴油、3#喷气燃料、甲基叔丁基醚、混合芳烃、混合二甲苯、三甲苯、重芳烃、脂肪酸甲酯、粗白油；</w:t>
            </w:r>
          </w:p>
          <w:p>
            <w:pPr>
              <w:pStyle w:val="24"/>
              <w:bidi w:val="0"/>
              <w:rPr>
                <w:rFonts w:hint="eastAsia"/>
                <w:lang w:val="en-US"/>
              </w:rPr>
            </w:pPr>
            <w:r>
              <w:rPr>
                <w:rFonts w:hint="eastAsia"/>
                <w:lang w:val="en-US"/>
              </w:rPr>
              <w:t>（货种合计：13种）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TK0802</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TK0803</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甲醇、柴油、汽油、煤油（航空煤油）、生物柴油、3#喷气燃料、甲基叔丁基醚、混合芳烃、混合二甲苯、三甲苯、重芳烃、脂肪酸甲酯、粗白油；</w:t>
            </w:r>
          </w:p>
          <w:p>
            <w:pPr>
              <w:pStyle w:val="24"/>
              <w:bidi w:val="0"/>
              <w:rPr>
                <w:rFonts w:hint="eastAsia"/>
                <w:lang w:val="en-US"/>
              </w:rPr>
            </w:pPr>
            <w:r>
              <w:rPr>
                <w:rFonts w:hint="eastAsia"/>
                <w:lang w:val="en-US"/>
              </w:rPr>
              <w:t>（货种合计：13种）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TK0804</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TK0805</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甲醇、柴油、汽油、煤油（航空煤油）、生物柴油、3#喷气燃料、甲基叔丁基醚、混合芳烃、混合二甲苯、三甲苯、重芳烃、脂肪酸甲酯、粗白油；</w:t>
            </w:r>
          </w:p>
          <w:p>
            <w:pPr>
              <w:pStyle w:val="24"/>
              <w:bidi w:val="0"/>
              <w:rPr>
                <w:rFonts w:hint="eastAsia"/>
                <w:lang w:val="en-US"/>
              </w:rPr>
            </w:pPr>
            <w:r>
              <w:rPr>
                <w:rFonts w:hint="eastAsia"/>
                <w:lang w:val="en-US"/>
              </w:rPr>
              <w:t>（货种合计：13种）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TK0806</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4"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TK0807</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甲醇、柴油、汽油、煤油（航空煤油）、生物柴油、3#喷气燃料、甲基叔丁基醚、混合芳烃、混合二甲苯、三甲苯、重芳烃、脂肪酸甲酯、粗白油；</w:t>
            </w:r>
          </w:p>
          <w:p>
            <w:pPr>
              <w:pStyle w:val="24"/>
              <w:bidi w:val="0"/>
              <w:rPr>
                <w:rFonts w:hint="eastAsia"/>
                <w:lang w:val="en-US"/>
              </w:rPr>
            </w:pPr>
            <w:r>
              <w:rPr>
                <w:rFonts w:hint="eastAsia"/>
                <w:lang w:val="en-US"/>
              </w:rPr>
              <w:t>（货种合计：13种）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8"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TK0808</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9"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TK0809</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restart"/>
            <w:shd w:val="clear" w:color="auto" w:fill="auto"/>
            <w:vAlign w:val="center"/>
          </w:tcPr>
          <w:p>
            <w:pPr>
              <w:pStyle w:val="24"/>
              <w:bidi w:val="0"/>
              <w:rPr>
                <w:rFonts w:hint="eastAsia"/>
                <w:lang w:val="en-US"/>
              </w:rPr>
            </w:pPr>
            <w:r>
              <w:rPr>
                <w:rFonts w:hint="eastAsia"/>
                <w:lang w:val="en-US"/>
              </w:rPr>
              <w:t>甲醇、柴油、汽油、煤油（航空煤油）、生物柴油、3#喷气燃料、甲基叔丁基醚、混合芳烃、混合二甲苯、三甲苯、重芳烃、脂肪酸甲酯、粗白油；</w:t>
            </w:r>
          </w:p>
          <w:p>
            <w:pPr>
              <w:pStyle w:val="24"/>
              <w:bidi w:val="0"/>
              <w:rPr>
                <w:rFonts w:hint="eastAsia"/>
                <w:lang w:val="en-US"/>
              </w:rPr>
            </w:pPr>
            <w:r>
              <w:rPr>
                <w:rFonts w:hint="eastAsia"/>
                <w:lang w:val="en-US"/>
              </w:rPr>
              <w:t>（货种合计：13种）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558" w:type="dxa"/>
            <w:vMerge w:val="continue"/>
            <w:shd w:val="clear" w:color="auto" w:fill="auto"/>
            <w:vAlign w:val="center"/>
          </w:tcPr>
          <w:p>
            <w:pPr>
              <w:pStyle w:val="24"/>
              <w:bidi w:val="0"/>
              <w:rPr>
                <w:rFonts w:hint="eastAsia"/>
                <w:lang w:val="en-US"/>
              </w:rPr>
            </w:pPr>
          </w:p>
        </w:tc>
        <w:tc>
          <w:tcPr>
            <w:tcW w:w="1303" w:type="dxa"/>
            <w:shd w:val="clear" w:color="auto" w:fill="auto"/>
            <w:vAlign w:val="center"/>
          </w:tcPr>
          <w:p>
            <w:pPr>
              <w:pStyle w:val="24"/>
              <w:bidi w:val="0"/>
              <w:rPr>
                <w:rFonts w:hint="eastAsia"/>
                <w:lang w:val="en-US"/>
              </w:rPr>
            </w:pPr>
            <w:r>
              <w:rPr>
                <w:rFonts w:hint="eastAsia"/>
                <w:lang w:val="en-US"/>
              </w:rPr>
              <w:t>TK0810</w:t>
            </w:r>
          </w:p>
        </w:tc>
        <w:tc>
          <w:tcPr>
            <w:tcW w:w="1740" w:type="dxa"/>
            <w:shd w:val="clear" w:color="auto" w:fill="auto"/>
            <w:vAlign w:val="center"/>
          </w:tcPr>
          <w:p>
            <w:pPr>
              <w:pStyle w:val="24"/>
              <w:bidi w:val="0"/>
              <w:rPr>
                <w:rFonts w:hint="eastAsia"/>
                <w:lang w:val="en-US"/>
              </w:rPr>
            </w:pPr>
            <w:r>
              <w:rPr>
                <w:rFonts w:hint="eastAsia"/>
                <w:lang w:val="en-US"/>
              </w:rPr>
              <w:t>内浮顶+氮封</w:t>
            </w:r>
          </w:p>
        </w:tc>
        <w:tc>
          <w:tcPr>
            <w:tcW w:w="1049" w:type="dxa"/>
            <w:shd w:val="clear" w:color="auto" w:fill="auto"/>
            <w:vAlign w:val="center"/>
          </w:tcPr>
          <w:p>
            <w:pPr>
              <w:pStyle w:val="24"/>
              <w:bidi w:val="0"/>
              <w:rPr>
                <w:rFonts w:hint="eastAsia"/>
                <w:lang w:val="en-US"/>
              </w:rPr>
            </w:pPr>
            <w:r>
              <w:rPr>
                <w:rFonts w:hint="eastAsia"/>
                <w:lang w:val="en-US"/>
              </w:rPr>
              <w:t>否</w:t>
            </w:r>
          </w:p>
        </w:tc>
        <w:tc>
          <w:tcPr>
            <w:tcW w:w="1907" w:type="dxa"/>
            <w:shd w:val="clear" w:color="auto" w:fill="auto"/>
            <w:vAlign w:val="center"/>
          </w:tcPr>
          <w:p>
            <w:pPr>
              <w:pStyle w:val="24"/>
              <w:bidi w:val="0"/>
              <w:rPr>
                <w:rFonts w:hint="eastAsia"/>
                <w:lang w:val="en-US"/>
              </w:rPr>
            </w:pPr>
            <w:r>
              <w:rPr>
                <w:rFonts w:hint="eastAsia"/>
                <w:lang w:val="en-US"/>
              </w:rPr>
              <w:t>/</w:t>
            </w:r>
          </w:p>
        </w:tc>
        <w:tc>
          <w:tcPr>
            <w:tcW w:w="6606" w:type="dxa"/>
            <w:vMerge w:val="continue"/>
            <w:shd w:val="clear" w:color="auto" w:fill="auto"/>
            <w:vAlign w:val="center"/>
          </w:tcPr>
          <w:p>
            <w:pPr>
              <w:pStyle w:val="24"/>
              <w:bidi w:val="0"/>
              <w:rPr>
                <w:rFonts w:hint="eastAsia"/>
                <w:lang w:val="en-US"/>
              </w:rPr>
            </w:pPr>
          </w:p>
        </w:tc>
      </w:tr>
    </w:tbl>
    <w:p>
      <w:pPr>
        <w:pStyle w:val="19"/>
        <w:spacing w:before="156" w:beforeLines="50"/>
        <w:ind w:firstLine="480"/>
        <w:rPr>
          <w:lang w:val="en-US"/>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8"/>
      </w:pPr>
      <w:r>
        <w:t>3.</w:t>
      </w:r>
      <w:r>
        <w:rPr>
          <w:rFonts w:hint="eastAsia"/>
          <w:lang w:val="en-US" w:eastAsia="zh-CN"/>
        </w:rPr>
        <w:t>3</w:t>
      </w:r>
      <w:r>
        <w:t>.3 项目平面布置</w:t>
      </w:r>
    </w:p>
    <w:p>
      <w:pPr>
        <w:pStyle w:val="19"/>
        <w:ind w:firstLine="480"/>
        <w:rPr>
          <w:lang w:val="en-US"/>
        </w:rPr>
      </w:pPr>
      <w:r>
        <w:rPr>
          <w:lang w:val="en-US"/>
        </w:rPr>
        <w:t>湄洲湾港斗尾港区斗尾作业区港丰石化仓储</w:t>
      </w:r>
      <w:r>
        <w:rPr>
          <w:rFonts w:hint="eastAsia"/>
          <w:lang w:val="en-US" w:eastAsia="zh-Hans"/>
        </w:rPr>
        <w:t>项目</w:t>
      </w:r>
      <w:r>
        <w:rPr>
          <w:lang w:val="en-US"/>
        </w:rPr>
        <w:t>由浙江省天正设计工程有限公司</w:t>
      </w:r>
      <w:r>
        <w:t>、</w:t>
      </w:r>
      <w:r>
        <w:rPr>
          <w:rFonts w:hint="eastAsia"/>
          <w:lang w:val="en-US"/>
        </w:rPr>
        <w:t>福建省石油化学工业设计院有限公司</w:t>
      </w:r>
      <w:r>
        <w:rPr>
          <w:rFonts w:hint="eastAsia"/>
          <w:lang w:val="en-US" w:eastAsia="zh-Hans"/>
        </w:rPr>
        <w:t>设计</w:t>
      </w:r>
      <w:r>
        <w:rPr>
          <w:lang w:eastAsia="zh-Hans"/>
        </w:rPr>
        <w:t>，</w:t>
      </w:r>
      <w:r>
        <w:rPr>
          <w:lang w:val="en-US"/>
        </w:rPr>
        <w:t>中建三局第三建设工程有限责任公司</w:t>
      </w:r>
      <w:r>
        <w:t>、</w:t>
      </w:r>
      <w:r>
        <w:rPr>
          <w:lang w:eastAsia="zh-Hans"/>
        </w:rPr>
        <w:t>广东省化州市建筑工程总公司第二公司负责工程建设，</w:t>
      </w:r>
      <w:r>
        <w:rPr>
          <w:lang w:val="en-US"/>
        </w:rPr>
        <w:t>福建省实华建设监理有限责任公司负责工程监理、环境监理工作。</w:t>
      </w:r>
    </w:p>
    <w:p>
      <w:pPr>
        <w:pStyle w:val="19"/>
        <w:ind w:firstLine="480"/>
        <w:rPr>
          <w:lang w:val="en-US"/>
        </w:rPr>
      </w:pPr>
      <w:r>
        <w:rPr>
          <w:lang w:val="en-US"/>
        </w:rPr>
        <w:t>库区工程主要包括：储罐区（包括桶装库区）、装卸区、生产辅助区和行政管理区等。厂区平面布置见图3.</w:t>
      </w:r>
      <w:r>
        <w:rPr>
          <w:rFonts w:hint="eastAsia"/>
          <w:lang w:val="en-US" w:eastAsia="zh-CN"/>
        </w:rPr>
        <w:t>3</w:t>
      </w:r>
      <w:r>
        <w:rPr>
          <w:lang w:val="en-US"/>
        </w:rPr>
        <w:t>-1，具体描述如下：</w:t>
      </w:r>
    </w:p>
    <w:p>
      <w:pPr>
        <w:pStyle w:val="19"/>
        <w:ind w:firstLine="480"/>
      </w:pPr>
      <w:r>
        <w:t>（1）储罐区（包括桶装库区）</w:t>
      </w:r>
    </w:p>
    <w:p>
      <w:pPr>
        <w:pStyle w:val="19"/>
        <w:ind w:firstLine="480"/>
      </w:pPr>
      <w:r>
        <w:rPr>
          <w:rFonts w:hint="eastAsia"/>
          <w:lang w:val="en-US" w:eastAsia="zh-Hans"/>
        </w:rPr>
        <w:t>本项目</w:t>
      </w:r>
      <w:r>
        <w:t>储罐区</w:t>
      </w:r>
      <w:r>
        <w:rPr>
          <w:rFonts w:hint="eastAsia"/>
          <w:lang w:val="en-US" w:eastAsia="zh-Hans"/>
        </w:rPr>
        <w:t>总体</w:t>
      </w:r>
      <w:r>
        <w:t>布置</w:t>
      </w:r>
      <w:r>
        <w:rPr>
          <w:lang w:val="en-US"/>
        </w:rPr>
        <w:t>于</w:t>
      </w:r>
      <w:r>
        <w:t>库区东面，储罐区</w:t>
      </w:r>
      <w:r>
        <w:rPr>
          <w:rFonts w:ascii="Times New Roman" w:hAnsi="Times New Roman" w:eastAsiaTheme="minorEastAsia"/>
          <w:color w:val="000000" w:themeColor="text1"/>
          <w:sz w:val="24"/>
          <w:szCs w:val="24"/>
          <w:highlight w:val="none"/>
          <w:u w:val="none" w:color="auto"/>
          <w:lang w:val="en-GB"/>
          <w14:textFill>
            <w14:solidFill>
              <w14:schemeClr w14:val="tx1"/>
            </w14:solidFill>
          </w14:textFill>
        </w:rPr>
        <w:t>北面自西向东布置1#-4#罐组、生产辅助用房三和污水处理站，其南侧布置罐组泵棚和东西向管廊，通向码头和汽车装卸区</w:t>
      </w:r>
      <w:r>
        <w:rPr>
          <w:rFonts w:ascii="Times New Roman" w:hAnsi="Times New Roman" w:eastAsiaTheme="minorEastAsia"/>
          <w:color w:val="000000" w:themeColor="text1"/>
          <w:sz w:val="24"/>
          <w:szCs w:val="24"/>
          <w:highlight w:val="none"/>
          <w:u w:val="none" w:color="auto"/>
          <w14:textFill>
            <w14:solidFill>
              <w14:schemeClr w14:val="tx1"/>
            </w14:solidFill>
          </w14:textFill>
        </w:rPr>
        <w:t>；</w:t>
      </w:r>
      <w:r>
        <w:rPr>
          <w:rFonts w:hint="eastAsia"/>
        </w:rPr>
        <w:t>中部从北向南布置5#</w:t>
      </w:r>
      <w:r>
        <w:t>～</w:t>
      </w:r>
      <w:r>
        <w:rPr>
          <w:rFonts w:hint="eastAsia"/>
        </w:rPr>
        <w:t>6#罐组，5#罐组泵棚布置在东端、与管道交换站2合并布置，紧靠东西向管廊。6#罐组泵棚布置在罐组西面，紧靠南北向管廊。南面从西向东布置7#和8#罐组，罐组北端布置泵棚、管廊与南北向管廊连接，通向码头和汽车装卸区。1#</w:t>
      </w:r>
      <w:r>
        <w:rPr>
          <w:rFonts w:hint="default"/>
        </w:rPr>
        <w:t>～</w:t>
      </w:r>
      <w:r>
        <w:rPr>
          <w:rFonts w:hint="eastAsia"/>
        </w:rPr>
        <w:t>4#罐组各设置一个消防环道，5#、6#、7#、8#罐组分别设置消防环道，道路宽度9m，其中路面宽度为7m，一个消防环道内罐组防火堤之间设置大于7m的消防空地。目前库区通过西南面设置专用道路与外部疏港道路连接，货运出入口设置在西南角，在储罐区西北面设置消防应急口通向中化库区专用道路。</w:t>
      </w:r>
    </w:p>
    <w:p>
      <w:pPr>
        <w:pStyle w:val="19"/>
        <w:ind w:firstLine="480"/>
      </w:pPr>
      <w:r>
        <w:t>（2）装卸区</w:t>
      </w:r>
    </w:p>
    <w:p>
      <w:pPr>
        <w:pStyle w:val="19"/>
        <w:ind w:firstLine="480"/>
      </w:pPr>
      <w:r>
        <w:t>由于库内外高差大，为减缓道路纵坡度，汽车装卸区紧靠储罐区布置在5#罐组西面，使其紧邻储罐区，</w:t>
      </w:r>
      <w:r>
        <w:rPr>
          <w:lang w:val="en-US"/>
        </w:rPr>
        <w:t>同时可</w:t>
      </w:r>
      <w:r>
        <w:t>缩短相互之间的管线</w:t>
      </w:r>
      <w:r>
        <w:rPr>
          <w:lang w:val="en-US"/>
        </w:rPr>
        <w:t>距离</w:t>
      </w:r>
      <w:r>
        <w:t>。库区货运出入口设置在汽车装卸区西面，其外设置道路连接进库专用道路，道路纵坡小于6%。</w:t>
      </w:r>
      <w:r>
        <w:rPr>
          <w:rFonts w:hint="eastAsia"/>
        </w:rPr>
        <w:t>装卸区从南向北布置装车站二、装车站一和装车桶间，以满足不同装卸需要。</w:t>
      </w:r>
    </w:p>
    <w:p>
      <w:pPr>
        <w:pStyle w:val="19"/>
        <w:ind w:firstLine="480"/>
      </w:pPr>
      <w:r>
        <w:t>（3）辅助生产区</w:t>
      </w:r>
    </w:p>
    <w:p>
      <w:pPr>
        <w:pStyle w:val="19"/>
        <w:ind w:firstLine="480"/>
        <w:rPr>
          <w:lang w:eastAsia="zh-Hans"/>
        </w:rPr>
      </w:pPr>
      <w:r>
        <w:rPr>
          <w:lang w:val="en-US"/>
        </w:rPr>
        <w:t>项目</w:t>
      </w:r>
      <w:r>
        <w:t>生产辅助区结合库区其余三个功能区分散就近布置。其中生产辅助用房一利用地形高差布置在综合楼</w:t>
      </w:r>
      <w:r>
        <w:rPr>
          <w:rFonts w:hint="eastAsia"/>
          <w:lang w:val="en-US" w:eastAsia="zh-Hans"/>
        </w:rPr>
        <w:t>东</w:t>
      </w:r>
      <w:r>
        <w:t>面，其背面三角地块布置生产辅助用房二，平面呈U型。生产辅助用房二西侧与货运道路之间</w:t>
      </w:r>
      <w:r>
        <w:rPr>
          <w:rFonts w:hint="eastAsia"/>
          <w:lang w:val="en-US" w:eastAsia="zh-Hans"/>
        </w:rPr>
        <w:t>设置</w:t>
      </w:r>
      <w:r>
        <w:rPr>
          <w:lang w:eastAsia="zh-Hans"/>
        </w:rPr>
        <w:t>2</w:t>
      </w:r>
      <w:r>
        <w:rPr>
          <w:rFonts w:hint="eastAsia"/>
          <w:lang w:val="en-US" w:eastAsia="zh-Hans"/>
        </w:rPr>
        <w:t>个</w:t>
      </w:r>
      <w:r>
        <w:t>5000m</w:t>
      </w:r>
      <w:r>
        <w:rPr>
          <w:vertAlign w:val="superscript"/>
        </w:rPr>
        <w:t>3</w:t>
      </w:r>
      <w:r>
        <w:t>消防水罐。</w:t>
      </w:r>
      <w:r>
        <w:rPr>
          <w:rFonts w:hint="eastAsia"/>
        </w:rPr>
        <w:t>产辅助用房三、污水处理站、消防事故水池布置在库区东北角</w:t>
      </w:r>
      <w:r>
        <w:rPr>
          <w:rFonts w:hint="default"/>
        </w:rPr>
        <w:t>。</w:t>
      </w:r>
      <w:r>
        <w:rPr>
          <w:lang w:val="en-US"/>
        </w:rPr>
        <w:t>总平布置</w:t>
      </w:r>
      <w:r>
        <w:t>将办公管理区和储罐区进行有效隔离，减小二者之间的影响。</w:t>
      </w:r>
    </w:p>
    <w:p>
      <w:pPr>
        <w:pStyle w:val="19"/>
        <w:ind w:firstLine="480"/>
      </w:pPr>
      <w:r>
        <w:t>（4）行政管理区</w:t>
      </w:r>
    </w:p>
    <w:p>
      <w:pPr>
        <w:pStyle w:val="19"/>
        <w:ind w:firstLine="480"/>
      </w:pPr>
      <w:r>
        <w:t>由于库区只有西南面设有连接外部疏港公路的专用道路，且西南角用地地势较高，因此将办公管理区布置在西南面，南临进库专用道路，中间设置人员出入口。</w:t>
      </w:r>
      <w:r>
        <w:rPr>
          <w:rFonts w:hint="eastAsia"/>
        </w:rPr>
        <w:t>将办公、控制等功能组合成</w:t>
      </w:r>
      <w:r>
        <w:t>3层综合楼，南偏东布置，东面设置挡土墙，上部设栏杆，与生产辅助区分隔，组成办公管理区，并通过设置楼梯与生产辅助区连接。</w:t>
      </w:r>
      <w:r>
        <w:rPr>
          <w:rFonts w:hint="eastAsia"/>
        </w:rPr>
        <w:t>综合楼与生产辅助用房一之间设置办公区出入口，与进库货运道路相连。</w:t>
      </w:r>
    </w:p>
    <w:p>
      <w:pPr>
        <w:pStyle w:val="19"/>
        <w:ind w:firstLine="480"/>
      </w:pPr>
      <w:r>
        <w:rPr>
          <w:lang w:val="en-US"/>
        </w:rPr>
        <w:t>综上</w:t>
      </w:r>
      <w:r>
        <w:t>，</w:t>
      </w:r>
      <w:r>
        <w:rPr>
          <w:lang w:val="en-US"/>
        </w:rPr>
        <w:t>项目</w:t>
      </w:r>
      <w:r>
        <w:t>总平布置根据储运工艺流程特点，各罐组尽量靠近码头一侧；装卸区尽量靠近储罐区，同时也与库区外运输道路有机衔接。各罐组布置相对整齐、紧凑，储罐和输送泵尽量靠近，管道走向短捷便利。负荷中心位于用能设备集中的地段，较耗能设备靠近负荷中心，以减小能耗损失。同时，行政管理区设置在项目的西南角，靠近杜厝村；罐组、污水站</w:t>
      </w:r>
      <w:r>
        <w:rPr>
          <w:lang w:val="en-US"/>
        </w:rPr>
        <w:t>等</w:t>
      </w:r>
      <w:r>
        <w:t>风险源放置在码头一侧，远离杜厝村。</w:t>
      </w:r>
    </w:p>
    <w:p>
      <w:pPr>
        <w:pStyle w:val="19"/>
        <w:ind w:firstLine="480"/>
        <w:rPr>
          <w:lang w:val="en-US" w:eastAsia="zh-Hans"/>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19"/>
        <w:ind w:firstLine="0" w:firstLineChars="0"/>
        <w:jc w:val="center"/>
        <w:rPr>
          <w:lang w:val="en-US"/>
        </w:rPr>
      </w:pPr>
      <w:r>
        <w:rPr>
          <w:lang w:val="en-US"/>
        </w:rPr>
        <w:drawing>
          <wp:inline distT="0" distB="0" distL="114300" distR="114300">
            <wp:extent cx="11317605" cy="7992745"/>
            <wp:effectExtent l="9525" t="9525" r="26670" b="17780"/>
            <wp:docPr id="8" name="图片 8" descr="总平布置图_2022032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总平布置图_20220321_00"/>
                    <pic:cNvPicPr>
                      <a:picLocks noChangeAspect="1"/>
                    </pic:cNvPicPr>
                  </pic:nvPicPr>
                  <pic:blipFill>
                    <a:blip r:embed="rId12" cstate="print"/>
                    <a:stretch>
                      <a:fillRect/>
                    </a:stretch>
                  </pic:blipFill>
                  <pic:spPr>
                    <a:xfrm>
                      <a:off x="0" y="0"/>
                      <a:ext cx="11317605" cy="7992745"/>
                    </a:xfrm>
                    <a:prstGeom prst="rect">
                      <a:avLst/>
                    </a:prstGeom>
                    <a:ln>
                      <a:solidFill>
                        <a:schemeClr val="tx1"/>
                      </a:solidFill>
                    </a:ln>
                  </pic:spPr>
                </pic:pic>
              </a:graphicData>
            </a:graphic>
          </wp:inline>
        </w:drawing>
      </w:r>
    </w:p>
    <w:p>
      <w:pPr>
        <w:pStyle w:val="23"/>
        <w:sectPr>
          <w:pgSz w:w="23811" w:h="16837"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图3.</w:t>
      </w:r>
      <w:r>
        <w:rPr>
          <w:rFonts w:hint="eastAsia"/>
          <w:lang w:val="en-US" w:eastAsia="zh-CN"/>
        </w:rPr>
        <w:t>3</w:t>
      </w:r>
      <w:r>
        <w:t xml:space="preserve">-1 </w:t>
      </w:r>
      <w:r>
        <w:rPr>
          <w:rFonts w:hint="eastAsia"/>
          <w:lang w:eastAsia="zh-CN"/>
        </w:rPr>
        <w:t>港丰库区</w:t>
      </w:r>
      <w:r>
        <w:t>总平布置图</w:t>
      </w:r>
    </w:p>
    <w:p>
      <w:pPr>
        <w:pStyle w:val="17"/>
      </w:pPr>
      <w:bookmarkStart w:id="98" w:name="_Toc15903"/>
      <w:r>
        <w:t>3.</w:t>
      </w:r>
      <w:r>
        <w:rPr>
          <w:rFonts w:hint="eastAsia"/>
          <w:lang w:val="en-US" w:eastAsia="zh-CN"/>
        </w:rPr>
        <w:t>4</w:t>
      </w:r>
      <w:r>
        <w:t xml:space="preserve"> 水源及水平衡</w:t>
      </w:r>
      <w:bookmarkEnd w:id="98"/>
    </w:p>
    <w:p>
      <w:pPr>
        <w:pStyle w:val="18"/>
      </w:pPr>
      <w:r>
        <w:t>3.</w:t>
      </w:r>
      <w:r>
        <w:rPr>
          <w:rFonts w:hint="eastAsia"/>
          <w:lang w:val="en-US" w:eastAsia="zh-CN"/>
        </w:rPr>
        <w:t>4</w:t>
      </w:r>
      <w:r>
        <w:t>.1 给水</w:t>
      </w:r>
    </w:p>
    <w:p>
      <w:pPr>
        <w:pStyle w:val="19"/>
        <w:ind w:firstLine="480"/>
        <w:rPr>
          <w:lang w:val="en-US"/>
        </w:rPr>
      </w:pPr>
      <w:r>
        <w:rPr>
          <w:lang w:val="en-US"/>
        </w:rPr>
        <w:t>本项目所处惠安斗尾经济区的用水来自城南水厂，本项目从市政给水管道接入一根DN200自来水管，压力：0.40MPa，水质满足国家</w:t>
      </w:r>
      <w:r>
        <w:rPr>
          <w:rFonts w:hint="eastAsia"/>
          <w:lang w:val="en-US" w:eastAsia="zh-Hans"/>
        </w:rPr>
        <w:t>“</w:t>
      </w:r>
      <w:r>
        <w:rPr>
          <w:lang w:val="en-US"/>
        </w:rPr>
        <w:t>生活饮用水卫生标准</w:t>
      </w:r>
      <w:r>
        <w:rPr>
          <w:rFonts w:hint="eastAsia"/>
          <w:lang w:val="en-US" w:eastAsia="zh-Hans"/>
        </w:rPr>
        <w:t>”</w:t>
      </w:r>
      <w:r>
        <w:rPr>
          <w:lang w:val="en-US"/>
        </w:rPr>
        <w:t>（GB5749-20</w:t>
      </w:r>
      <w:r>
        <w:t>22）</w:t>
      </w:r>
      <w:r>
        <w:rPr>
          <w:lang w:val="en-US"/>
        </w:rPr>
        <w:t>要求。</w:t>
      </w:r>
    </w:p>
    <w:p>
      <w:pPr>
        <w:pStyle w:val="18"/>
      </w:pPr>
      <w:r>
        <w:t>3.</w:t>
      </w:r>
      <w:r>
        <w:rPr>
          <w:rFonts w:hint="eastAsia"/>
          <w:lang w:val="en-US" w:eastAsia="zh-CN"/>
        </w:rPr>
        <w:t>4</w:t>
      </w:r>
      <w:r>
        <w:t>.2 排水</w:t>
      </w:r>
    </w:p>
    <w:p>
      <w:pPr>
        <w:pStyle w:val="19"/>
        <w:bidi w:val="0"/>
        <w:rPr>
          <w:rFonts w:hint="eastAsia"/>
          <w:lang w:val="en-US" w:eastAsia="zh-CN"/>
        </w:rPr>
      </w:pPr>
      <w:r>
        <w:rPr>
          <w:rFonts w:hint="eastAsia"/>
          <w:lang w:val="en-US"/>
        </w:rPr>
        <w:t>现有工程运营期废水包括码头区域废水及仓储区废水，码头废水主要包括船舶洗舱水、码头装卸区冲洗水、初期雨污水；仓储区废水主要包括定期洗罐废水、储罐区初期雨污水、装车棚地面冲洗水、中心化验室废水、机泵维修清洗水、废气洗涤废水及港区生活污水</w:t>
      </w:r>
      <w:r>
        <w:rPr>
          <w:rFonts w:hint="eastAsia"/>
          <w:lang w:val="en-US" w:eastAsia="zh-CN"/>
        </w:rPr>
        <w:t>。</w:t>
      </w:r>
    </w:p>
    <w:p>
      <w:pPr>
        <w:pStyle w:val="19"/>
        <w:bidi w:val="0"/>
        <w:rPr>
          <w:rFonts w:hint="eastAsia"/>
          <w:lang w:val="en-US" w:eastAsia="zh-CN"/>
        </w:rPr>
      </w:pPr>
      <w:r>
        <w:rPr>
          <w:rFonts w:hint="eastAsia"/>
          <w:lang w:val="en-US" w:eastAsia="zh-CN"/>
        </w:rPr>
        <w:t>本次验收监测期间水平衡图见图3.4-1，全厂雨污管网图见图3.4-2。</w:t>
      </w:r>
    </w:p>
    <w:p>
      <w:pPr>
        <w:pStyle w:val="25"/>
        <w:bidi w:val="0"/>
        <w:rPr>
          <w:rFonts w:hint="default"/>
          <w:lang w:val="en-US" w:eastAsia="zh-CN"/>
        </w:rPr>
      </w:pPr>
      <w:r>
        <w:rPr>
          <w:rFonts w:hint="eastAsia"/>
          <w:lang w:val="en-US" w:eastAsia="zh-CN"/>
        </w:rPr>
        <w:t>3.4.2.1 码头废水</w:t>
      </w:r>
    </w:p>
    <w:p>
      <w:pPr>
        <w:pStyle w:val="19"/>
        <w:ind w:firstLine="480"/>
        <w:rPr>
          <w:rFonts w:hint="eastAsia"/>
          <w:lang w:val="en-US" w:eastAsia="zh-CN"/>
        </w:rPr>
      </w:pPr>
      <w:r>
        <w:rPr>
          <w:rFonts w:hint="eastAsia"/>
          <w:lang w:val="en-US" w:eastAsia="zh-CN"/>
        </w:rPr>
        <w:t>（1）船舶强制洗舱水</w:t>
      </w:r>
    </w:p>
    <w:p>
      <w:pPr>
        <w:pStyle w:val="19"/>
        <w:ind w:firstLine="480"/>
        <w:rPr>
          <w:rFonts w:hint="eastAsia"/>
          <w:lang w:val="en-US" w:eastAsia="zh-CN"/>
        </w:rPr>
      </w:pPr>
      <w:r>
        <w:rPr>
          <w:rFonts w:hint="eastAsia"/>
          <w:lang w:val="en-US" w:eastAsia="zh-CN"/>
        </w:rPr>
        <w:t>根据环评核定，洗舱水发生量基本在船舶载重吨的1%左右，结合现有货种（减少邻苯二甲酸二辛酯货种），洗舱废水量约为1670t/a，经洗舱水接收口接收后依托污水管线输送至后方库区污水处理站进行处理。</w:t>
      </w:r>
    </w:p>
    <w:p>
      <w:pPr>
        <w:pStyle w:val="19"/>
        <w:ind w:firstLine="480"/>
        <w:rPr>
          <w:rFonts w:hint="eastAsia"/>
          <w:lang w:val="en-US" w:eastAsia="zh-CN"/>
        </w:rPr>
      </w:pPr>
      <w:r>
        <w:rPr>
          <w:rFonts w:hint="eastAsia"/>
          <w:lang w:val="en-US" w:eastAsia="zh-CN"/>
        </w:rPr>
        <w:t>（2）码头冲洗水</w:t>
      </w:r>
    </w:p>
    <w:p>
      <w:pPr>
        <w:pStyle w:val="19"/>
        <w:ind w:firstLine="480"/>
        <w:rPr>
          <w:rFonts w:hint="eastAsia"/>
          <w:lang w:val="en-US" w:eastAsia="zh-CN"/>
        </w:rPr>
      </w:pPr>
      <w:r>
        <w:rPr>
          <w:rFonts w:hint="eastAsia"/>
          <w:lang w:val="en-US" w:eastAsia="zh-CN"/>
        </w:rPr>
        <w:t>项目码头装卸区作业后根据需要进行清洗，结合实际情况，按平均一周清洗一次，清洗水用量1.1m</w:t>
      </w:r>
      <w:r>
        <w:rPr>
          <w:rFonts w:hint="eastAsia"/>
          <w:vertAlign w:val="superscript"/>
          <w:lang w:val="en-US" w:eastAsia="zh-CN"/>
        </w:rPr>
        <w:t>3</w:t>
      </w:r>
      <w:r>
        <w:rPr>
          <w:rFonts w:hint="eastAsia"/>
          <w:lang w:val="en-US" w:eastAsia="zh-CN"/>
        </w:rPr>
        <w:t>/次，废水量为0.77m</w:t>
      </w:r>
      <w:r>
        <w:rPr>
          <w:rFonts w:hint="eastAsia"/>
          <w:vertAlign w:val="superscript"/>
          <w:lang w:val="en-US" w:eastAsia="zh-CN"/>
        </w:rPr>
        <w:t>3</w:t>
      </w:r>
      <w:r>
        <w:rPr>
          <w:rFonts w:hint="eastAsia"/>
          <w:lang w:val="en-US" w:eastAsia="zh-CN"/>
        </w:rPr>
        <w:t>/次，则码头装卸作业区地面清洗总废水量为37m</w:t>
      </w:r>
      <w:r>
        <w:rPr>
          <w:rFonts w:hint="eastAsia"/>
          <w:vertAlign w:val="superscript"/>
          <w:lang w:val="en-US" w:eastAsia="zh-CN"/>
        </w:rPr>
        <w:t>3</w:t>
      </w:r>
      <w:r>
        <w:rPr>
          <w:rFonts w:hint="eastAsia"/>
          <w:lang w:val="en-US" w:eastAsia="zh-CN"/>
        </w:rPr>
        <w:t>/a。</w:t>
      </w:r>
    </w:p>
    <w:p>
      <w:pPr>
        <w:pStyle w:val="19"/>
        <w:ind w:firstLine="480"/>
      </w:pPr>
      <w:r>
        <w:rPr>
          <w:rFonts w:hint="eastAsia"/>
          <w:lang w:eastAsia="zh-CN"/>
        </w:rPr>
        <w:t>（</w:t>
      </w:r>
      <w:r>
        <w:rPr>
          <w:rFonts w:hint="eastAsia"/>
          <w:lang w:val="en-US" w:eastAsia="zh-CN"/>
        </w:rPr>
        <w:t>3</w:t>
      </w:r>
      <w:r>
        <w:rPr>
          <w:rFonts w:hint="eastAsia"/>
          <w:lang w:eastAsia="zh-CN"/>
        </w:rPr>
        <w:t>）</w:t>
      </w:r>
      <w:r>
        <w:rPr>
          <w:lang w:val="en-US"/>
        </w:rPr>
        <w:t>码头初期雨水</w:t>
      </w:r>
    </w:p>
    <w:p>
      <w:pPr>
        <w:pStyle w:val="19"/>
        <w:ind w:firstLine="480"/>
        <w:rPr>
          <w:rFonts w:hint="eastAsia"/>
          <w:lang w:val="en-US" w:eastAsia="zh-CN"/>
        </w:rPr>
      </w:pPr>
      <w:r>
        <w:rPr>
          <w:rFonts w:hint="eastAsia"/>
          <w:lang w:val="en-US" w:eastAsia="zh-CN"/>
        </w:rPr>
        <w:t>码头装卸区汇水面积按250m</w:t>
      </w:r>
      <w:r>
        <w:rPr>
          <w:rFonts w:hint="eastAsia"/>
          <w:vertAlign w:val="superscript"/>
          <w:lang w:val="en-US" w:eastAsia="zh-CN"/>
        </w:rPr>
        <w:t>2</w:t>
      </w:r>
      <w:r>
        <w:rPr>
          <w:rFonts w:hint="eastAsia"/>
          <w:lang w:val="en-US" w:eastAsia="zh-CN"/>
        </w:rPr>
        <w:t>计算，则一次下雨时码头收集的最大初期雨水量约为5.9m</w:t>
      </w:r>
      <w:r>
        <w:rPr>
          <w:rFonts w:hint="eastAsia"/>
          <w:vertAlign w:val="superscript"/>
          <w:lang w:val="en-US" w:eastAsia="zh-CN"/>
        </w:rPr>
        <w:t>3</w:t>
      </w:r>
      <w:r>
        <w:rPr>
          <w:rFonts w:hint="eastAsia"/>
          <w:lang w:val="en-US" w:eastAsia="zh-CN"/>
        </w:rPr>
        <w:t>/次。根据当地气象条件，年产生初期雨水约177m</w:t>
      </w:r>
      <w:r>
        <w:rPr>
          <w:rFonts w:hint="eastAsia"/>
          <w:vertAlign w:val="superscript"/>
          <w:lang w:val="en-US" w:eastAsia="zh-CN"/>
        </w:rPr>
        <w:t>3</w:t>
      </w:r>
      <w:r>
        <w:rPr>
          <w:rFonts w:hint="eastAsia"/>
          <w:lang w:val="en-US" w:eastAsia="zh-CN"/>
        </w:rPr>
        <w:t>。</w:t>
      </w:r>
    </w:p>
    <w:p>
      <w:pPr>
        <w:pStyle w:val="25"/>
        <w:bidi w:val="0"/>
        <w:rPr>
          <w:rFonts w:hint="default"/>
          <w:lang w:val="en-US" w:eastAsia="zh-CN"/>
        </w:rPr>
      </w:pPr>
      <w:r>
        <w:rPr>
          <w:rFonts w:hint="eastAsia"/>
          <w:lang w:val="en-US" w:eastAsia="zh-CN"/>
        </w:rPr>
        <w:t>3.4.2.2 仓储区废水</w:t>
      </w:r>
    </w:p>
    <w:p>
      <w:pPr>
        <w:pStyle w:val="19"/>
        <w:ind w:firstLine="480"/>
      </w:pPr>
      <w:r>
        <w:t>（</w:t>
      </w:r>
      <w:r>
        <w:rPr>
          <w:rFonts w:hint="eastAsia"/>
          <w:lang w:val="en-US" w:eastAsia="zh-CN"/>
        </w:rPr>
        <w:t>1</w:t>
      </w:r>
      <w:r>
        <w:t>）罐区储罐洗罐废水</w:t>
      </w:r>
    </w:p>
    <w:p>
      <w:pPr>
        <w:pStyle w:val="19"/>
        <w:ind w:firstLine="480"/>
        <w:rPr>
          <w:rFonts w:hint="eastAsia"/>
          <w:lang w:eastAsia="zh-CN"/>
        </w:rPr>
      </w:pPr>
      <w:r>
        <w:rPr>
          <w:rFonts w:hint="eastAsia"/>
          <w:lang w:eastAsia="zh-CN"/>
        </w:rPr>
        <w:t>按《港口工程环境保护设计规范》(JTS149-1-2007)，洗罐污水量可按罐容的3%~5%计算(取3%)，正常油品化工品储罐每3~5年清洗一次。</w:t>
      </w:r>
    </w:p>
    <w:p>
      <w:pPr>
        <w:pStyle w:val="19"/>
        <w:ind w:firstLine="480"/>
      </w:pPr>
      <w:r>
        <w:rPr>
          <w:rFonts w:hint="eastAsia"/>
          <w:lang w:eastAsia="zh-CN"/>
        </w:rPr>
        <w:t>本项目实施后货种更换频率较低，根据企业的生产经验，项目储罐正常为3~</w:t>
      </w:r>
      <w:r>
        <w:rPr>
          <w:lang w:eastAsia="zh-CN"/>
        </w:rPr>
        <w:t>5</w:t>
      </w:r>
      <w:r>
        <w:rPr>
          <w:rFonts w:hint="eastAsia"/>
          <w:lang w:eastAsia="zh-CN"/>
        </w:rPr>
        <w:t>年清洗一次，</w:t>
      </w:r>
      <w:r>
        <w:rPr>
          <w:lang w:eastAsia="zh-CN"/>
        </w:rPr>
        <w:t>1</w:t>
      </w:r>
      <w:r>
        <w:rPr>
          <w:rFonts w:hint="eastAsia"/>
          <w:lang w:eastAsia="zh-CN"/>
        </w:rPr>
        <w:t>0</w:t>
      </w:r>
      <w:r>
        <w:rPr>
          <w:lang w:eastAsia="zh-CN"/>
        </w:rPr>
        <w:t>000</w:t>
      </w:r>
      <w:r>
        <w:rPr>
          <w:rFonts w:hint="eastAsia"/>
          <w:lang w:eastAsia="zh-CN"/>
        </w:rPr>
        <w:t>m</w:t>
      </w:r>
      <w:r>
        <w:rPr>
          <w:vertAlign w:val="superscript"/>
          <w:lang w:eastAsia="zh-CN"/>
        </w:rPr>
        <w:t>3</w:t>
      </w:r>
      <w:r>
        <w:rPr>
          <w:rFonts w:hint="eastAsia"/>
          <w:lang w:eastAsia="zh-CN"/>
        </w:rPr>
        <w:t>以上（不含）储罐按最不利情况2年清洗</w:t>
      </w:r>
      <w:r>
        <w:rPr>
          <w:lang w:eastAsia="zh-CN"/>
        </w:rPr>
        <w:t>1</w:t>
      </w:r>
      <w:r>
        <w:rPr>
          <w:rFonts w:hint="eastAsia"/>
          <w:lang w:eastAsia="zh-CN"/>
        </w:rPr>
        <w:t>次，</w:t>
      </w:r>
      <w:r>
        <w:rPr>
          <w:lang w:eastAsia="zh-CN"/>
        </w:rPr>
        <w:t>1</w:t>
      </w:r>
      <w:r>
        <w:rPr>
          <w:rFonts w:hint="eastAsia"/>
          <w:lang w:eastAsia="zh-CN"/>
        </w:rPr>
        <w:t>0</w:t>
      </w:r>
      <w:r>
        <w:rPr>
          <w:lang w:eastAsia="zh-CN"/>
        </w:rPr>
        <w:t>000</w:t>
      </w:r>
      <w:r>
        <w:rPr>
          <w:rFonts w:hint="eastAsia"/>
          <w:lang w:eastAsia="zh-CN"/>
        </w:rPr>
        <w:t>m</w:t>
      </w:r>
      <w:r>
        <w:rPr>
          <w:lang w:eastAsia="zh-CN"/>
        </w:rPr>
        <w:t>3</w:t>
      </w:r>
      <w:r>
        <w:rPr>
          <w:rFonts w:hint="eastAsia"/>
          <w:lang w:eastAsia="zh-CN"/>
        </w:rPr>
        <w:t>及以下储罐按最不利情况</w:t>
      </w:r>
      <w:r>
        <w:rPr>
          <w:lang w:eastAsia="zh-CN"/>
        </w:rPr>
        <w:t>1</w:t>
      </w:r>
      <w:r>
        <w:rPr>
          <w:rFonts w:hint="eastAsia"/>
          <w:lang w:eastAsia="zh-CN"/>
        </w:rPr>
        <w:t>年清洗</w:t>
      </w:r>
      <w:r>
        <w:rPr>
          <w:lang w:eastAsia="zh-CN"/>
        </w:rPr>
        <w:t>1</w:t>
      </w:r>
      <w:r>
        <w:rPr>
          <w:rFonts w:hint="eastAsia"/>
          <w:lang w:eastAsia="zh-CN"/>
        </w:rPr>
        <w:t>次，更符合企业实际。</w:t>
      </w:r>
    </w:p>
    <w:p>
      <w:pPr>
        <w:pStyle w:val="19"/>
        <w:ind w:firstLine="480"/>
        <w:rPr>
          <w:lang w:val="en-US"/>
        </w:rPr>
      </w:pPr>
      <w:r>
        <w:rPr>
          <w:rFonts w:hint="eastAsia"/>
          <w:lang w:val="en-US" w:eastAsia="zh-CN"/>
        </w:rPr>
        <w:t>罐区</w:t>
      </w:r>
      <w:r>
        <w:rPr>
          <w:lang w:val="en-US" w:eastAsia="zh-CN"/>
        </w:rPr>
        <w:t>1</w:t>
      </w:r>
      <w:r>
        <w:rPr>
          <w:rFonts w:hint="eastAsia"/>
          <w:lang w:val="en-US" w:eastAsia="zh-CN"/>
        </w:rPr>
        <w:t>0</w:t>
      </w:r>
      <w:r>
        <w:rPr>
          <w:lang w:val="en-US" w:eastAsia="zh-CN"/>
        </w:rPr>
        <w:t>000</w:t>
      </w:r>
      <w:r>
        <w:rPr>
          <w:rFonts w:hint="eastAsia"/>
          <w:lang w:val="en-US" w:eastAsia="zh-CN"/>
        </w:rPr>
        <w:t>m</w:t>
      </w:r>
      <w:r>
        <w:rPr>
          <w:vertAlign w:val="superscript"/>
          <w:lang w:val="en-US" w:eastAsia="zh-CN"/>
        </w:rPr>
        <w:t>3</w:t>
      </w:r>
      <w:r>
        <w:rPr>
          <w:rFonts w:hint="eastAsia"/>
          <w:lang w:val="en-US" w:eastAsia="zh-CN"/>
        </w:rPr>
        <w:t>以上（不含）储罐1</w:t>
      </w:r>
      <w:r>
        <w:rPr>
          <w:lang w:val="en-US" w:eastAsia="zh-CN"/>
        </w:rPr>
        <w:t>0</w:t>
      </w:r>
      <w:r>
        <w:rPr>
          <w:rFonts w:hint="eastAsia"/>
          <w:lang w:val="en-US" w:eastAsia="zh-CN"/>
        </w:rPr>
        <w:t>个（罐容15万m</w:t>
      </w:r>
      <w:r>
        <w:rPr>
          <w:rFonts w:hint="eastAsia"/>
          <w:vertAlign w:val="superscript"/>
          <w:lang w:val="en-US" w:eastAsia="zh-CN"/>
        </w:rPr>
        <w:t>3</w:t>
      </w:r>
      <w:r>
        <w:rPr>
          <w:rFonts w:hint="eastAsia"/>
          <w:lang w:val="en-US" w:eastAsia="zh-CN"/>
        </w:rPr>
        <w:t>），废水产生量为4</w:t>
      </w:r>
      <w:r>
        <w:rPr>
          <w:lang w:val="en-US" w:eastAsia="zh-CN"/>
        </w:rPr>
        <w:t>500</w:t>
      </w:r>
      <w:r>
        <w:rPr>
          <w:rFonts w:hint="eastAsia"/>
          <w:lang w:val="en-US" w:eastAsia="zh-CN"/>
        </w:rPr>
        <w:t>m</w:t>
      </w:r>
      <w:r>
        <w:rPr>
          <w:vertAlign w:val="superscript"/>
          <w:lang w:val="en-US" w:eastAsia="zh-CN"/>
        </w:rPr>
        <w:t>3</w:t>
      </w:r>
      <w:r>
        <w:rPr>
          <w:lang w:val="en-US" w:eastAsia="zh-CN"/>
        </w:rPr>
        <w:t>/2</w:t>
      </w:r>
      <w:r>
        <w:rPr>
          <w:rFonts w:hint="eastAsia"/>
          <w:lang w:val="en-US" w:eastAsia="zh-CN"/>
        </w:rPr>
        <w:t>年，折2</w:t>
      </w:r>
      <w:r>
        <w:rPr>
          <w:lang w:val="en-US" w:eastAsia="zh-CN"/>
        </w:rPr>
        <w:t>250</w:t>
      </w:r>
      <w:r>
        <w:rPr>
          <w:rFonts w:hint="eastAsia"/>
          <w:lang w:val="en-US" w:eastAsia="zh-CN"/>
        </w:rPr>
        <w:t>m</w:t>
      </w:r>
      <w:r>
        <w:rPr>
          <w:vertAlign w:val="superscript"/>
          <w:lang w:val="en-US" w:eastAsia="zh-CN"/>
        </w:rPr>
        <w:t>3</w:t>
      </w:r>
      <w:r>
        <w:rPr>
          <w:lang w:val="en-US" w:eastAsia="zh-CN"/>
        </w:rPr>
        <w:t>/</w:t>
      </w:r>
      <w:r>
        <w:rPr>
          <w:rFonts w:hint="eastAsia"/>
          <w:lang w:val="en-US" w:eastAsia="zh-CN"/>
        </w:rPr>
        <w:t>a；</w:t>
      </w:r>
      <w:r>
        <w:rPr>
          <w:lang w:val="en-US" w:eastAsia="zh-CN"/>
        </w:rPr>
        <w:t>1</w:t>
      </w:r>
      <w:r>
        <w:rPr>
          <w:rFonts w:hint="eastAsia"/>
          <w:lang w:val="en-US" w:eastAsia="zh-CN"/>
        </w:rPr>
        <w:t>0</w:t>
      </w:r>
      <w:r>
        <w:rPr>
          <w:lang w:val="en-US" w:eastAsia="zh-CN"/>
        </w:rPr>
        <w:t>000</w:t>
      </w:r>
      <w:r>
        <w:rPr>
          <w:rFonts w:hint="eastAsia"/>
          <w:lang w:val="en-US" w:eastAsia="zh-CN"/>
        </w:rPr>
        <w:t>m</w:t>
      </w:r>
      <w:r>
        <w:rPr>
          <w:vertAlign w:val="superscript"/>
          <w:lang w:val="en-US" w:eastAsia="zh-CN"/>
        </w:rPr>
        <w:t>3</w:t>
      </w:r>
      <w:r>
        <w:rPr>
          <w:rFonts w:hint="eastAsia"/>
          <w:lang w:val="en-US" w:eastAsia="zh-CN"/>
        </w:rPr>
        <w:t>及以下储罐5</w:t>
      </w:r>
      <w:r>
        <w:rPr>
          <w:lang w:val="en-US" w:eastAsia="zh-CN"/>
        </w:rPr>
        <w:t>1</w:t>
      </w:r>
      <w:r>
        <w:rPr>
          <w:rFonts w:hint="eastAsia"/>
          <w:lang w:val="en-US" w:eastAsia="zh-CN"/>
        </w:rPr>
        <w:t>个（罐容29.35万m</w:t>
      </w:r>
      <w:r>
        <w:rPr>
          <w:rFonts w:hint="eastAsia"/>
          <w:vertAlign w:val="superscript"/>
          <w:lang w:val="en-US" w:eastAsia="zh-CN"/>
        </w:rPr>
        <w:t>3</w:t>
      </w:r>
      <w:r>
        <w:rPr>
          <w:rFonts w:hint="eastAsia"/>
          <w:lang w:val="en-US" w:eastAsia="zh-CN"/>
        </w:rPr>
        <w:t>），废水产生量为8</w:t>
      </w:r>
      <w:r>
        <w:rPr>
          <w:lang w:val="en-US" w:eastAsia="zh-CN"/>
        </w:rPr>
        <w:t>805</w:t>
      </w:r>
      <w:r>
        <w:rPr>
          <w:lang w:val="en-US"/>
        </w:rPr>
        <w:t>m</w:t>
      </w:r>
      <w:r>
        <w:rPr>
          <w:vertAlign w:val="superscript"/>
          <w:lang w:val="en-US"/>
        </w:rPr>
        <w:t>3</w:t>
      </w:r>
      <w:r>
        <w:rPr>
          <w:lang w:val="en-US"/>
        </w:rPr>
        <w:t>/a</w:t>
      </w:r>
      <w:r>
        <w:rPr>
          <w:rFonts w:hint="eastAsia"/>
          <w:lang w:val="en-US" w:eastAsia="zh-CN"/>
        </w:rPr>
        <w:t>。本项目实施后洗罐废水平均产生量为</w:t>
      </w:r>
      <w:r>
        <w:rPr>
          <w:lang w:val="en-US" w:eastAsia="zh-CN"/>
        </w:rPr>
        <w:t>11055</w:t>
      </w:r>
      <w:r>
        <w:rPr>
          <w:lang w:val="en-US"/>
        </w:rPr>
        <w:t>m</w:t>
      </w:r>
      <w:r>
        <w:rPr>
          <w:vertAlign w:val="superscript"/>
          <w:lang w:val="en-US"/>
        </w:rPr>
        <w:t>3</w:t>
      </w:r>
      <w:r>
        <w:rPr>
          <w:lang w:val="en-US"/>
        </w:rPr>
        <w:t>/a。</w:t>
      </w:r>
    </w:p>
    <w:p>
      <w:pPr>
        <w:pStyle w:val="19"/>
        <w:ind w:firstLine="480"/>
      </w:pPr>
      <w:r>
        <w:rPr>
          <w:rFonts w:hint="eastAsia"/>
          <w:lang w:eastAsia="zh-CN"/>
        </w:rPr>
        <w:t>（</w:t>
      </w:r>
      <w:r>
        <w:rPr>
          <w:rFonts w:hint="eastAsia"/>
          <w:lang w:val="en-US" w:eastAsia="zh-CN"/>
        </w:rPr>
        <w:t>2</w:t>
      </w:r>
      <w:r>
        <w:rPr>
          <w:rFonts w:hint="eastAsia"/>
          <w:lang w:eastAsia="zh-CN"/>
        </w:rPr>
        <w:t>）</w:t>
      </w:r>
      <w:r>
        <w:rPr>
          <w:lang w:val="en-US"/>
        </w:rPr>
        <w:t>库区初期雨水</w:t>
      </w:r>
    </w:p>
    <w:p>
      <w:pPr>
        <w:pStyle w:val="19"/>
        <w:ind w:firstLine="480"/>
        <w:rPr>
          <w:rFonts w:hint="default"/>
          <w:lang w:eastAsia="zh-Hans"/>
        </w:rPr>
      </w:pPr>
      <w:r>
        <w:rPr>
          <w:lang w:val="en-US"/>
        </w:rPr>
        <w:t>库区各罐组防火堤内雨水排水口均设有分流的阀门及水封井，初期雨水经废水管道收集后各自排入附近的初期雨水池</w:t>
      </w:r>
      <w:r>
        <w:t>；</w:t>
      </w:r>
      <w:r>
        <w:rPr>
          <w:lang w:val="en-US"/>
        </w:rPr>
        <w:t>初期雨水采用废水泵提升送至库区污水处理站统一处理。</w:t>
      </w:r>
      <w:r>
        <w:rPr>
          <w:rFonts w:hint="eastAsia"/>
          <w:lang w:val="en-US" w:eastAsia="zh-CN"/>
        </w:rPr>
        <w:t>库区</w:t>
      </w:r>
      <w:r>
        <w:rPr>
          <w:lang w:val="en-US"/>
        </w:rPr>
        <w:t>初期雨水</w:t>
      </w:r>
      <w:r>
        <w:rPr>
          <w:rFonts w:hint="eastAsia"/>
          <w:lang w:val="en-US" w:eastAsia="zh-Hans"/>
        </w:rPr>
        <w:t>一次产生</w:t>
      </w:r>
      <w:r>
        <w:rPr>
          <w:lang w:val="en-US"/>
        </w:rPr>
        <w:t>量约为</w:t>
      </w:r>
      <w:r>
        <w:rPr>
          <w:rFonts w:hint="default"/>
        </w:rPr>
        <w:t>1170</w:t>
      </w:r>
      <w:r>
        <w:rPr>
          <w:rFonts w:hint="eastAsia"/>
          <w:lang w:val="en-US" w:eastAsia="zh-Hans"/>
        </w:rPr>
        <w:t>.</w:t>
      </w:r>
      <w:r>
        <w:rPr>
          <w:rFonts w:hint="default"/>
          <w:lang w:eastAsia="zh-Hans"/>
        </w:rPr>
        <w:t>3</w:t>
      </w:r>
      <w:r>
        <w:rPr>
          <w:lang w:val="en-US"/>
        </w:rPr>
        <w:t>m</w:t>
      </w:r>
      <w:r>
        <w:rPr>
          <w:vertAlign w:val="superscript"/>
          <w:lang w:val="en-US"/>
        </w:rPr>
        <w:t>3</w:t>
      </w:r>
      <w:r>
        <w:rPr>
          <w:lang w:val="en-US"/>
        </w:rPr>
        <w:t>，</w:t>
      </w:r>
      <w:r>
        <w:rPr>
          <w:rFonts w:hint="eastAsia"/>
          <w:lang w:val="en-US" w:eastAsia="zh-CN"/>
        </w:rPr>
        <w:t>年收集次数按30次计，年产生量约35109</w:t>
      </w:r>
      <w:r>
        <w:rPr>
          <w:lang w:val="en-US"/>
        </w:rPr>
        <w:t>m</w:t>
      </w:r>
      <w:r>
        <w:rPr>
          <w:vertAlign w:val="superscript"/>
          <w:lang w:val="en-US"/>
        </w:rPr>
        <w:t>3</w:t>
      </w:r>
      <w:r>
        <w:rPr>
          <w:rFonts w:hint="eastAsia"/>
          <w:lang w:val="en-US" w:eastAsia="zh-CN"/>
        </w:rPr>
        <w:t>。</w:t>
      </w:r>
      <w:r>
        <w:rPr>
          <w:lang w:val="en-US"/>
        </w:rPr>
        <w:t>建设初期雨水池</w:t>
      </w:r>
      <w:r>
        <w:rPr>
          <w:rFonts w:hint="default"/>
        </w:rPr>
        <w:t>6</w:t>
      </w:r>
      <w:r>
        <w:rPr>
          <w:lang w:val="en-US"/>
        </w:rPr>
        <w:t>座，</w:t>
      </w:r>
      <w:r>
        <w:rPr>
          <w:rFonts w:hint="eastAsia"/>
          <w:lang w:val="en-US" w:eastAsia="zh-Hans"/>
        </w:rPr>
        <w:t>总有效容积</w:t>
      </w:r>
      <w:r>
        <w:rPr>
          <w:lang w:val="en-US"/>
        </w:rPr>
        <w:t>为</w:t>
      </w:r>
      <w:r>
        <w:rPr>
          <w:rFonts w:hint="default"/>
        </w:rPr>
        <w:t>1882</w:t>
      </w:r>
      <w:r>
        <w:rPr>
          <w:rFonts w:hint="eastAsia"/>
          <w:lang w:val="en-US" w:eastAsia="zh-Hans"/>
        </w:rPr>
        <w:t>.</w:t>
      </w:r>
      <w:r>
        <w:rPr>
          <w:rFonts w:hint="default"/>
          <w:lang w:eastAsia="zh-Hans"/>
        </w:rPr>
        <w:t>6</w:t>
      </w:r>
      <w:r>
        <w:rPr>
          <w:lang w:val="en-US"/>
        </w:rPr>
        <w:t>m</w:t>
      </w:r>
      <w:r>
        <w:rPr>
          <w:vertAlign w:val="superscript"/>
          <w:lang w:val="en-US"/>
        </w:rPr>
        <w:t>3</w:t>
      </w:r>
      <w:r>
        <w:rPr>
          <w:lang w:val="en-US"/>
        </w:rPr>
        <w:t>，</w:t>
      </w:r>
      <w:r>
        <w:rPr>
          <w:rFonts w:hint="eastAsia"/>
          <w:lang w:val="en-US" w:eastAsia="zh-Hans"/>
        </w:rPr>
        <w:t>另铺设联通管道</w:t>
      </w:r>
      <w:r>
        <w:rPr>
          <w:rFonts w:hint="default"/>
          <w:lang w:eastAsia="zh-Hans"/>
        </w:rPr>
        <w:t>，</w:t>
      </w:r>
      <w:r>
        <w:rPr>
          <w:rFonts w:hint="eastAsia"/>
          <w:lang w:val="en-US" w:eastAsia="zh-Hans"/>
        </w:rPr>
        <w:t>依托化学品调节池作为初期雨水池的补充</w:t>
      </w:r>
      <w:r>
        <w:rPr>
          <w:lang w:eastAsia="zh-Hans"/>
        </w:rPr>
        <w:t>，</w:t>
      </w:r>
      <w:r>
        <w:rPr>
          <w:lang w:val="en-US"/>
        </w:rPr>
        <w:t>能够满足要求。</w:t>
      </w:r>
    </w:p>
    <w:p>
      <w:pPr>
        <w:pStyle w:val="19"/>
        <w:ind w:firstLine="480"/>
      </w:pPr>
      <w:r>
        <w:t>（</w:t>
      </w:r>
      <w:r>
        <w:rPr>
          <w:rFonts w:hint="eastAsia"/>
          <w:lang w:val="en-US" w:eastAsia="zh-CN"/>
        </w:rPr>
        <w:t>3</w:t>
      </w:r>
      <w:r>
        <w:t>）装车区地面冲洗水</w:t>
      </w:r>
    </w:p>
    <w:p>
      <w:pPr>
        <w:pStyle w:val="19"/>
        <w:ind w:firstLine="480"/>
        <w:rPr>
          <w:lang w:val="en-US"/>
        </w:rPr>
      </w:pPr>
      <w:r>
        <w:rPr>
          <w:lang w:val="en-US"/>
        </w:rPr>
        <w:t>库区罐区装车操作平台作业区总面积约</w:t>
      </w:r>
      <w:r>
        <w:rPr>
          <w:rFonts w:hint="default"/>
        </w:rPr>
        <w:t>3106</w:t>
      </w:r>
      <w:r>
        <w:rPr>
          <w:lang w:val="en-US"/>
        </w:rPr>
        <w:t>m</w:t>
      </w:r>
      <w:r>
        <w:rPr>
          <w:vertAlign w:val="superscript"/>
          <w:lang w:val="en-US"/>
        </w:rPr>
        <w:t>2</w:t>
      </w:r>
      <w:r>
        <w:rPr>
          <w:lang w:val="en-US"/>
        </w:rPr>
        <w:t>，装车作业区地面清洗水按</w:t>
      </w:r>
      <w:r>
        <w:rPr>
          <w:rFonts w:hint="default"/>
        </w:rPr>
        <w:t>4</w:t>
      </w:r>
      <w:r>
        <w:rPr>
          <w:rFonts w:hint="eastAsia"/>
          <w:lang w:val="en-US" w:eastAsia="zh-Hans"/>
        </w:rPr>
        <w:t>.</w:t>
      </w:r>
      <w:r>
        <w:rPr>
          <w:rFonts w:hint="default"/>
          <w:lang w:eastAsia="zh-Hans"/>
        </w:rPr>
        <w:t>5</w:t>
      </w:r>
      <w:r>
        <w:rPr>
          <w:lang w:val="en-US"/>
        </w:rPr>
        <w:t>L/m</w:t>
      </w:r>
      <w:r>
        <w:rPr>
          <w:vertAlign w:val="superscript"/>
          <w:lang w:val="en-US"/>
        </w:rPr>
        <w:t>2</w:t>
      </w:r>
      <w:r>
        <w:rPr>
          <w:lang w:val="en-US"/>
        </w:rPr>
        <w:t>次计算，污水排放系数取0.8，经计算罐区装车操作平台作业区清洗废水量为</w:t>
      </w:r>
      <w:r>
        <w:rPr>
          <w:rFonts w:hint="default"/>
        </w:rPr>
        <w:t>11</w:t>
      </w:r>
      <w:r>
        <w:rPr>
          <w:rFonts w:hint="eastAsia"/>
          <w:lang w:val="en-US" w:eastAsia="zh-Hans"/>
        </w:rPr>
        <w:t>.</w:t>
      </w:r>
      <w:r>
        <w:rPr>
          <w:rFonts w:hint="default"/>
          <w:lang w:eastAsia="zh-Hans"/>
        </w:rPr>
        <w:t>2</w:t>
      </w:r>
      <w:r>
        <w:rPr>
          <w:lang w:val="en-US"/>
        </w:rPr>
        <w:t>m</w:t>
      </w:r>
      <w:r>
        <w:rPr>
          <w:vertAlign w:val="superscript"/>
          <w:lang w:val="en-US"/>
        </w:rPr>
        <w:t>3</w:t>
      </w:r>
      <w:r>
        <w:rPr>
          <w:lang w:val="en-US"/>
        </w:rPr>
        <w:t>/次。</w:t>
      </w:r>
      <w:r>
        <w:rPr>
          <w:rFonts w:hint="eastAsia"/>
          <w:lang w:val="en-US" w:eastAsia="zh-CN"/>
        </w:rPr>
        <w:t>实际</w:t>
      </w:r>
      <w:r>
        <w:rPr>
          <w:rFonts w:hint="eastAsia"/>
          <w:lang w:val="en-US" w:eastAsia="zh-Hans"/>
        </w:rPr>
        <w:t>按</w:t>
      </w:r>
      <w:r>
        <w:rPr>
          <w:rFonts w:hint="eastAsia"/>
          <w:lang w:val="en-US" w:eastAsia="zh-CN"/>
        </w:rPr>
        <w:t>平均每周冲洗一次</w:t>
      </w:r>
      <w:r>
        <w:rPr>
          <w:rFonts w:hint="default"/>
          <w:lang w:eastAsia="zh-Hans"/>
        </w:rPr>
        <w:t>，</w:t>
      </w:r>
      <w:r>
        <w:rPr>
          <w:lang w:val="en-US"/>
        </w:rPr>
        <w:t>则</w:t>
      </w:r>
      <w:r>
        <w:rPr>
          <w:rFonts w:ascii="Times New Roman" w:hAnsi="Times New Roman" w:eastAsiaTheme="minorEastAsia"/>
          <w:color w:val="000000" w:themeColor="text1"/>
          <w:sz w:val="24"/>
          <w:szCs w:val="24"/>
          <w:highlight w:val="none"/>
          <w:u w:val="none" w:color="auto"/>
          <w:lang w:val="en-GB"/>
          <w14:textFill>
            <w14:solidFill>
              <w14:schemeClr w14:val="tx1"/>
            </w14:solidFill>
          </w14:textFill>
        </w:rPr>
        <w:t>罐区装车操作平台</w:t>
      </w:r>
      <w:r>
        <w:rPr>
          <w:lang w:val="en-US"/>
        </w:rPr>
        <w:t>地面冲洗废水总量约</w:t>
      </w:r>
      <w:r>
        <w:rPr>
          <w:rFonts w:hint="eastAsia"/>
          <w:lang w:val="en-US" w:eastAsia="zh-CN"/>
        </w:rPr>
        <w:t>537.6</w:t>
      </w:r>
      <w:r>
        <w:rPr>
          <w:lang w:val="en-US"/>
        </w:rPr>
        <w:t>m</w:t>
      </w:r>
      <w:r>
        <w:rPr>
          <w:vertAlign w:val="superscript"/>
          <w:lang w:val="en-US"/>
        </w:rPr>
        <w:t>3</w:t>
      </w:r>
      <w:r>
        <w:rPr>
          <w:lang w:val="en-US"/>
        </w:rPr>
        <w:t>/a。地面冲洗水主要污染因子为石油类、化学品、COD等。该污水由库区污水处理站处理达标排放。</w:t>
      </w:r>
    </w:p>
    <w:p>
      <w:pPr>
        <w:pStyle w:val="19"/>
        <w:ind w:firstLine="480"/>
        <w:rPr>
          <w:lang w:val="en-US"/>
        </w:rPr>
      </w:pPr>
      <w:r>
        <w:rPr>
          <w:lang w:val="en-US"/>
        </w:rPr>
        <w:t>（</w:t>
      </w:r>
      <w:r>
        <w:rPr>
          <w:rFonts w:hint="default"/>
          <w:lang w:val="en-US"/>
        </w:rPr>
        <w:t>4</w:t>
      </w:r>
      <w:r>
        <w:rPr>
          <w:lang w:val="en-US"/>
        </w:rPr>
        <w:t>）化验室废水</w:t>
      </w:r>
    </w:p>
    <w:p>
      <w:pPr>
        <w:pStyle w:val="19"/>
        <w:ind w:firstLine="480"/>
        <w:rPr>
          <w:lang w:val="en-US"/>
        </w:rPr>
      </w:pPr>
      <w:r>
        <w:rPr>
          <w:lang w:val="en-US"/>
        </w:rPr>
        <w:t>本项目在生产辅房二内设置化验室，包括分析室、样品间、化验室、精密仪器室、天平间等。化验室清洗产生的废水约0.5m</w:t>
      </w:r>
      <w:r>
        <w:rPr>
          <w:vertAlign w:val="superscript"/>
          <w:lang w:val="en-US"/>
        </w:rPr>
        <w:t>3</w:t>
      </w:r>
      <w:r>
        <w:rPr>
          <w:lang w:val="en-US"/>
        </w:rPr>
        <w:t>/d（170m</w:t>
      </w:r>
      <w:r>
        <w:rPr>
          <w:vertAlign w:val="superscript"/>
          <w:lang w:val="en-US"/>
        </w:rPr>
        <w:t>3</w:t>
      </w:r>
      <w:r>
        <w:rPr>
          <w:lang w:val="en-US"/>
        </w:rPr>
        <w:t>/a），至污水处理设施统一处理达标排放。</w:t>
      </w:r>
    </w:p>
    <w:p>
      <w:pPr>
        <w:pStyle w:val="19"/>
        <w:ind w:firstLine="480"/>
        <w:rPr>
          <w:lang w:val="en-US"/>
        </w:rPr>
      </w:pPr>
      <w:r>
        <w:rPr>
          <w:lang w:val="en-US"/>
        </w:rPr>
        <w:t>（</w:t>
      </w:r>
      <w:r>
        <w:rPr>
          <w:rFonts w:hint="eastAsia"/>
          <w:lang w:val="en-US" w:eastAsia="zh-CN"/>
        </w:rPr>
        <w:t>5</w:t>
      </w:r>
      <w:r>
        <w:rPr>
          <w:lang w:val="en-US"/>
        </w:rPr>
        <w:t>）机泵维修清洗水</w:t>
      </w:r>
    </w:p>
    <w:p>
      <w:pPr>
        <w:pStyle w:val="19"/>
        <w:ind w:firstLine="480"/>
        <w:rPr>
          <w:lang w:val="en-US"/>
        </w:rPr>
      </w:pPr>
      <w:r>
        <w:rPr>
          <w:lang w:val="en-US"/>
        </w:rPr>
        <w:t>库区机泵维修清洗水年产生量约为10m</w:t>
      </w:r>
      <w:r>
        <w:rPr>
          <w:vertAlign w:val="superscript"/>
          <w:lang w:val="en-US"/>
        </w:rPr>
        <w:t>3</w:t>
      </w:r>
      <w:r>
        <w:rPr>
          <w:lang w:val="en-US"/>
        </w:rPr>
        <w:t>/a，主要污染因子为石油类、COD、化工品等。该污水由库区污水处理站处理达标后排放。</w:t>
      </w:r>
    </w:p>
    <w:p>
      <w:pPr>
        <w:pStyle w:val="19"/>
        <w:ind w:firstLine="480"/>
      </w:pPr>
      <w:r>
        <w:t>（</w:t>
      </w:r>
      <w:r>
        <w:rPr>
          <w:rFonts w:hint="eastAsia"/>
          <w:lang w:val="en-US" w:eastAsia="zh-CN"/>
        </w:rPr>
        <w:t>6</w:t>
      </w:r>
      <w:r>
        <w:t>）废气处理装置废水</w:t>
      </w:r>
    </w:p>
    <w:p>
      <w:pPr>
        <w:pStyle w:val="19"/>
        <w:ind w:firstLine="480"/>
      </w:pPr>
      <w:r>
        <w:t>废气洗涤吸收剂需定期检测浓度</w:t>
      </w:r>
      <w:r>
        <w:rPr>
          <w:lang w:val="en-US"/>
        </w:rPr>
        <w:t>并</w:t>
      </w:r>
      <w:r>
        <w:rPr>
          <w:rFonts w:hint="eastAsia"/>
          <w:lang w:eastAsia="zh-CN"/>
        </w:rPr>
        <w:t>补充</w:t>
      </w:r>
      <w:r>
        <w:t>，用水量约</w:t>
      </w:r>
      <w:r>
        <w:rPr>
          <w:rFonts w:hint="default"/>
          <w:lang w:eastAsia="zh-Hans"/>
        </w:rPr>
        <w:t>2435</w:t>
      </w:r>
      <w:r>
        <w:t>m</w:t>
      </w:r>
      <w:r>
        <w:rPr>
          <w:vertAlign w:val="superscript"/>
        </w:rPr>
        <w:t>3</w:t>
      </w:r>
      <w:r>
        <w:rPr>
          <w:rFonts w:hint="default"/>
          <w:lang w:eastAsia="zh-Hans"/>
        </w:rPr>
        <w:t>/</w:t>
      </w:r>
      <w:r>
        <w:rPr>
          <w:rFonts w:hint="eastAsia"/>
          <w:lang w:val="en-US" w:eastAsia="zh-Hans"/>
        </w:rPr>
        <w:t>a</w:t>
      </w:r>
      <w:r>
        <w:rPr>
          <w:rFonts w:hint="default"/>
          <w:lang w:eastAsia="zh-Hans"/>
        </w:rPr>
        <w:t>（7</w:t>
      </w:r>
      <w:r>
        <w:rPr>
          <w:rFonts w:hint="eastAsia"/>
          <w:lang w:val="en-US" w:eastAsia="zh-Hans"/>
        </w:rPr>
        <w:t>.</w:t>
      </w:r>
      <w:r>
        <w:rPr>
          <w:rFonts w:hint="default"/>
          <w:lang w:eastAsia="zh-Hans"/>
        </w:rPr>
        <w:t>1</w:t>
      </w:r>
      <w:r>
        <w:rPr>
          <w:rFonts w:hint="default"/>
        </w:rPr>
        <w:t>6</w:t>
      </w:r>
      <w:r>
        <w:t>m</w:t>
      </w:r>
      <w:r>
        <w:rPr>
          <w:vertAlign w:val="superscript"/>
        </w:rPr>
        <w:t>3</w:t>
      </w:r>
      <w:r>
        <w:t>/d</w:t>
      </w:r>
      <w:r>
        <w:rPr>
          <w:rFonts w:hint="default"/>
          <w:lang w:eastAsia="zh-Hans"/>
        </w:rPr>
        <w:t>）</w:t>
      </w:r>
      <w:r>
        <w:t>，考虑损耗等因素，排放量约</w:t>
      </w:r>
      <w:r>
        <w:rPr>
          <w:rFonts w:hint="default"/>
        </w:rPr>
        <w:t>1948</w:t>
      </w:r>
      <w:r>
        <w:t>m</w:t>
      </w:r>
      <w:r>
        <w:rPr>
          <w:vertAlign w:val="superscript"/>
        </w:rPr>
        <w:t>3</w:t>
      </w:r>
      <w:r>
        <w:t>/</w:t>
      </w:r>
      <w:r>
        <w:rPr>
          <w:rFonts w:hint="eastAsia"/>
          <w:lang w:val="en-US" w:eastAsia="zh-Hans"/>
        </w:rPr>
        <w:t>a</w:t>
      </w:r>
      <w:r>
        <w:rPr>
          <w:rFonts w:hint="default"/>
          <w:lang w:eastAsia="zh-Hans"/>
        </w:rPr>
        <w:t>（5</w:t>
      </w:r>
      <w:r>
        <w:rPr>
          <w:rFonts w:hint="eastAsia"/>
          <w:lang w:val="en-US" w:eastAsia="zh-Hans"/>
        </w:rPr>
        <w:t>.</w:t>
      </w:r>
      <w:r>
        <w:rPr>
          <w:rFonts w:hint="default"/>
          <w:lang w:eastAsia="zh-Hans"/>
        </w:rPr>
        <w:t>73</w:t>
      </w:r>
      <w:r>
        <w:t>m</w:t>
      </w:r>
      <w:r>
        <w:rPr>
          <w:vertAlign w:val="superscript"/>
        </w:rPr>
        <w:t>3</w:t>
      </w:r>
      <w:r>
        <w:t>/d</w:t>
      </w:r>
      <w:r>
        <w:rPr>
          <w:rFonts w:hint="default"/>
          <w:lang w:eastAsia="zh-Hans"/>
        </w:rPr>
        <w:t>）</w:t>
      </w:r>
      <w:r>
        <w:t>。</w:t>
      </w:r>
    </w:p>
    <w:p>
      <w:pPr>
        <w:pStyle w:val="19"/>
        <w:ind w:firstLine="480"/>
        <w:rPr>
          <w:rFonts w:hint="eastAsia" w:eastAsia="宋体"/>
          <w:lang w:val="en-US" w:eastAsia="zh-CN"/>
        </w:rPr>
      </w:pPr>
      <w:r>
        <w:rPr>
          <w:rFonts w:hint="eastAsia"/>
          <w:lang w:val="en-US" w:eastAsia="zh-CN"/>
        </w:rPr>
        <w:t>（7）生活污水</w:t>
      </w:r>
    </w:p>
    <w:p>
      <w:pPr>
        <w:pStyle w:val="19"/>
        <w:ind w:firstLine="480"/>
      </w:pPr>
      <w:r>
        <w:rPr>
          <w:lang w:val="en-US"/>
        </w:rPr>
        <w:t>本项目定员1</w:t>
      </w:r>
      <w:r>
        <w:rPr>
          <w:rFonts w:hint="eastAsia"/>
          <w:lang w:val="en-US" w:eastAsia="zh-CN"/>
        </w:rPr>
        <w:t>3</w:t>
      </w:r>
      <w:r>
        <w:rPr>
          <w:lang w:val="en-US"/>
        </w:rPr>
        <w:t>0人（含码头）。生活污水由综合楼等生活区劳动定员生活产生，用水量按50 L/d计，排污系数取0.8。</w:t>
      </w:r>
      <w:r>
        <w:rPr>
          <w:rFonts w:hint="eastAsia"/>
          <w:lang w:val="en-US" w:eastAsia="zh-CN"/>
        </w:rPr>
        <w:t>按340天工作时间，</w:t>
      </w:r>
      <w:r>
        <w:rPr>
          <w:lang w:val="en-US"/>
        </w:rPr>
        <w:t>生活污水年排放量约</w:t>
      </w:r>
      <w:r>
        <w:rPr>
          <w:rFonts w:hint="eastAsia"/>
          <w:lang w:val="en-US" w:eastAsia="zh-CN"/>
        </w:rPr>
        <w:t>1768</w:t>
      </w:r>
      <w:r>
        <w:rPr>
          <w:lang w:val="en-US"/>
        </w:rPr>
        <w:t>m</w:t>
      </w:r>
      <w:r>
        <w:rPr>
          <w:vertAlign w:val="superscript"/>
          <w:lang w:val="en-US"/>
        </w:rPr>
        <w:t>3</w:t>
      </w:r>
      <w:r>
        <w:rPr>
          <w:lang w:val="en-US"/>
        </w:rPr>
        <w:t>。生活污水经化粪池预处理后送至库区污水处理站统一处理，达标排放。</w:t>
      </w:r>
    </w:p>
    <w:p>
      <w:pPr>
        <w:pStyle w:val="25"/>
        <w:rPr>
          <w:bCs/>
        </w:rPr>
      </w:pPr>
      <w:r>
        <w:t>3.</w:t>
      </w:r>
      <w:r>
        <w:rPr>
          <w:rFonts w:hint="eastAsia"/>
          <w:lang w:val="en-US" w:eastAsia="zh-CN"/>
        </w:rPr>
        <w:t>4</w:t>
      </w:r>
      <w:r>
        <w:t>.</w:t>
      </w:r>
      <w:r>
        <w:rPr>
          <w:lang w:val="en-US"/>
        </w:rPr>
        <w:t>2</w:t>
      </w:r>
      <w:r>
        <w:t>.</w:t>
      </w:r>
      <w:r>
        <w:rPr>
          <w:rFonts w:hint="eastAsia"/>
          <w:lang w:val="en-US" w:eastAsia="zh-CN"/>
        </w:rPr>
        <w:t>3</w:t>
      </w:r>
      <w:r>
        <w:t xml:space="preserve"> </w:t>
      </w:r>
      <w:r>
        <w:rPr>
          <w:lang w:val="en-US"/>
        </w:rPr>
        <w:t>事故废水</w:t>
      </w:r>
    </w:p>
    <w:p>
      <w:pPr>
        <w:pStyle w:val="19"/>
        <w:ind w:firstLine="480"/>
        <w:rPr>
          <w:lang w:val="en-US"/>
        </w:rPr>
      </w:pPr>
      <w:r>
        <w:rPr>
          <w:rFonts w:hint="eastAsia"/>
          <w:lang w:val="en-US" w:eastAsia="zh-Hans"/>
        </w:rPr>
        <w:t>已建</w:t>
      </w:r>
      <w:r>
        <w:rPr>
          <w:lang w:val="en-US"/>
        </w:rPr>
        <w:t>4000m</w:t>
      </w:r>
      <w:r>
        <w:rPr>
          <w:vertAlign w:val="superscript"/>
          <w:lang w:val="en-US"/>
        </w:rPr>
        <w:t>3</w:t>
      </w:r>
      <w:r>
        <w:rPr>
          <w:lang w:val="en-US"/>
        </w:rPr>
        <w:t>地下消防事故废水收集池一座，当库区发生火灾或物料泄漏特大事故时，受污染的消防废水或泄漏物料经阀门切换通过库区雨水管自流至事故收集池，待事故结束后事故池内污水经处理达标后排放。</w:t>
      </w:r>
    </w:p>
    <w:p>
      <w:pPr>
        <w:pStyle w:val="19"/>
        <w:ind w:firstLine="480"/>
        <w:rPr>
          <w:lang w:val="en-US"/>
        </w:rPr>
      </w:pPr>
      <w:r>
        <w:rPr>
          <w:lang w:val="en-US"/>
        </w:rPr>
        <w:t>斗尾经济区规划新建污水处理厂一座，逐步将区域污水截流纳入污水处理厂处理。远期库区</w:t>
      </w:r>
      <w:r>
        <w:rPr>
          <w:rFonts w:hint="eastAsia"/>
          <w:lang w:val="en-US" w:eastAsia="zh-Hans"/>
        </w:rPr>
        <w:t>产生的污废水将</w:t>
      </w:r>
      <w:r>
        <w:rPr>
          <w:lang w:val="en-US"/>
        </w:rPr>
        <w:t>经</w:t>
      </w:r>
      <w:r>
        <w:rPr>
          <w:rFonts w:hint="eastAsia"/>
          <w:lang w:val="en-US" w:eastAsia="zh-Hans"/>
        </w:rPr>
        <w:t>由</w:t>
      </w:r>
      <w:r>
        <w:rPr>
          <w:lang w:val="en-US"/>
        </w:rPr>
        <w:t>库区内污水处理装置预处理达标后，经库区排污管道排入港区污水处理厂，集中处理和排放。近期废水经库区内建设的污水站处理达标后由环评批复的临时排污口排放。</w:t>
      </w:r>
    </w:p>
    <w:p>
      <w:pPr>
        <w:pStyle w:val="19"/>
        <w:ind w:firstLine="0" w:firstLineChars="0"/>
        <w:rPr>
          <w:lang w:val="en-US"/>
        </w:rPr>
      </w:pPr>
      <w:r>
        <w:rPr>
          <w:lang w:val="en-US"/>
        </w:rPr>
        <w:drawing>
          <wp:inline distT="0" distB="0" distL="114300" distR="114300">
            <wp:extent cx="5269865" cy="6312535"/>
            <wp:effectExtent l="9525" t="9525" r="16510" b="2159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13"/>
                    <a:stretch>
                      <a:fillRect/>
                    </a:stretch>
                  </pic:blipFill>
                  <pic:spPr>
                    <a:xfrm>
                      <a:off x="0" y="0"/>
                      <a:ext cx="5269865" cy="6312535"/>
                    </a:xfrm>
                    <a:prstGeom prst="rect">
                      <a:avLst/>
                    </a:prstGeom>
                    <a:noFill/>
                    <a:ln>
                      <a:solidFill>
                        <a:schemeClr val="tx1"/>
                      </a:solidFill>
                    </a:ln>
                  </pic:spPr>
                </pic:pic>
              </a:graphicData>
            </a:graphic>
          </wp:inline>
        </w:drawing>
      </w:r>
    </w:p>
    <w:p>
      <w:pPr>
        <w:pStyle w:val="23"/>
        <w:bidi w:val="0"/>
        <w:rPr>
          <w:lang w:val="en-US"/>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lang w:val="en-US"/>
        </w:rPr>
        <w:t>图3.</w:t>
      </w:r>
      <w:r>
        <w:rPr>
          <w:rFonts w:hint="eastAsia"/>
          <w:lang w:val="en-US" w:eastAsia="zh-CN"/>
        </w:rPr>
        <w:t>4</w:t>
      </w:r>
      <w:r>
        <w:rPr>
          <w:lang w:val="en-US"/>
        </w:rPr>
        <w:t xml:space="preserve">-1 </w:t>
      </w:r>
      <w:r>
        <w:rPr>
          <w:rFonts w:hint="eastAsia"/>
          <w:lang w:val="en-US" w:eastAsia="zh-CN"/>
        </w:rPr>
        <w:t>全厂</w:t>
      </w:r>
      <w:r>
        <w:rPr>
          <w:lang w:val="en-US"/>
        </w:rPr>
        <w:t>水平衡图</w:t>
      </w:r>
      <w:bookmarkStart w:id="255" w:name="_GoBack"/>
      <w:bookmarkEnd w:id="255"/>
    </w:p>
    <w:p>
      <w:pPr>
        <w:pStyle w:val="19"/>
        <w:ind w:firstLine="0" w:firstLineChars="0"/>
        <w:jc w:val="center"/>
        <w:rPr>
          <w:lang w:val="en-US"/>
        </w:rPr>
      </w:pPr>
      <w:r>
        <w:rPr>
          <w:lang w:val="en-US"/>
        </w:rPr>
        <w:drawing>
          <wp:inline distT="0" distB="0" distL="114300" distR="114300">
            <wp:extent cx="12108180" cy="7986395"/>
            <wp:effectExtent l="0" t="0" r="7620" b="1460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4"/>
                    <a:srcRect l="5116" t="6920" r="5223" b="6760"/>
                    <a:stretch>
                      <a:fillRect/>
                    </a:stretch>
                  </pic:blipFill>
                  <pic:spPr>
                    <a:xfrm>
                      <a:off x="0" y="0"/>
                      <a:ext cx="12108180" cy="7986395"/>
                    </a:xfrm>
                    <a:prstGeom prst="rect">
                      <a:avLst/>
                    </a:prstGeom>
                    <a:noFill/>
                    <a:ln>
                      <a:noFill/>
                    </a:ln>
                  </pic:spPr>
                </pic:pic>
              </a:graphicData>
            </a:graphic>
          </wp:inline>
        </w:drawing>
      </w:r>
    </w:p>
    <w:p>
      <w:pPr>
        <w:pStyle w:val="23"/>
        <w:sectPr>
          <w:pgSz w:w="23811" w:h="16837"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图3.</w:t>
      </w:r>
      <w:r>
        <w:rPr>
          <w:rFonts w:hint="eastAsia"/>
          <w:lang w:val="en-US" w:eastAsia="zh-CN"/>
        </w:rPr>
        <w:t>4</w:t>
      </w:r>
      <w:r>
        <w:t>-</w:t>
      </w:r>
      <w:r>
        <w:rPr>
          <w:rFonts w:hint="eastAsia"/>
          <w:lang w:val="en-US" w:eastAsia="zh-CN"/>
        </w:rPr>
        <w:t>2</w:t>
      </w:r>
      <w:r>
        <w:t xml:space="preserve"> </w:t>
      </w:r>
      <w:r>
        <w:rPr>
          <w:rFonts w:hint="eastAsia"/>
        </w:rPr>
        <w:t>项目雨污管网走向示意图</w:t>
      </w:r>
    </w:p>
    <w:p>
      <w:pPr>
        <w:pStyle w:val="17"/>
      </w:pPr>
      <w:bookmarkStart w:id="99" w:name="_Toc21001"/>
      <w:r>
        <w:t>3.</w:t>
      </w:r>
      <w:r>
        <w:rPr>
          <w:rFonts w:hint="eastAsia"/>
          <w:lang w:val="en-US" w:eastAsia="zh-CN"/>
        </w:rPr>
        <w:t>5</w:t>
      </w:r>
      <w:r>
        <w:t xml:space="preserve"> 工艺技术及产污环节</w:t>
      </w:r>
      <w:bookmarkEnd w:id="99"/>
    </w:p>
    <w:p>
      <w:pPr>
        <w:pStyle w:val="19"/>
        <w:ind w:firstLine="480"/>
      </w:pPr>
      <w:r>
        <w:t>本项目储运工艺包括石化产品储存和输送两方面的生产过程，为适应第三方客户多种石化产品的储运，储运工艺按商业性多功能、通用性考虑，物料流向可做到：船进车出，船进船出，车进船出（少量），少量考虑装桶等。</w:t>
      </w:r>
    </w:p>
    <w:p>
      <w:pPr>
        <w:pStyle w:val="19"/>
        <w:ind w:firstLine="480"/>
      </w:pPr>
      <w:r>
        <w:rPr>
          <w:lang w:val="en-US"/>
        </w:rPr>
        <w:t>生产工艺</w:t>
      </w:r>
      <w:r>
        <w:t>流程见图3</w:t>
      </w:r>
      <w:r>
        <w:rPr>
          <w:lang w:val="en-US"/>
        </w:rPr>
        <w:t>.</w:t>
      </w:r>
      <w:r>
        <w:rPr>
          <w:rFonts w:hint="eastAsia"/>
          <w:lang w:val="en-US" w:eastAsia="zh-CN"/>
        </w:rPr>
        <w:t>5</w:t>
      </w:r>
      <w:r>
        <w:t>-1。</w:t>
      </w:r>
    </w:p>
    <w:p>
      <w:pPr>
        <w:pStyle w:val="19"/>
        <w:ind w:firstLine="0" w:firstLineChars="0"/>
        <w:jc w:val="center"/>
      </w:pPr>
      <w:r>
        <w:drawing>
          <wp:inline distT="0" distB="0" distL="114300" distR="114300">
            <wp:extent cx="5271770" cy="1844040"/>
            <wp:effectExtent l="9525" t="9525" r="14605" b="1333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5"/>
                    <a:stretch>
                      <a:fillRect/>
                    </a:stretch>
                  </pic:blipFill>
                  <pic:spPr>
                    <a:xfrm>
                      <a:off x="0" y="0"/>
                      <a:ext cx="5271770" cy="1844040"/>
                    </a:xfrm>
                    <a:prstGeom prst="rect">
                      <a:avLst/>
                    </a:prstGeom>
                    <a:noFill/>
                    <a:ln>
                      <a:solidFill>
                        <a:schemeClr val="tx1"/>
                      </a:solidFill>
                    </a:ln>
                  </pic:spPr>
                </pic:pic>
              </a:graphicData>
            </a:graphic>
          </wp:inline>
        </w:drawing>
      </w:r>
    </w:p>
    <w:p>
      <w:pPr>
        <w:pStyle w:val="23"/>
      </w:pPr>
      <w:r>
        <w:t>图3.</w:t>
      </w:r>
      <w:r>
        <w:rPr>
          <w:rFonts w:hint="eastAsia"/>
          <w:lang w:val="en-US" w:eastAsia="zh-CN"/>
        </w:rPr>
        <w:t>5</w:t>
      </w:r>
      <w:r>
        <w:t>-1 项目生产工艺流程图</w:t>
      </w:r>
    </w:p>
    <w:p>
      <w:pPr>
        <w:pStyle w:val="19"/>
        <w:spacing w:before="156" w:beforeLines="50"/>
        <w:ind w:firstLine="480"/>
      </w:pPr>
      <w:r>
        <w:rPr>
          <w:lang w:val="en-US"/>
        </w:rPr>
        <w:t>本项目只从事物料的仓储与转运，不进行加工处理。石化产品的转运主要通过码头靠泊海轮与陆域汽车运输。工艺过程主要包括石化产品的装卸船、装卸车、装卸桶和倒罐</w:t>
      </w:r>
      <w:r>
        <w:t>、</w:t>
      </w:r>
      <w:r>
        <w:rPr>
          <w:lang w:val="en-US"/>
        </w:rPr>
        <w:t>清罐</w:t>
      </w:r>
      <w:r>
        <w:t>、</w:t>
      </w:r>
      <w:r>
        <w:rPr>
          <w:lang w:val="en-US"/>
        </w:rPr>
        <w:t>扫线等操作流程</w:t>
      </w:r>
      <w:r>
        <w:t>。</w:t>
      </w:r>
    </w:p>
    <w:p>
      <w:pPr>
        <w:pStyle w:val="19"/>
        <w:ind w:firstLine="480"/>
      </w:pPr>
      <w:r>
        <w:t>（</w:t>
      </w:r>
      <w:r>
        <w:rPr>
          <w:lang w:val="en-US"/>
        </w:rPr>
        <w:t>一</w:t>
      </w:r>
      <w:r>
        <w:t>）工艺流程简述：</w:t>
      </w:r>
    </w:p>
    <w:p>
      <w:pPr>
        <w:pStyle w:val="19"/>
        <w:ind w:firstLine="480"/>
      </w:pPr>
      <w:r>
        <w:t>（1）卸船工艺</w:t>
      </w:r>
    </w:p>
    <w:p>
      <w:pPr>
        <w:pStyle w:val="19"/>
        <w:ind w:firstLine="480"/>
      </w:pPr>
      <w:r>
        <w:t>石化产品用船舶运抵液体化工码头，通过船上自备泵经软管或输油臂与码头装卸船管道连接，至库区管道交换站与来自各罐组储罐的专用装卸船管线连接，将石化产品输送至罐组对应储罐内储存。</w:t>
      </w:r>
    </w:p>
    <w:p>
      <w:pPr>
        <w:pStyle w:val="19"/>
        <w:ind w:firstLine="480"/>
      </w:pPr>
      <w:r>
        <w:t>工艺过程为：石化产品船舶→自备泵→软管或输油臂→码头管线→管道交换站→各储罐专用装卸 船管线→罐区储罐储存。</w:t>
      </w:r>
    </w:p>
    <w:p>
      <w:pPr>
        <w:pStyle w:val="19"/>
        <w:ind w:firstLine="480"/>
      </w:pPr>
      <w:r>
        <w:t>工艺参数：流量300m</w:t>
      </w:r>
      <w:r>
        <w:rPr>
          <w:vertAlign w:val="superscript"/>
        </w:rPr>
        <w:t>3</w:t>
      </w:r>
      <w:r>
        <w:t>/h，压力0.8~1.0MPa。</w:t>
      </w:r>
    </w:p>
    <w:p>
      <w:pPr>
        <w:pStyle w:val="19"/>
        <w:ind w:firstLine="480"/>
      </w:pPr>
      <w:r>
        <w:t>（2）装船工艺</w:t>
      </w:r>
    </w:p>
    <w:p>
      <w:pPr>
        <w:pStyle w:val="19"/>
        <w:ind w:firstLine="0"/>
      </w:pPr>
      <w:r>
        <w:rPr>
          <w:lang w:val="en-US"/>
        </w:rPr>
        <w:t>本项目</w:t>
      </w:r>
      <w:r>
        <w:t>根据市场需要</w:t>
      </w:r>
      <w:r>
        <w:rPr>
          <w:lang w:val="en-US"/>
        </w:rPr>
        <w:t>可</w:t>
      </w:r>
      <w:r>
        <w:t>将储罐内储存的石化产品通过储罐进出管线在泵棚预留接口2个（DN200～DN300），分别与该罐组公用装船泵进出口软管连接输送至库区管道交换站（1或2），再与公用装卸船管线连接，至码头与靠泊船舶软管或输油臂连接装船外运。</w:t>
      </w:r>
    </w:p>
    <w:p>
      <w:pPr>
        <w:pStyle w:val="19"/>
        <w:ind w:firstLine="480"/>
      </w:pPr>
      <w:r>
        <w:t>工艺过程为：罐区储罐→储罐进出管线→装船泵→专用装卸船管线→管道交换站→码头管线→码头泊位→软管或输油臂→石化产品船舶装船外运。</w:t>
      </w:r>
    </w:p>
    <w:p>
      <w:pPr>
        <w:pStyle w:val="19"/>
        <w:ind w:firstLine="480"/>
      </w:pPr>
      <w:r>
        <w:t>（3）储罐储存工艺</w:t>
      </w:r>
    </w:p>
    <w:p>
      <w:pPr>
        <w:pStyle w:val="19"/>
        <w:ind w:firstLine="480"/>
        <w:rPr>
          <w:rFonts w:hint="default"/>
        </w:rPr>
      </w:pPr>
      <w:r>
        <w:t>本项目货种采用固定顶罐和内浮顶储罐储存，且都设置氮气密封保护系统，罐顶设氮封阀（自力式调节阀）和带接管的呼吸阀，可自动补气和密闭回收罐内排出的废气去废气处理装置处理。</w:t>
      </w:r>
    </w:p>
    <w:p>
      <w:pPr>
        <w:pStyle w:val="19"/>
        <w:ind w:firstLine="480"/>
      </w:pPr>
      <w:r>
        <w:t>（4）卸汽车工艺</w:t>
      </w:r>
    </w:p>
    <w:p>
      <w:pPr>
        <w:pStyle w:val="19"/>
        <w:ind w:firstLine="480"/>
      </w:pPr>
      <w:r>
        <w:t>石化产品根据市场需要可用汽车槽车运抵装车站，通过卸车泵经软管与对应的装卸汽车管道预留接口连接，进入泵区后经对应卸车泵回流管道将石化产品输送至罐组对应储罐内储存。</w:t>
      </w:r>
    </w:p>
    <w:p>
      <w:pPr>
        <w:pStyle w:val="19"/>
        <w:ind w:firstLine="480"/>
      </w:pPr>
      <w:r>
        <w:t>工艺过程为：散装液体汽车槽车→装车站→卸车泵→汽车装卸管线→罐区储罐储存。</w:t>
      </w:r>
    </w:p>
    <w:p>
      <w:pPr>
        <w:pStyle w:val="19"/>
        <w:ind w:firstLine="480"/>
      </w:pPr>
      <w:r>
        <w:t>（5）装汽车工艺</w:t>
      </w:r>
    </w:p>
    <w:p>
      <w:pPr>
        <w:pStyle w:val="19"/>
        <w:ind w:firstLine="480"/>
      </w:pPr>
      <w:r>
        <w:rPr>
          <w:lang w:val="en-US"/>
        </w:rPr>
        <w:t>本项目</w:t>
      </w:r>
      <w:r>
        <w:t>根据市场需要</w:t>
      </w:r>
      <w:r>
        <w:rPr>
          <w:lang w:val="en-US"/>
        </w:rPr>
        <w:t>可</w:t>
      </w:r>
      <w:r>
        <w:t>将储罐内储存的石化产品通过储罐进出管线至各自的专用装车泵进口，通过装车泵加压经管线输送至装车站与汽车鹤管连接装车外运。装车鹤管选用撬装式密闭装车鹤管成套设备，并带有气相回收管。气相气体去废气处理装置。</w:t>
      </w:r>
    </w:p>
    <w:p>
      <w:pPr>
        <w:pStyle w:val="19"/>
        <w:ind w:firstLine="480"/>
      </w:pPr>
      <w:r>
        <w:t>工艺过程为：罐区储罐→储罐进出管线→装车泵→汽车装卸管线→装车站→汽车鹤管→装汽车槽车外运。</w:t>
      </w:r>
    </w:p>
    <w:p>
      <w:pPr>
        <w:pStyle w:val="19"/>
        <w:ind w:firstLine="480"/>
      </w:pPr>
      <w:r>
        <w:t>工艺参数：流量60m</w:t>
      </w:r>
      <w:r>
        <w:rPr>
          <w:vertAlign w:val="superscript"/>
        </w:rPr>
        <w:t>3</w:t>
      </w:r>
      <w:r>
        <w:t>/h，压力0.3~0.45MPa。</w:t>
      </w:r>
    </w:p>
    <w:p>
      <w:pPr>
        <w:pStyle w:val="19"/>
        <w:ind w:firstLine="480"/>
      </w:pPr>
      <w:r>
        <w:t>（6）装桶</w:t>
      </w:r>
    </w:p>
    <w:p>
      <w:pPr>
        <w:pStyle w:val="19"/>
        <w:ind w:firstLine="480"/>
      </w:pPr>
      <w:r>
        <w:rPr>
          <w:lang w:val="en-US"/>
        </w:rPr>
        <w:t>本项目</w:t>
      </w:r>
      <w:r>
        <w:t>根据市场需要可将储罐内储存的石化产品通过储罐进出管线在泵棚与该罐组公用装桶泵进口软管连接，通过装桶泵加压经管线（DN50）输送至装桶间，经软管与装桶机连接自动装桶外运。装桶过程采用闭装充装管道并带有气相回收管。充装过程先用氮气置换桶中空气，置换结束，开始</w:t>
      </w:r>
      <w:r>
        <w:rPr>
          <w:lang w:val="en-US"/>
        </w:rPr>
        <w:t>从</w:t>
      </w:r>
      <w:r>
        <w:t>底部充装，随着物料装满整个桶，则桶上部的氮气（含有机物质）经气相回收管去废气处理装置。</w:t>
      </w:r>
    </w:p>
    <w:p>
      <w:pPr>
        <w:pStyle w:val="19"/>
        <w:ind w:firstLine="480"/>
      </w:pPr>
      <w:r>
        <w:rPr>
          <w:lang w:val="en-US"/>
        </w:rPr>
        <w:t>工艺过程为</w:t>
      </w:r>
      <w:r>
        <w:t>：罐区储罐→储罐进出管线→装桶泵→装桶管线→装桶间→装桶机→装桶外运</w:t>
      </w:r>
    </w:p>
    <w:p>
      <w:pPr>
        <w:pStyle w:val="19"/>
        <w:ind w:firstLine="480"/>
      </w:pPr>
      <w:r>
        <w:t>（7）倒罐、清罐工艺</w:t>
      </w:r>
    </w:p>
    <w:p>
      <w:pPr>
        <w:pStyle w:val="19"/>
        <w:ind w:firstLine="480"/>
      </w:pPr>
      <w:r>
        <w:t>根据储罐区业务的需要，变换储存产品、检维修或发生事故时需要倒罐、清罐作业，</w:t>
      </w:r>
      <w:r>
        <w:rPr>
          <w:lang w:val="en-US"/>
        </w:rPr>
        <w:t>本项目</w:t>
      </w:r>
      <w:r>
        <w:t>采用设置的装船泵作为倒罐泵。</w:t>
      </w:r>
    </w:p>
    <w:p>
      <w:pPr>
        <w:pStyle w:val="19"/>
        <w:ind w:firstLine="480"/>
      </w:pPr>
      <w:r>
        <w:t>倒罐工艺过程为：储存物料经各自的进出管线至泵棚与装船泵连接，加压后可转输至其它同类储罐。</w:t>
      </w:r>
    </w:p>
    <w:p>
      <w:pPr>
        <w:pStyle w:val="19"/>
        <w:ind w:firstLine="480"/>
      </w:pPr>
      <w:r>
        <w:t>每台储罐罐根进出口管线上均设置两个DN50的预留接口，当储罐需要清罐时，大部分洗罐污水通过装车泵加压经出口与废水总管连接输送至污水站处理。底部残液（渣）由移动泵经排污管抽出，装桶委托福建兴业东江环保科技有限公司处置。</w:t>
      </w:r>
    </w:p>
    <w:p>
      <w:pPr>
        <w:pStyle w:val="19"/>
        <w:ind w:firstLine="480"/>
      </w:pPr>
      <w:r>
        <w:t>（8）管线清扫</w:t>
      </w:r>
    </w:p>
    <w:p>
      <w:pPr>
        <w:pStyle w:val="19"/>
        <w:ind w:firstLine="480"/>
      </w:pPr>
      <w:r>
        <w:t>码头装卸采用公用物料管道，通过管道交换站交换后连通各储罐专用管道。当输送物料完毕或更换物料品种及管道检修时，采用清管器（PIG）进行物料管道的吹扫，利用氮气或压缩空气作为动力（只有丙类或不燃物料可采用压缩空气吹扫）。管道交换站至储罐的管线也采用清管器（PIG）进行物料管道的吹扫。</w:t>
      </w:r>
    </w:p>
    <w:p>
      <w:pPr>
        <w:pStyle w:val="19"/>
        <w:ind w:firstLine="480"/>
      </w:pPr>
      <w:r>
        <w:t>（</w:t>
      </w:r>
      <w:r>
        <w:rPr>
          <w:lang w:val="en-US"/>
        </w:rPr>
        <w:t>二</w:t>
      </w:r>
      <w:r>
        <w:t xml:space="preserve">）产污环节 </w:t>
      </w:r>
    </w:p>
    <w:p>
      <w:pPr>
        <w:pStyle w:val="19"/>
        <w:ind w:firstLine="480"/>
        <w:rPr>
          <w:lang w:val="en-US"/>
        </w:rPr>
      </w:pPr>
      <w:r>
        <w:rPr>
          <w:lang w:val="en-US"/>
        </w:rPr>
        <w:t>项目储运过程中的主要产污环节如下</w:t>
      </w:r>
      <w:r>
        <w:t>：</w:t>
      </w:r>
    </w:p>
    <w:p>
      <w:pPr>
        <w:pStyle w:val="19"/>
        <w:ind w:firstLine="480"/>
      </w:pPr>
      <w:r>
        <w:t>（1）废气：储罐大小呼吸产生的有机废气、装卸（含桶装）过程产生的有机废气。</w:t>
      </w:r>
    </w:p>
    <w:p>
      <w:pPr>
        <w:pStyle w:val="19"/>
        <w:ind w:firstLine="480"/>
      </w:pPr>
      <w:r>
        <w:t>（2）废水：洗罐过程产生的清洗废水。</w:t>
      </w:r>
    </w:p>
    <w:p>
      <w:pPr>
        <w:pStyle w:val="19"/>
        <w:ind w:firstLine="480"/>
      </w:pPr>
      <w:r>
        <w:t>（3）固废：洗罐过程产生的罐底残液（渣）。</w:t>
      </w:r>
    </w:p>
    <w:p>
      <w:pPr>
        <w:pStyle w:val="17"/>
      </w:pPr>
      <w:bookmarkStart w:id="100" w:name="_Toc19036"/>
      <w:r>
        <w:t>3.</w:t>
      </w:r>
      <w:r>
        <w:rPr>
          <w:rFonts w:hint="eastAsia"/>
          <w:lang w:val="en-US" w:eastAsia="zh-CN"/>
        </w:rPr>
        <w:t>6</w:t>
      </w:r>
      <w:r>
        <w:t xml:space="preserve"> 项目变动情况</w:t>
      </w:r>
      <w:bookmarkEnd w:id="100"/>
    </w:p>
    <w:p>
      <w:pPr>
        <w:pStyle w:val="19"/>
        <w:ind w:firstLine="480"/>
      </w:pPr>
      <w:r>
        <w:t>生态环境部印发的《</w:t>
      </w:r>
      <w:r>
        <w:rPr>
          <w:rFonts w:hint="eastAsia"/>
        </w:rPr>
        <w:t>港口建设项目重大变动清单</w:t>
      </w:r>
      <w:r>
        <w:t>（试行）》</w:t>
      </w:r>
      <w:r>
        <w:rPr>
          <w:rFonts w:hint="eastAsia"/>
          <w:lang w:val="en-US" w:eastAsia="zh-Hans"/>
        </w:rPr>
        <w:t>要求</w:t>
      </w:r>
      <w:r>
        <w:t>，</w:t>
      </w:r>
      <w:r>
        <w:rPr>
          <w:rFonts w:hint="eastAsia"/>
          <w:lang w:val="en-US" w:eastAsia="zh-Hans"/>
        </w:rPr>
        <w:t>港口</w:t>
      </w:r>
      <w:r>
        <w:t>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p>
    <w:p>
      <w:pPr>
        <w:pStyle w:val="19"/>
        <w:ind w:firstLine="480"/>
        <w:rPr>
          <w:color w:val="000000" w:themeColor="text1"/>
          <w:lang w:val="en-US"/>
          <w14:textFill>
            <w14:solidFill>
              <w14:schemeClr w14:val="tx1"/>
            </w14:solidFill>
          </w14:textFill>
        </w:rPr>
      </w:pPr>
      <w:r>
        <w:rPr>
          <w:rFonts w:hint="eastAsia"/>
          <w:color w:val="000000" w:themeColor="text1"/>
          <w:lang w:val="en-US" w:eastAsia="zh-Hans"/>
          <w14:textFill>
            <w14:solidFill>
              <w14:schemeClr w14:val="tx1"/>
            </w14:solidFill>
          </w14:textFill>
        </w:rPr>
        <w:t>本次验收涉及的主要</w:t>
      </w:r>
      <w:r>
        <w:rPr>
          <w:color w:val="000000" w:themeColor="text1"/>
          <w:lang w:val="en-US"/>
          <w14:textFill>
            <w14:solidFill>
              <w14:schemeClr w14:val="tx1"/>
            </w14:solidFill>
          </w14:textFill>
        </w:rPr>
        <w:t>变动内容如下：</w:t>
      </w:r>
    </w:p>
    <w:p>
      <w:pPr>
        <w:pStyle w:val="19"/>
        <w:ind w:firstLine="4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（1）运营货种调整</w:t>
      </w:r>
    </w:p>
    <w:p>
      <w:pPr>
        <w:pStyle w:val="19"/>
        <w:ind w:firstLine="4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次货种调整环评及批复内容为“在现有3万吨级码头货种基础上新增3#喷气燃料、抽余油等货种，码头货种扩增至74种；其后方库区在现有储存货种基础上新增变压器油、碳酸乙烯酯等货种，后方仓储区货种扩增至74种”。目前实际情况：码头货种调整至58种，后方仓储区货种调整至58种。调整后货种较环评批复的74种减少二氯甲烷、丙酮、邻苯二甲酸二辛酯、间二甲苯、邻二甲苯、轻循环油、甲醇汽油、乙醇汽油、凝析油、1,2-二氯丙烷、聚醚多元醇、壬醇、丙三醇（甘油）、甲基异丁酮、碳酸乙烯酯、苯酚等16种，货种范围未超出环评及其批复内容。</w:t>
      </w:r>
    </w:p>
    <w:p>
      <w:pPr>
        <w:pStyle w:val="19"/>
        <w:ind w:firstLine="480"/>
        <w:rPr>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lang w:val="en-US"/>
          <w14:textFill>
            <w14:solidFill>
              <w14:schemeClr w14:val="tx1"/>
            </w14:solidFill>
          </w14:textFill>
        </w:rPr>
        <w:t>初期雨水池建设调整</w:t>
      </w:r>
    </w:p>
    <w:p>
      <w:pPr>
        <w:pStyle w:val="19"/>
        <w:ind w:firstLine="480"/>
        <w:rPr>
          <w:color w:val="000000" w:themeColor="text1"/>
          <w:lang w:val="en-US" w:eastAsia="zh-Hans"/>
          <w14:textFill>
            <w14:solidFill>
              <w14:schemeClr w14:val="tx1"/>
            </w14:solidFill>
          </w14:textFill>
        </w:rPr>
      </w:pPr>
      <w:r>
        <w:rPr>
          <w:color w:val="000000" w:themeColor="text1"/>
          <w:lang w:val="en-US"/>
          <w14:textFill>
            <w14:solidFill>
              <w14:schemeClr w14:val="tx1"/>
            </w14:solidFill>
          </w14:textFill>
        </w:rPr>
        <w:t>环评报告书中初期雨水池3有效容积600m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，初期雨水池4有效容积500m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，初期雨水池5有效容积150m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，三座初期雨水池总</w:t>
      </w:r>
      <w:r>
        <w:rPr>
          <w:rFonts w:hint="eastAsia"/>
          <w:color w:val="000000" w:themeColor="text1"/>
          <w:lang w:val="en-US" w:eastAsia="zh-Hans"/>
          <w14:textFill>
            <w14:solidFill>
              <w14:schemeClr w14:val="tx1"/>
            </w14:solidFill>
          </w14:textFill>
        </w:rPr>
        <w:t>有效</w:t>
      </w:r>
      <w:r>
        <w:rPr>
          <w:color w:val="000000" w:themeColor="text1"/>
          <w:lang w:val="en-US"/>
          <w14:textFill>
            <w14:solidFill>
              <w14:schemeClr w14:val="tx1"/>
            </w14:solidFill>
          </w14:textFill>
        </w:rPr>
        <w:t>容积1250m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。实际建设过程中，</w:t>
      </w:r>
      <w:r>
        <w:rPr>
          <w:rFonts w:hint="eastAsia"/>
          <w:color w:val="000000" w:themeColor="text1"/>
          <w:lang w:val="en-US" w:eastAsia="zh-Hans"/>
          <w14:textFill>
            <w14:solidFill>
              <w14:schemeClr w14:val="tx1"/>
            </w14:solidFill>
          </w14:textFill>
        </w:rPr>
        <w:t>根据工程监理报告</w:t>
      </w:r>
      <w:r>
        <w:rPr>
          <w:color w:val="000000" w:themeColor="text1"/>
          <w:lang w:val="en-US" w:eastAsia="zh-Hans"/>
          <w14:textFill>
            <w14:solidFill>
              <w14:schemeClr w14:val="tx1"/>
            </w14:solidFill>
          </w14:textFill>
        </w:rPr>
        <w:t>，</w:t>
      </w:r>
      <w:r>
        <w:rPr>
          <w:color w:val="000000" w:themeColor="text1"/>
          <w:lang w:val="en-US"/>
          <w14:textFill>
            <w14:solidFill>
              <w14:schemeClr w14:val="tx1"/>
            </w14:solidFill>
          </w14:textFill>
        </w:rPr>
        <w:t>初期雨水池3容积584m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，初期雨水池4容积484m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，初期雨水池5容积176m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，三座初期雨水池总容积1244m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w:t>
      </w:r>
      <w:r>
        <w:rPr>
          <w:rFonts w:hint="eastAsia"/>
          <w:color w:val="000000" w:themeColor="text1"/>
          <w:lang w:val="en-US" w:eastAsia="zh-Hans"/>
          <w14:textFill>
            <w14:solidFill>
              <w14:schemeClr w14:val="tx1"/>
            </w14:solidFill>
          </w14:textFill>
        </w:rPr>
        <w:t>有效容积为</w:t>
      </w:r>
      <w:r>
        <w:rPr>
          <w:color w:val="000000" w:themeColor="text1"/>
          <w:lang w:val="en-US"/>
          <w14:textFill>
            <w14:solidFill>
              <w14:schemeClr w14:val="tx1"/>
            </w14:solidFill>
          </w14:textFill>
        </w:rPr>
        <w:t>1181.8m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w:t>
      </w:r>
      <w:r>
        <w:rPr>
          <w:rFonts w:hint="eastAsia"/>
          <w:color w:val="000000" w:themeColor="text1"/>
          <w:lang w:val="en-US" w:eastAsia="zh-Hans"/>
          <w14:textFill>
            <w14:solidFill>
              <w14:schemeClr w14:val="tx1"/>
            </w14:solidFill>
          </w14:textFill>
        </w:rPr>
        <w:t>另铺设管道</w:t>
      </w:r>
      <w:r>
        <w:rPr>
          <w:rFonts w:hint="default"/>
          <w:color w:val="000000" w:themeColor="text1"/>
          <w:lang w:val="en-US" w:eastAsia="zh-Hans"/>
          <w14:textFill>
            <w14:solidFill>
              <w14:schemeClr w14:val="tx1"/>
            </w14:solidFill>
          </w14:textFill>
        </w:rPr>
        <w:t>，</w:t>
      </w:r>
      <w:r>
        <w:rPr>
          <w:rFonts w:hint="eastAsia"/>
          <w:color w:val="000000" w:themeColor="text1"/>
          <w:lang w:val="en-US" w:eastAsia="zh-Hans"/>
          <w14:textFill>
            <w14:solidFill>
              <w14:schemeClr w14:val="tx1"/>
            </w14:solidFill>
          </w14:textFill>
        </w:rPr>
        <w:t>依托化学品调节池富余容积作为初期雨水池的补充</w:t>
      </w:r>
      <w:r>
        <w:rPr>
          <w:color w:val="000000" w:themeColor="text1"/>
          <w:lang w:val="en-US" w:eastAsia="zh-Hans"/>
          <w14:textFill>
            <w14:solidFill>
              <w14:schemeClr w14:val="tx1"/>
            </w14:solidFill>
          </w14:textFill>
        </w:rPr>
        <w:t>。</w:t>
      </w:r>
    </w:p>
    <w:p>
      <w:pPr>
        <w:pStyle w:val="19"/>
        <w:ind w:firstLine="480"/>
        <w:rPr>
          <w:rFonts w:hint="eastAsia" w:eastAsia="宋体"/>
          <w:color w:val="000000" w:themeColor="text1"/>
          <w:lang w:val="en-US" w:eastAsia="zh-CN"/>
          <w14:textFill>
            <w14:solidFill>
              <w14:schemeClr w14:val="tx1"/>
            </w14:solidFill>
          </w14:textFill>
        </w:rPr>
      </w:pPr>
      <w:r>
        <w:rPr>
          <w:color w:val="000000" w:themeColor="text1"/>
          <w:lang w:val="en-US"/>
          <w14:textFill>
            <w14:solidFill>
              <w14:schemeClr w14:val="tx1"/>
            </w14:solidFill>
          </w14:textFill>
        </w:rPr>
        <w:t>根据项目设计资料及实际建设情况，本项目5#罐组、6#罐组初期雨水量分别约为131</w:t>
      </w:r>
      <w:r>
        <w:rPr>
          <w:rFonts w:hint="eastAsia"/>
          <w:color w:val="000000" w:themeColor="text1"/>
          <w:lang w:val="en-US" w:eastAsia="zh-Hans"/>
          <w14:textFill>
            <w14:solidFill>
              <w14:schemeClr w14:val="tx1"/>
            </w14:solidFill>
          </w14:textFill>
        </w:rPr>
        <w:t>.</w:t>
      </w:r>
      <w:r>
        <w:rPr>
          <w:color w:val="000000" w:themeColor="text1"/>
          <w:lang w:val="en-US" w:eastAsia="zh-Hans"/>
          <w14:textFill>
            <w14:solidFill>
              <w14:schemeClr w14:val="tx1"/>
            </w14:solidFill>
          </w14:textFill>
        </w:rPr>
        <w:t>6</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、229</w:t>
      </w:r>
      <w:r>
        <w:rPr>
          <w:rFonts w:hint="eastAsia"/>
          <w:color w:val="000000" w:themeColor="text1"/>
          <w:lang w:val="en-US" w:eastAsia="zh-Hans"/>
          <w14:textFill>
            <w14:solidFill>
              <w14:schemeClr w14:val="tx1"/>
            </w14:solidFill>
          </w14:textFill>
        </w:rPr>
        <w:t>.</w:t>
      </w:r>
      <w:r>
        <w:rPr>
          <w:color w:val="000000" w:themeColor="text1"/>
          <w:lang w:val="en-US" w:eastAsia="zh-Hans"/>
          <w14:textFill>
            <w14:solidFill>
              <w14:schemeClr w14:val="tx1"/>
            </w14:solidFill>
          </w14:textFill>
        </w:rPr>
        <w:t>0</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，收集进入初期雨水池3；8#罐组初期雨水量约为311</w:t>
      </w:r>
      <w:r>
        <w:rPr>
          <w:rFonts w:hint="eastAsia"/>
          <w:color w:val="000000" w:themeColor="text1"/>
          <w:lang w:val="en-US" w:eastAsia="zh-Hans"/>
          <w14:textFill>
            <w14:solidFill>
              <w14:schemeClr w14:val="tx1"/>
            </w14:solidFill>
          </w14:textFill>
        </w:rPr>
        <w:t>.</w:t>
      </w:r>
      <w:r>
        <w:rPr>
          <w:color w:val="000000" w:themeColor="text1"/>
          <w:lang w:val="en-US" w:eastAsia="zh-Hans"/>
          <w14:textFill>
            <w14:solidFill>
              <w14:schemeClr w14:val="tx1"/>
            </w14:solidFill>
          </w14:textFill>
        </w:rPr>
        <w:t>0</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，收集进入初期雨水池4；7#</w:t>
      </w:r>
      <w:r>
        <w:rPr>
          <w:rFonts w:hint="eastAsia"/>
          <w:color w:val="000000" w:themeColor="text1"/>
          <w:lang w:val="en-US" w:eastAsia="zh-Hans"/>
          <w14:textFill>
            <w14:solidFill>
              <w14:schemeClr w14:val="tx1"/>
            </w14:solidFill>
          </w14:textFill>
        </w:rPr>
        <w:t>罐组</w:t>
      </w:r>
      <w:r>
        <w:rPr>
          <w:color w:val="000000" w:themeColor="text1"/>
          <w:lang w:val="en-US"/>
          <w14:textFill>
            <w14:solidFill>
              <w14:schemeClr w14:val="tx1"/>
            </w14:solidFill>
          </w14:textFill>
        </w:rPr>
        <w:t>初期雨水量约为82</w:t>
      </w:r>
      <w:r>
        <w:rPr>
          <w:rFonts w:hint="eastAsia"/>
          <w:color w:val="000000" w:themeColor="text1"/>
          <w:lang w:val="en-US" w:eastAsia="zh-Hans"/>
          <w14:textFill>
            <w14:solidFill>
              <w14:schemeClr w14:val="tx1"/>
            </w14:solidFill>
          </w14:textFill>
        </w:rPr>
        <w:t>.</w:t>
      </w:r>
      <w:r>
        <w:rPr>
          <w:color w:val="000000" w:themeColor="text1"/>
          <w:lang w:val="en-US" w:eastAsia="zh-Hans"/>
          <w14:textFill>
            <w14:solidFill>
              <w14:schemeClr w14:val="tx1"/>
            </w14:solidFill>
          </w14:textFill>
        </w:rPr>
        <w:t>3</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，收集进入初期雨水池5；因此，</w:t>
      </w:r>
      <w:r>
        <w:rPr>
          <w:rFonts w:hint="eastAsia"/>
          <w:color w:val="000000" w:themeColor="text1"/>
          <w:lang w:val="en-US" w:eastAsia="zh-Hans"/>
          <w14:textFill>
            <w14:solidFill>
              <w14:schemeClr w14:val="tx1"/>
            </w14:solidFill>
          </w14:textFill>
        </w:rPr>
        <w:t>上述三座</w:t>
      </w:r>
      <w:r>
        <w:rPr>
          <w:color w:val="000000" w:themeColor="text1"/>
          <w:lang w:val="en-US"/>
          <w14:textFill>
            <w14:solidFill>
              <w14:schemeClr w14:val="tx1"/>
            </w14:solidFill>
          </w14:textFill>
        </w:rPr>
        <w:t>初期雨水池容积调整后，各初期雨水池有效容积仍可满足各分区初期雨水的收集要求。</w:t>
      </w:r>
      <w:r>
        <w:rPr>
          <w:rFonts w:hint="eastAsia"/>
          <w:color w:val="000000" w:themeColor="text1"/>
          <w:lang w:val="en-US" w:eastAsia="zh-Hans"/>
          <w14:textFill>
            <w14:solidFill>
              <w14:schemeClr w14:val="tx1"/>
            </w14:solidFill>
          </w14:textFill>
        </w:rPr>
        <w:t>总有效容积方面</w:t>
      </w:r>
      <w:r>
        <w:rPr>
          <w:color w:val="000000" w:themeColor="text1"/>
          <w:lang w:val="en-US" w:eastAsia="zh-Hans"/>
          <w14:textFill>
            <w14:solidFill>
              <w14:schemeClr w14:val="tx1"/>
            </w14:solidFill>
          </w14:textFill>
        </w:rPr>
        <w:t>，</w:t>
      </w:r>
      <w:r>
        <w:rPr>
          <w:rFonts w:hint="eastAsia"/>
          <w:color w:val="000000" w:themeColor="text1"/>
          <w:lang w:val="en-US" w:eastAsia="zh-Hans"/>
          <w14:textFill>
            <w14:solidFill>
              <w14:schemeClr w14:val="tx1"/>
            </w14:solidFill>
          </w14:textFill>
        </w:rPr>
        <w:t>库区化学品调节池容积</w:t>
      </w:r>
      <w:r>
        <w:rPr>
          <w:color w:val="000000" w:themeColor="text1"/>
          <w:lang w:val="en-US" w:eastAsia="zh-Hans"/>
          <w14:textFill>
            <w14:solidFill>
              <w14:schemeClr w14:val="tx1"/>
            </w14:solidFill>
          </w14:textFill>
        </w:rPr>
        <w:t>800</w:t>
      </w:r>
      <w:r>
        <w:rPr>
          <w:rFonts w:hint="eastAsia"/>
          <w:color w:val="000000" w:themeColor="text1"/>
          <w:lang w:val="en-US" w:eastAsia="zh-Hans"/>
          <w14:textFill>
            <w14:solidFill>
              <w14:schemeClr w14:val="tx1"/>
            </w14:solidFill>
          </w14:textFill>
        </w:rPr>
        <w:t>m</w:t>
      </w:r>
      <w:r>
        <w:rPr>
          <w:color w:val="000000" w:themeColor="text1"/>
          <w:vertAlign w:val="superscript"/>
          <w:lang w:val="en-US" w:eastAsia="zh-Hans"/>
          <w14:textFill>
            <w14:solidFill>
              <w14:schemeClr w14:val="tx1"/>
            </w14:solidFill>
          </w14:textFill>
        </w:rPr>
        <w:t>3</w:t>
      </w:r>
      <w:r>
        <w:rPr>
          <w:color w:val="000000" w:themeColor="text1"/>
          <w:lang w:val="en-US" w:eastAsia="zh-Hans"/>
          <w14:textFill>
            <w14:solidFill>
              <w14:schemeClr w14:val="tx1"/>
            </w14:solidFill>
          </w14:textFill>
        </w:rPr>
        <w:t>，</w:t>
      </w:r>
      <w:r>
        <w:rPr>
          <w:rFonts w:hint="eastAsia"/>
          <w:color w:val="000000" w:themeColor="text1"/>
          <w:lang w:val="en-US" w:eastAsia="zh-Hans"/>
          <w14:textFill>
            <w14:solidFill>
              <w14:schemeClr w14:val="tx1"/>
            </w14:solidFill>
          </w14:textFill>
        </w:rPr>
        <w:t>尚有富余容积</w:t>
      </w:r>
      <w:r>
        <w:rPr>
          <w:color w:val="000000" w:themeColor="text1"/>
          <w:lang w:val="en-US" w:eastAsia="zh-Hans"/>
          <w14:textFill>
            <w14:solidFill>
              <w14:schemeClr w14:val="tx1"/>
            </w14:solidFill>
          </w14:textFill>
        </w:rPr>
        <w:t>88.6</w:t>
      </w:r>
      <w:r>
        <w:rPr>
          <w:rFonts w:hint="eastAsia"/>
          <w:color w:val="000000" w:themeColor="text1"/>
          <w:lang w:val="en-US" w:eastAsia="zh-Hans"/>
          <w14:textFill>
            <w14:solidFill>
              <w14:schemeClr w14:val="tx1"/>
            </w14:solidFill>
          </w14:textFill>
        </w:rPr>
        <w:t>m</w:t>
      </w:r>
      <w:r>
        <w:rPr>
          <w:color w:val="000000" w:themeColor="text1"/>
          <w:vertAlign w:val="superscript"/>
          <w:lang w:val="en-US" w:eastAsia="zh-Hans"/>
          <w14:textFill>
            <w14:solidFill>
              <w14:schemeClr w14:val="tx1"/>
            </w14:solidFill>
          </w14:textFill>
        </w:rPr>
        <w:t>3</w:t>
      </w:r>
      <w:r>
        <w:rPr>
          <w:color w:val="000000" w:themeColor="text1"/>
          <w:lang w:val="en-US" w:eastAsia="zh-Hans"/>
          <w14:textFill>
            <w14:solidFill>
              <w14:schemeClr w14:val="tx1"/>
            </w14:solidFill>
          </w14:textFill>
        </w:rPr>
        <w:t>（</w:t>
      </w:r>
      <w:r>
        <w:rPr>
          <w:rFonts w:hint="eastAsia"/>
          <w:color w:val="000000" w:themeColor="text1"/>
          <w:lang w:val="en-US" w:eastAsia="zh-Hans"/>
          <w14:textFill>
            <w14:solidFill>
              <w14:schemeClr w14:val="tx1"/>
            </w14:solidFill>
          </w14:textFill>
        </w:rPr>
        <w:t>环评要求化学品调节池容积</w:t>
      </w:r>
      <w:r>
        <w:rPr>
          <w:color w:val="000000" w:themeColor="text1"/>
          <w:lang w:val="en-US" w:eastAsia="zh-Hans"/>
          <w14:textFill>
            <w14:solidFill>
              <w14:schemeClr w14:val="tx1"/>
            </w14:solidFill>
          </w14:textFill>
        </w:rPr>
        <w:t>600</w:t>
      </w:r>
      <w:r>
        <w:rPr>
          <w:rFonts w:hint="eastAsia"/>
          <w:color w:val="000000" w:themeColor="text1"/>
          <w:lang w:val="en-US" w:eastAsia="zh-Hans"/>
          <w14:textFill>
            <w14:solidFill>
              <w14:schemeClr w14:val="tx1"/>
            </w14:solidFill>
          </w14:textFill>
        </w:rPr>
        <w:t>m</w:t>
      </w:r>
      <w:r>
        <w:rPr>
          <w:color w:val="000000" w:themeColor="text1"/>
          <w:vertAlign w:val="superscript"/>
          <w:lang w:val="en-US" w:eastAsia="zh-Hans"/>
          <w14:textFill>
            <w14:solidFill>
              <w14:schemeClr w14:val="tx1"/>
            </w14:solidFill>
          </w14:textFill>
        </w:rPr>
        <w:t>3</w:t>
      </w:r>
      <w:r>
        <w:rPr>
          <w:color w:val="000000" w:themeColor="text1"/>
          <w:lang w:val="en-US" w:eastAsia="zh-Hans"/>
          <w14:textFill>
            <w14:solidFill>
              <w14:schemeClr w14:val="tx1"/>
            </w14:solidFill>
          </w14:textFill>
        </w:rPr>
        <w:t>，</w:t>
      </w:r>
      <w:r>
        <w:rPr>
          <w:rFonts w:hint="eastAsia"/>
          <w:color w:val="000000" w:themeColor="text1"/>
          <w:lang w:val="en-US" w:eastAsia="zh-Hans"/>
          <w14:textFill>
            <w14:solidFill>
              <w14:schemeClr w14:val="tx1"/>
            </w14:solidFill>
          </w14:textFill>
        </w:rPr>
        <w:t>初期雨水池</w:t>
      </w:r>
      <w:r>
        <w:rPr>
          <w:rFonts w:hint="default"/>
          <w:color w:val="000000" w:themeColor="text1"/>
          <w:lang w:val="en-US" w:eastAsia="zh-Hans"/>
          <w14:textFill>
            <w14:solidFill>
              <w14:schemeClr w14:val="tx1"/>
            </w14:solidFill>
          </w14:textFill>
        </w:rPr>
        <w:t>1、2</w:t>
      </w:r>
      <w:r>
        <w:rPr>
          <w:rFonts w:hint="eastAsia"/>
          <w:color w:val="000000" w:themeColor="text1"/>
          <w:lang w:val="en-US" w:eastAsia="zh-Hans"/>
          <w14:textFill>
            <w14:solidFill>
              <w14:schemeClr w14:val="tx1"/>
            </w14:solidFill>
          </w14:textFill>
        </w:rPr>
        <w:t>及装卸区初期雨水池依托化学品调节池容积</w:t>
      </w:r>
      <w:r>
        <w:rPr>
          <w:color w:val="000000" w:themeColor="text1"/>
          <w:lang w:val="en-US" w:eastAsia="zh-Hans"/>
          <w14:textFill>
            <w14:solidFill>
              <w14:schemeClr w14:val="tx1"/>
            </w14:solidFill>
          </w14:textFill>
        </w:rPr>
        <w:t>111</w:t>
      </w:r>
      <w:r>
        <w:rPr>
          <w:rFonts w:hint="eastAsia"/>
          <w:color w:val="000000" w:themeColor="text1"/>
          <w:lang w:val="en-US" w:eastAsia="zh-Hans"/>
          <w14:textFill>
            <w14:solidFill>
              <w14:schemeClr w14:val="tx1"/>
            </w14:solidFill>
          </w14:textFill>
        </w:rPr>
        <w:t>.</w:t>
      </w:r>
      <w:r>
        <w:rPr>
          <w:color w:val="000000" w:themeColor="text1"/>
          <w:lang w:val="en-US" w:eastAsia="zh-Hans"/>
          <w14:textFill>
            <w14:solidFill>
              <w14:schemeClr w14:val="tx1"/>
            </w14:solidFill>
          </w14:textFill>
        </w:rPr>
        <w:t>4</w:t>
      </w:r>
      <w:r>
        <w:rPr>
          <w:rFonts w:hint="eastAsia"/>
          <w:color w:val="000000" w:themeColor="text1"/>
          <w:lang w:val="en-US" w:eastAsia="zh-Hans"/>
          <w14:textFill>
            <w14:solidFill>
              <w14:schemeClr w14:val="tx1"/>
            </w14:solidFill>
          </w14:textFill>
        </w:rPr>
        <w:t>m</w:t>
      </w:r>
      <w:r>
        <w:rPr>
          <w:color w:val="000000" w:themeColor="text1"/>
          <w:vertAlign w:val="superscript"/>
          <w:lang w:val="en-US" w:eastAsia="zh-Hans"/>
          <w14:textFill>
            <w14:solidFill>
              <w14:schemeClr w14:val="tx1"/>
            </w14:solidFill>
          </w14:textFill>
        </w:rPr>
        <w:t>3</w:t>
      </w:r>
      <w:r>
        <w:rPr>
          <w:color w:val="000000" w:themeColor="text1"/>
          <w:lang w:val="en-US" w:eastAsia="zh-Hans"/>
          <w14:textFill>
            <w14:solidFill>
              <w14:schemeClr w14:val="tx1"/>
            </w14:solidFill>
          </w14:textFill>
        </w:rPr>
        <w:t>），</w:t>
      </w:r>
      <w:r>
        <w:rPr>
          <w:rFonts w:hint="eastAsia"/>
          <w:color w:val="000000" w:themeColor="text1"/>
          <w:lang w:val="en-US" w:eastAsia="zh-Hans"/>
          <w14:textFill>
            <w14:solidFill>
              <w14:schemeClr w14:val="tx1"/>
            </w14:solidFill>
          </w14:textFill>
        </w:rPr>
        <w:t>现场已铺设相应雨水联通管道</w:t>
      </w:r>
      <w:r>
        <w:rPr>
          <w:rFonts w:hint="default"/>
          <w:color w:val="000000" w:themeColor="text1"/>
          <w:lang w:val="en-US" w:eastAsia="zh-Hans"/>
          <w14:textFill>
            <w14:solidFill>
              <w14:schemeClr w14:val="tx1"/>
            </w14:solidFill>
          </w14:textFill>
        </w:rPr>
        <w:t>，</w:t>
      </w:r>
      <w:r>
        <w:rPr>
          <w:rFonts w:hint="eastAsia"/>
          <w:color w:val="000000" w:themeColor="text1"/>
          <w:lang w:val="en-US" w:eastAsia="zh-Hans"/>
          <w14:textFill>
            <w14:solidFill>
              <w14:schemeClr w14:val="tx1"/>
            </w14:solidFill>
          </w14:textFill>
        </w:rPr>
        <w:t>作为初期雨水池</w:t>
      </w:r>
      <w:r>
        <w:rPr>
          <w:rFonts w:hint="default"/>
          <w:color w:val="000000" w:themeColor="text1"/>
          <w:lang w:val="en-US" w:eastAsia="zh-Hans"/>
          <w14:textFill>
            <w14:solidFill>
              <w14:schemeClr w14:val="tx1"/>
            </w14:solidFill>
          </w14:textFill>
        </w:rPr>
        <w:t>3、4、5</w:t>
      </w:r>
      <w:r>
        <w:rPr>
          <w:rFonts w:hint="eastAsia"/>
          <w:color w:val="000000" w:themeColor="text1"/>
          <w:lang w:val="en-US" w:eastAsia="zh-Hans"/>
          <w14:textFill>
            <w14:solidFill>
              <w14:schemeClr w14:val="tx1"/>
            </w14:solidFill>
          </w14:textFill>
        </w:rPr>
        <w:t>容积的补充后可</w:t>
      </w:r>
      <w:r>
        <w:rPr>
          <w:color w:val="000000" w:themeColor="text1"/>
          <w:lang w:val="en-US"/>
          <w14:textFill>
            <w14:solidFill>
              <w14:schemeClr w14:val="tx1"/>
            </w14:solidFill>
          </w14:textFill>
        </w:rPr>
        <w:t>满足环评中对初期雨水池总容积的要求，不会导致环境风险防范能力弱化或降低。</w:t>
      </w:r>
      <w:r>
        <w:rPr>
          <w:rFonts w:hint="eastAsia"/>
          <w:color w:val="000000" w:themeColor="text1"/>
          <w:lang w:val="en-US" w:eastAsia="zh-CN"/>
          <w14:textFill>
            <w14:solidFill>
              <w14:schemeClr w14:val="tx1"/>
            </w14:solidFill>
          </w14:textFill>
        </w:rPr>
        <w:t>此项变动内容已通过库区二期工程环保验收。</w:t>
      </w:r>
    </w:p>
    <w:p>
      <w:pPr>
        <w:pStyle w:val="19"/>
        <w:ind w:firstLine="480"/>
        <w:rPr>
          <w:color w:val="000000" w:themeColor="text1"/>
          <w14:textFill>
            <w14:solidFill>
              <w14:schemeClr w14:val="tx1"/>
            </w14:solidFill>
          </w14:textFill>
        </w:rPr>
      </w:pPr>
      <w:r>
        <w:rPr>
          <w:color w:val="000000" w:themeColor="text1"/>
          <w:lang w:val="en-US"/>
          <w14:textFill>
            <w14:solidFill>
              <w14:schemeClr w14:val="tx1"/>
            </w14:solidFill>
          </w14:textFill>
        </w:rPr>
        <w:t>对照</w:t>
      </w:r>
      <w:r>
        <w:rPr>
          <w:color w:val="000000" w:themeColor="text1"/>
          <w14:textFill>
            <w14:solidFill>
              <w14:schemeClr w14:val="tx1"/>
            </w14:solidFill>
          </w14:textFill>
        </w:rPr>
        <w:t>《</w:t>
      </w:r>
      <w:r>
        <w:rPr>
          <w:rFonts w:hint="eastAsia"/>
        </w:rPr>
        <w:t>港口建设项目重大变动清单</w:t>
      </w:r>
      <w:r>
        <w:rPr>
          <w:color w:val="000000" w:themeColor="text1"/>
          <w14:textFill>
            <w14:solidFill>
              <w14:schemeClr w14:val="tx1"/>
            </w14:solidFill>
          </w14:textFill>
        </w:rPr>
        <w:t>（试行）》进行</w:t>
      </w:r>
      <w:r>
        <w:rPr>
          <w:color w:val="000000" w:themeColor="text1"/>
          <w:lang w:val="en-US"/>
          <w14:textFill>
            <w14:solidFill>
              <w14:schemeClr w14:val="tx1"/>
            </w14:solidFill>
          </w14:textFill>
        </w:rPr>
        <w:t>比较</w:t>
      </w:r>
      <w:r>
        <w:rPr>
          <w:color w:val="000000" w:themeColor="text1"/>
          <w14:textFill>
            <w14:solidFill>
              <w14:schemeClr w14:val="tx1"/>
            </w14:solidFill>
          </w14:textFill>
        </w:rPr>
        <w:t>，本项目实际建设内容与原环评文件变更情况及重大变更判断详见表3.</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.1，</w:t>
      </w:r>
      <w:r>
        <w:rPr>
          <w:color w:val="000000" w:themeColor="text1"/>
          <w:lang w:val="en-US"/>
          <w14:textFill>
            <w14:solidFill>
              <w14:schemeClr w14:val="tx1"/>
            </w14:solidFill>
          </w14:textFill>
        </w:rPr>
        <w:t>如表所示</w:t>
      </w:r>
      <w:r>
        <w:rPr>
          <w:color w:val="000000" w:themeColor="text1"/>
          <w14:textFill>
            <w14:solidFill>
              <w14:schemeClr w14:val="tx1"/>
            </w14:solidFill>
          </w14:textFill>
        </w:rPr>
        <w:t>，</w:t>
      </w:r>
      <w:r>
        <w:rPr>
          <w:color w:val="000000" w:themeColor="text1"/>
          <w:lang w:val="en-US"/>
          <w14:textFill>
            <w14:solidFill>
              <w14:schemeClr w14:val="tx1"/>
            </w14:solidFill>
          </w14:textFill>
        </w:rPr>
        <w:t>项目</w:t>
      </w:r>
      <w:r>
        <w:rPr>
          <w:color w:val="000000" w:themeColor="text1"/>
          <w14:textFill>
            <w14:solidFill>
              <w14:schemeClr w14:val="tx1"/>
            </w14:solidFill>
          </w14:textFill>
        </w:rPr>
        <w:t>调整内容均不涉及该清单五个因素中的重大变动类型。</w:t>
      </w:r>
    </w:p>
    <w:p>
      <w:pPr>
        <w:pStyle w:val="19"/>
        <w:ind w:firstLine="480"/>
        <w:rPr>
          <w:color w:val="000000" w:themeColor="text1"/>
          <w:lang w:val="en-US"/>
          <w14:textFill>
            <w14:solidFill>
              <w14:schemeClr w14:val="tx1"/>
            </w14:solidFill>
          </w14:textFill>
        </w:rPr>
      </w:pPr>
      <w:r>
        <w:rPr>
          <w:color w:val="000000" w:themeColor="text1"/>
          <w:lang w:val="en-US"/>
          <w14:textFill>
            <w14:solidFill>
              <w14:schemeClr w14:val="tx1"/>
            </w14:solidFill>
          </w14:textFill>
        </w:rPr>
        <w:t>综上，本项目未涉及重大变动，</w:t>
      </w:r>
      <w:r>
        <w:rPr>
          <w:rFonts w:hint="eastAsia"/>
          <w:color w:val="000000" w:themeColor="text1"/>
          <w:lang w:val="en-US" w:eastAsia="zh-CN"/>
          <w14:textFill>
            <w14:solidFill>
              <w14:schemeClr w14:val="tx1"/>
            </w14:solidFill>
          </w14:textFill>
        </w:rPr>
        <w:t>其他变动情况可</w:t>
      </w:r>
      <w:r>
        <w:rPr>
          <w:color w:val="000000" w:themeColor="text1"/>
          <w:lang w:val="en-US"/>
          <w14:textFill>
            <w14:solidFill>
              <w14:schemeClr w14:val="tx1"/>
            </w14:solidFill>
          </w14:textFill>
        </w:rPr>
        <w:t>纳入竣工环境保护验收管理。</w:t>
      </w:r>
    </w:p>
    <w:p>
      <w:pPr>
        <w:pStyle w:val="19"/>
        <w:ind w:left="0" w:leftChars="0" w:firstLine="0" w:firstLineChars="0"/>
        <w:rPr>
          <w:color w:val="000000" w:themeColor="text1"/>
          <w:lang w:val="en-US" w:eastAsia="zh-Hans"/>
          <w14:textFill>
            <w14:solidFill>
              <w14:schemeClr w14:val="tx1"/>
            </w14:solidFill>
          </w14:textFill>
        </w:rPr>
      </w:pPr>
    </w:p>
    <w:p>
      <w:pPr>
        <w:pStyle w:val="19"/>
        <w:ind w:left="0" w:leftChars="0" w:firstLine="0" w:firstLineChars="0"/>
        <w:rPr>
          <w:color w:val="000000" w:themeColor="text1"/>
          <w:lang w:val="en-US" w:eastAsia="zh-Han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bidi w:val="0"/>
      </w:pPr>
      <w:r>
        <w:t>表3.</w:t>
      </w:r>
      <w:r>
        <w:rPr>
          <w:rFonts w:hint="eastAsia"/>
          <w:lang w:val="en-US" w:eastAsia="zh-CN"/>
        </w:rPr>
        <w:t>6</w:t>
      </w:r>
      <w:r>
        <w:t>.1 项目建设内容变更情况判断一览表</w:t>
      </w:r>
    </w:p>
    <w:tbl>
      <w:tblPr>
        <w:tblStyle w:val="15"/>
        <w:tblW w:w="14174"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7"/>
        <w:gridCol w:w="3432"/>
        <w:gridCol w:w="4740"/>
        <w:gridCol w:w="2393"/>
        <w:gridCol w:w="276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Align w:val="center"/>
          </w:tcPr>
          <w:p>
            <w:pPr>
              <w:pStyle w:val="24"/>
            </w:pPr>
            <w:r>
              <w:t>项目</w:t>
            </w:r>
          </w:p>
        </w:tc>
        <w:tc>
          <w:tcPr>
            <w:tcW w:w="3432" w:type="dxa"/>
            <w:vAlign w:val="center"/>
          </w:tcPr>
          <w:p>
            <w:pPr>
              <w:pStyle w:val="24"/>
            </w:pPr>
            <w:r>
              <w:rPr>
                <w:rFonts w:hint="eastAsia"/>
              </w:rPr>
              <w:t>港口建设项目重大变动清单</w:t>
            </w:r>
            <w:r>
              <w:t>规定</w:t>
            </w:r>
          </w:p>
        </w:tc>
        <w:tc>
          <w:tcPr>
            <w:tcW w:w="4740" w:type="dxa"/>
            <w:vAlign w:val="center"/>
          </w:tcPr>
          <w:p>
            <w:pPr>
              <w:pStyle w:val="24"/>
              <w:rPr>
                <w:lang w:eastAsia="zh-Hans"/>
              </w:rPr>
            </w:pPr>
            <w:r>
              <w:rPr>
                <w:rFonts w:hint="eastAsia"/>
                <w:lang w:eastAsia="zh-Hans"/>
              </w:rPr>
              <w:t>项目实际建设与</w:t>
            </w:r>
            <w:r>
              <w:t>环评及批复要求</w:t>
            </w:r>
            <w:r>
              <w:rPr>
                <w:rFonts w:hint="eastAsia"/>
                <w:lang w:eastAsia="zh-Hans"/>
              </w:rPr>
              <w:t>变化情况</w:t>
            </w:r>
          </w:p>
        </w:tc>
        <w:tc>
          <w:tcPr>
            <w:tcW w:w="2393" w:type="dxa"/>
            <w:vAlign w:val="center"/>
          </w:tcPr>
          <w:p>
            <w:pPr>
              <w:pStyle w:val="24"/>
              <w:rPr>
                <w:lang w:eastAsia="zh-Hans"/>
              </w:rPr>
            </w:pPr>
            <w:r>
              <w:rPr>
                <w:rFonts w:hint="eastAsia"/>
                <w:lang w:eastAsia="zh-Hans"/>
              </w:rPr>
              <w:t>是否发生变化</w:t>
            </w:r>
          </w:p>
        </w:tc>
        <w:tc>
          <w:tcPr>
            <w:tcW w:w="2762" w:type="dxa"/>
            <w:vAlign w:val="center"/>
          </w:tcPr>
          <w:p>
            <w:pPr>
              <w:pStyle w:val="24"/>
              <w:rPr>
                <w:lang w:eastAsia="zh-Hans"/>
              </w:rPr>
            </w:pPr>
            <w:r>
              <w:rPr>
                <w:rFonts w:hint="eastAsia"/>
                <w:lang w:eastAsia="zh-Hans"/>
              </w:rPr>
              <w:t>是否属于重大变化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Align w:val="center"/>
          </w:tcPr>
          <w:p>
            <w:pPr>
              <w:pStyle w:val="24"/>
              <w:rPr>
                <w:lang w:eastAsia="zh-Hans"/>
              </w:rPr>
            </w:pPr>
            <w:r>
              <w:rPr>
                <w:rFonts w:hint="eastAsia"/>
                <w:lang w:eastAsia="zh-Hans"/>
              </w:rPr>
              <w:t>性质</w:t>
            </w:r>
          </w:p>
        </w:tc>
        <w:tc>
          <w:tcPr>
            <w:tcW w:w="3432" w:type="dxa"/>
            <w:vAlign w:val="center"/>
          </w:tcPr>
          <w:p>
            <w:pPr>
              <w:pStyle w:val="24"/>
              <w:jc w:val="both"/>
            </w:pPr>
            <w:r>
              <w:t>1</w:t>
            </w:r>
            <w:r>
              <w:rPr>
                <w:rFonts w:hint="eastAsia"/>
                <w:lang w:eastAsia="zh-Hans"/>
              </w:rPr>
              <w:t>.</w:t>
            </w:r>
            <w:r>
              <w:rPr>
                <w:rFonts w:hint="eastAsia"/>
              </w:rPr>
              <w:t>码头性质发生变动，如干散货、液体散货、集装箱、多用途、件杂货、通用码头等各类码头之间的转化。</w:t>
            </w:r>
          </w:p>
        </w:tc>
        <w:tc>
          <w:tcPr>
            <w:tcW w:w="4740" w:type="dxa"/>
            <w:vAlign w:val="center"/>
          </w:tcPr>
          <w:p>
            <w:pPr>
              <w:pStyle w:val="24"/>
              <w:jc w:val="both"/>
              <w:rPr>
                <w:lang w:eastAsia="zh-Hans"/>
              </w:rPr>
            </w:pPr>
            <w:r>
              <w:rPr>
                <w:rFonts w:hint="eastAsia"/>
                <w:lang w:eastAsia="zh-Hans"/>
              </w:rPr>
              <w:t>本项目前方码头性质不变</w:t>
            </w:r>
            <w:r>
              <w:rPr>
                <w:lang w:eastAsia="zh-Hans"/>
              </w:rPr>
              <w:t>，</w:t>
            </w:r>
            <w:r>
              <w:rPr>
                <w:rFonts w:hint="eastAsia"/>
                <w:lang w:eastAsia="zh-Hans"/>
              </w:rPr>
              <w:t>仍为液体散货码头</w:t>
            </w:r>
            <w:r>
              <w:rPr>
                <w:lang w:eastAsia="zh-Hans"/>
              </w:rPr>
              <w:t>。</w:t>
            </w:r>
          </w:p>
        </w:tc>
        <w:tc>
          <w:tcPr>
            <w:tcW w:w="2393" w:type="dxa"/>
            <w:vAlign w:val="center"/>
          </w:tcPr>
          <w:p>
            <w:pPr>
              <w:pStyle w:val="24"/>
              <w:rPr>
                <w:lang w:eastAsia="zh-Hans"/>
              </w:rPr>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rPr>
                <w:rFonts w:hint="eastAsia" w:eastAsia="宋体"/>
                <w:lang w:eastAsia="zh-CN"/>
              </w:rPr>
            </w:pPr>
            <w:r>
              <w:rPr>
                <w:rFonts w:hint="eastAsia"/>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restart"/>
            <w:vAlign w:val="center"/>
          </w:tcPr>
          <w:p>
            <w:pPr>
              <w:pStyle w:val="24"/>
              <w:rPr>
                <w:lang w:eastAsia="zh-Hans"/>
              </w:rPr>
            </w:pPr>
            <w:r>
              <w:rPr>
                <w:rFonts w:hint="eastAsia"/>
                <w:lang w:eastAsia="zh-Hans"/>
              </w:rPr>
              <w:t>规模</w:t>
            </w:r>
          </w:p>
        </w:tc>
        <w:tc>
          <w:tcPr>
            <w:tcW w:w="3432" w:type="dxa"/>
            <w:vAlign w:val="center"/>
          </w:tcPr>
          <w:p>
            <w:pPr>
              <w:pStyle w:val="24"/>
              <w:jc w:val="both"/>
              <w:rPr>
                <w:lang w:eastAsia="zh-Hans"/>
              </w:rPr>
            </w:pPr>
            <w:r>
              <w:t>2</w:t>
            </w:r>
            <w:r>
              <w:rPr>
                <w:rFonts w:hint="eastAsia"/>
                <w:lang w:eastAsia="zh-Hans"/>
              </w:rPr>
              <w:t>.码头工程泊位数量增加、等级提高、新增罐区（堆场）等工程内容。</w:t>
            </w:r>
          </w:p>
        </w:tc>
        <w:tc>
          <w:tcPr>
            <w:tcW w:w="4740" w:type="dxa"/>
            <w:vAlign w:val="center"/>
          </w:tcPr>
          <w:p>
            <w:pPr>
              <w:pStyle w:val="24"/>
              <w:jc w:val="both"/>
              <w:rPr>
                <w:lang w:eastAsia="zh-Hans"/>
              </w:rPr>
            </w:pPr>
            <w:r>
              <w:rPr>
                <w:rFonts w:hint="eastAsia"/>
                <w:lang w:eastAsia="zh-Hans"/>
              </w:rPr>
              <w:t>本项目前方码头为</w:t>
            </w:r>
            <w:r>
              <w:rPr>
                <w:lang w:eastAsia="zh-Hans"/>
              </w:rPr>
              <w:t>3</w:t>
            </w:r>
            <w:r>
              <w:rPr>
                <w:rFonts w:hint="eastAsia"/>
              </w:rPr>
              <w:t>万吨级石化泊位</w:t>
            </w:r>
            <w:r>
              <w:t>（</w:t>
            </w:r>
            <w:r>
              <w:rPr>
                <w:rFonts w:hint="eastAsia"/>
              </w:rPr>
              <w:t>同时兼靠1艘 3000 吨级和1艘5000吨级船舶</w:t>
            </w:r>
            <w:r>
              <w:t>）</w:t>
            </w:r>
            <w:r>
              <w:rPr>
                <w:rFonts w:hint="eastAsia"/>
              </w:rPr>
              <w:t>一个</w:t>
            </w:r>
            <w:r>
              <w:t>，</w:t>
            </w:r>
            <w:r>
              <w:rPr>
                <w:rFonts w:hint="eastAsia"/>
                <w:lang w:eastAsia="zh-Hans"/>
              </w:rPr>
              <w:t>泊位数量及等级不变</w:t>
            </w:r>
            <w:r>
              <w:rPr>
                <w:lang w:eastAsia="zh-Hans"/>
              </w:rPr>
              <w:t>；</w:t>
            </w:r>
            <w:r>
              <w:rPr>
                <w:rFonts w:hint="eastAsia"/>
                <w:lang w:eastAsia="zh-Hans"/>
              </w:rPr>
              <w:t>后方仓储项目共建设</w:t>
            </w:r>
            <w:r>
              <w:t>储罐61座，总</w:t>
            </w:r>
            <w:r>
              <w:rPr>
                <w:rFonts w:hint="eastAsia"/>
                <w:lang w:eastAsia="zh-Hans"/>
              </w:rPr>
              <w:t>库</w:t>
            </w:r>
            <w:r>
              <w:t>容44.35万m</w:t>
            </w:r>
            <w:r>
              <w:rPr>
                <w:vertAlign w:val="superscript"/>
              </w:rPr>
              <w:t>3</w:t>
            </w:r>
            <w:r>
              <w:t>，</w:t>
            </w:r>
            <w:r>
              <w:rPr>
                <w:rFonts w:hint="eastAsia"/>
              </w:rPr>
              <w:t>不涉及新增罐区（堆场）等工程内容。</w:t>
            </w:r>
          </w:p>
        </w:tc>
        <w:tc>
          <w:tcPr>
            <w:tcW w:w="2393" w:type="dxa"/>
            <w:vAlign w:val="center"/>
          </w:tcPr>
          <w:p>
            <w:pPr>
              <w:pStyle w:val="24"/>
              <w:rPr>
                <w:lang w:eastAsia="zh-Hans"/>
              </w:rPr>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pPr>
          </w:p>
        </w:tc>
        <w:tc>
          <w:tcPr>
            <w:tcW w:w="3432" w:type="dxa"/>
            <w:vAlign w:val="center"/>
          </w:tcPr>
          <w:p>
            <w:pPr>
              <w:pStyle w:val="24"/>
              <w:jc w:val="both"/>
            </w:pPr>
            <w:r>
              <w:rPr>
                <w:rFonts w:hint="eastAsia"/>
              </w:rPr>
              <w:t>3.码头设计通过能力增加30%及以上。</w:t>
            </w:r>
          </w:p>
        </w:tc>
        <w:tc>
          <w:tcPr>
            <w:tcW w:w="4740" w:type="dxa"/>
            <w:vAlign w:val="center"/>
          </w:tcPr>
          <w:p>
            <w:pPr>
              <w:pStyle w:val="24"/>
              <w:jc w:val="both"/>
            </w:pPr>
            <w:r>
              <w:rPr>
                <w:rFonts w:hint="eastAsia"/>
              </w:rPr>
              <w:t>码头设计通过能力为178万吨</w:t>
            </w:r>
            <w:r>
              <w:rPr>
                <w:rFonts w:hint="eastAsia"/>
                <w:lang w:val="en-US" w:eastAsia="zh-CN"/>
              </w:rPr>
              <w:t>/年</w:t>
            </w:r>
            <w:r>
              <w:rPr>
                <w:rFonts w:hint="eastAsia"/>
              </w:rPr>
              <w:t>，年吞吐量为17</w:t>
            </w:r>
            <w:r>
              <w:rPr>
                <w:rFonts w:hint="eastAsia"/>
                <w:lang w:val="en-US" w:eastAsia="zh-CN"/>
              </w:rPr>
              <w:t>8</w:t>
            </w:r>
            <w:r>
              <w:rPr>
                <w:rFonts w:hint="eastAsia"/>
              </w:rPr>
              <w:t>万吨</w:t>
            </w:r>
            <w:r>
              <w:rPr>
                <w:rFonts w:hint="eastAsia"/>
                <w:lang w:val="en-US" w:eastAsia="zh-CN"/>
              </w:rPr>
              <w:t>/年</w:t>
            </w:r>
            <w:r>
              <w:rPr>
                <w:rFonts w:hint="eastAsia"/>
              </w:rPr>
              <w:t>，实际设计通过能力不变，年吞吐量</w:t>
            </w:r>
            <w:r>
              <w:rPr>
                <w:rFonts w:hint="eastAsia"/>
                <w:lang w:eastAsia="zh-CN"/>
              </w:rPr>
              <w:t>不变</w:t>
            </w:r>
            <w:r>
              <w:rPr>
                <w:rFonts w:hint="eastAsia"/>
              </w:rPr>
              <w:t>。</w:t>
            </w:r>
          </w:p>
        </w:tc>
        <w:tc>
          <w:tcPr>
            <w:tcW w:w="2393" w:type="dxa"/>
            <w:vAlign w:val="center"/>
          </w:tcPr>
          <w:p>
            <w:pPr>
              <w:pStyle w:val="24"/>
            </w:pPr>
            <w:r>
              <w:rPr>
                <w:rFonts w:hint="eastAsia"/>
                <w:lang w:eastAsia="zh-Hans"/>
              </w:rPr>
              <w:t>与环评一致，无变化</w:t>
            </w:r>
          </w:p>
        </w:tc>
        <w:tc>
          <w:tcPr>
            <w:tcW w:w="2762" w:type="dxa"/>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pPr>
          </w:p>
        </w:tc>
        <w:tc>
          <w:tcPr>
            <w:tcW w:w="3432" w:type="dxa"/>
            <w:vAlign w:val="center"/>
          </w:tcPr>
          <w:p>
            <w:pPr>
              <w:pStyle w:val="24"/>
              <w:jc w:val="both"/>
            </w:pPr>
            <w:r>
              <w:rPr>
                <w:rFonts w:hint="eastAsia"/>
              </w:rPr>
              <w:t>4.工程占地和用海总面积（含陆域面积、水域面积、疏浚面积）增加30%及以上。</w:t>
            </w:r>
          </w:p>
        </w:tc>
        <w:tc>
          <w:tcPr>
            <w:tcW w:w="4740" w:type="dxa"/>
            <w:vAlign w:val="center"/>
          </w:tcPr>
          <w:p>
            <w:pPr>
              <w:pStyle w:val="24"/>
              <w:jc w:val="both"/>
            </w:pPr>
            <w:r>
              <w:rPr>
                <w:rFonts w:hint="eastAsia"/>
              </w:rPr>
              <w:t>工程占地和用海总面积不变。</w:t>
            </w:r>
          </w:p>
        </w:tc>
        <w:tc>
          <w:tcPr>
            <w:tcW w:w="2393" w:type="dxa"/>
            <w:vAlign w:val="center"/>
          </w:tcPr>
          <w:p>
            <w:pPr>
              <w:pStyle w:val="24"/>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pPr>
          </w:p>
        </w:tc>
        <w:tc>
          <w:tcPr>
            <w:tcW w:w="3432" w:type="dxa"/>
            <w:vAlign w:val="center"/>
          </w:tcPr>
          <w:p>
            <w:pPr>
              <w:pStyle w:val="24"/>
              <w:jc w:val="both"/>
            </w:pPr>
            <w:r>
              <w:rPr>
                <w:rFonts w:hint="eastAsia"/>
              </w:rPr>
              <w:t>5.危险品储罐数量增加30%及以上。</w:t>
            </w:r>
          </w:p>
        </w:tc>
        <w:tc>
          <w:tcPr>
            <w:tcW w:w="4740" w:type="dxa"/>
            <w:vAlign w:val="center"/>
          </w:tcPr>
          <w:p>
            <w:pPr>
              <w:pStyle w:val="24"/>
              <w:jc w:val="both"/>
              <w:rPr>
                <w:lang w:eastAsia="zh-Hans"/>
              </w:rPr>
            </w:pPr>
            <w:r>
              <w:rPr>
                <w:rFonts w:hint="eastAsia"/>
                <w:lang w:eastAsia="zh-Hans"/>
              </w:rPr>
              <w:t>后方仓储区共建设储罐</w:t>
            </w:r>
            <w:r>
              <w:rPr>
                <w:lang w:eastAsia="zh-Hans"/>
              </w:rPr>
              <w:t>61</w:t>
            </w:r>
            <w:r>
              <w:rPr>
                <w:rFonts w:hint="eastAsia"/>
                <w:lang w:eastAsia="zh-Hans"/>
              </w:rPr>
              <w:t>座</w:t>
            </w:r>
            <w:r>
              <w:rPr>
                <w:lang w:eastAsia="zh-Hans"/>
              </w:rPr>
              <w:t>，</w:t>
            </w:r>
            <w:r>
              <w:t>总罐容44.35万m</w:t>
            </w:r>
            <w:r>
              <w:rPr>
                <w:vertAlign w:val="superscript"/>
              </w:rPr>
              <w:t>3</w:t>
            </w:r>
            <w:r>
              <w:t>，</w:t>
            </w:r>
            <w:r>
              <w:rPr>
                <w:rFonts w:hint="eastAsia"/>
                <w:lang w:eastAsia="zh-Hans"/>
              </w:rPr>
              <w:t>不涉及储罐数量增加</w:t>
            </w:r>
            <w:r>
              <w:rPr>
                <w:lang w:eastAsia="zh-Hans"/>
              </w:rPr>
              <w:t>。</w:t>
            </w:r>
          </w:p>
        </w:tc>
        <w:tc>
          <w:tcPr>
            <w:tcW w:w="2393" w:type="dxa"/>
            <w:vAlign w:val="center"/>
          </w:tcPr>
          <w:p>
            <w:pPr>
              <w:pStyle w:val="24"/>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restart"/>
            <w:vAlign w:val="center"/>
          </w:tcPr>
          <w:p>
            <w:pPr>
              <w:pStyle w:val="24"/>
              <w:rPr>
                <w:lang w:eastAsia="zh-Hans"/>
              </w:rPr>
            </w:pPr>
            <w:r>
              <w:rPr>
                <w:rFonts w:hint="eastAsia"/>
                <w:lang w:eastAsia="zh-Hans"/>
              </w:rPr>
              <w:t>地点</w:t>
            </w:r>
          </w:p>
        </w:tc>
        <w:tc>
          <w:tcPr>
            <w:tcW w:w="3432" w:type="dxa"/>
            <w:vAlign w:val="center"/>
          </w:tcPr>
          <w:p>
            <w:pPr>
              <w:pStyle w:val="24"/>
              <w:jc w:val="both"/>
            </w:pPr>
            <w:r>
              <w:rPr>
                <w:rFonts w:hint="eastAsia"/>
              </w:rPr>
              <w:t>6.工程组成中码头岸线、航道、防波堤位置调整使得评价范围内出现新的自然保护区、风景名胜区、饮用水水源保护区等环境敏感区和要求更高的环境功能区。</w:t>
            </w:r>
          </w:p>
        </w:tc>
        <w:tc>
          <w:tcPr>
            <w:tcW w:w="4740" w:type="dxa"/>
            <w:vAlign w:val="center"/>
          </w:tcPr>
          <w:p>
            <w:pPr>
              <w:pStyle w:val="24"/>
              <w:jc w:val="both"/>
            </w:pPr>
            <w:r>
              <w:rPr>
                <w:rFonts w:hint="eastAsia"/>
              </w:rPr>
              <w:t>项目工程组成中码头岸线、航道、防波堤位置均未调整。</w:t>
            </w:r>
          </w:p>
        </w:tc>
        <w:tc>
          <w:tcPr>
            <w:tcW w:w="2393" w:type="dxa"/>
            <w:vAlign w:val="center"/>
          </w:tcPr>
          <w:p>
            <w:pPr>
              <w:pStyle w:val="24"/>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847" w:type="dxa"/>
            <w:vMerge w:val="continue"/>
            <w:vAlign w:val="center"/>
          </w:tcPr>
          <w:p>
            <w:pPr>
              <w:pStyle w:val="24"/>
            </w:pPr>
          </w:p>
        </w:tc>
        <w:tc>
          <w:tcPr>
            <w:tcW w:w="3432" w:type="dxa"/>
            <w:vAlign w:val="center"/>
          </w:tcPr>
          <w:p>
            <w:pPr>
              <w:pStyle w:val="24"/>
              <w:jc w:val="both"/>
            </w:pPr>
            <w:r>
              <w:rPr>
                <w:rFonts w:hint="eastAsia"/>
              </w:rPr>
              <w:t>7.集装箱危险品堆场位置发生变化导致环境风险增加。</w:t>
            </w:r>
          </w:p>
        </w:tc>
        <w:tc>
          <w:tcPr>
            <w:tcW w:w="4740" w:type="dxa"/>
            <w:vAlign w:val="center"/>
          </w:tcPr>
          <w:p>
            <w:pPr>
              <w:pStyle w:val="24"/>
              <w:jc w:val="both"/>
              <w:rPr>
                <w:lang w:eastAsia="zh-Hans"/>
              </w:rPr>
            </w:pPr>
            <w:r>
              <w:rPr>
                <w:rFonts w:hint="eastAsia"/>
              </w:rPr>
              <w:t>项目不涉及集装箱危险品堆场</w:t>
            </w:r>
            <w:r>
              <w:t>，</w:t>
            </w:r>
            <w:r>
              <w:rPr>
                <w:rFonts w:hint="eastAsia"/>
                <w:lang w:eastAsia="zh-Hans"/>
              </w:rPr>
              <w:t>各罐组位置均按设计要求建设</w:t>
            </w:r>
            <w:r>
              <w:rPr>
                <w:lang w:eastAsia="zh-Hans"/>
              </w:rPr>
              <w:t>。</w:t>
            </w:r>
          </w:p>
        </w:tc>
        <w:tc>
          <w:tcPr>
            <w:tcW w:w="2393" w:type="dxa"/>
            <w:vAlign w:val="center"/>
          </w:tcPr>
          <w:p>
            <w:pPr>
              <w:pStyle w:val="24"/>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restart"/>
            <w:vAlign w:val="center"/>
          </w:tcPr>
          <w:p>
            <w:pPr>
              <w:pStyle w:val="24"/>
              <w:rPr>
                <w:lang w:eastAsia="zh-Hans"/>
              </w:rPr>
            </w:pPr>
            <w:r>
              <w:rPr>
                <w:rFonts w:hint="eastAsia"/>
                <w:lang w:eastAsia="zh-Hans"/>
              </w:rPr>
              <w:t>生产工艺</w:t>
            </w:r>
          </w:p>
        </w:tc>
        <w:tc>
          <w:tcPr>
            <w:tcW w:w="3432" w:type="dxa"/>
            <w:vAlign w:val="center"/>
          </w:tcPr>
          <w:p>
            <w:pPr>
              <w:pStyle w:val="24"/>
              <w:jc w:val="both"/>
            </w:pPr>
            <w:r>
              <w:rPr>
                <w:rFonts w:hint="eastAsia"/>
              </w:rPr>
              <w:t>8.干散货码头装卸方式、堆场堆存方式发生变化，导致大气污染源强增大。</w:t>
            </w:r>
          </w:p>
        </w:tc>
        <w:tc>
          <w:tcPr>
            <w:tcW w:w="4740" w:type="dxa"/>
            <w:vMerge w:val="restart"/>
            <w:vAlign w:val="center"/>
          </w:tcPr>
          <w:p>
            <w:pPr>
              <w:pStyle w:val="24"/>
              <w:jc w:val="both"/>
              <w:rPr>
                <w:lang w:eastAsia="zh-Hans"/>
              </w:rPr>
            </w:pPr>
            <w:r>
              <w:rPr>
                <w:rFonts w:hint="eastAsia"/>
                <w:lang w:eastAsia="zh-Hans"/>
              </w:rPr>
              <w:t>本项目前方码头为液化码头</w:t>
            </w:r>
            <w:r>
              <w:rPr>
                <w:lang w:eastAsia="zh-Hans"/>
              </w:rPr>
              <w:t>。</w:t>
            </w:r>
          </w:p>
          <w:p>
            <w:pPr>
              <w:pStyle w:val="24"/>
              <w:jc w:val="both"/>
              <w:rPr>
                <w:lang w:eastAsia="zh-Hans"/>
              </w:rPr>
            </w:pPr>
            <w:r>
              <w:rPr>
                <w:rFonts w:hint="eastAsia"/>
                <w:lang w:eastAsia="zh-Hans"/>
              </w:rPr>
              <w:t>码头</w:t>
            </w:r>
            <w:r>
              <w:rPr>
                <w:rFonts w:hint="eastAsia"/>
                <w:lang w:eastAsia="zh-CN"/>
              </w:rPr>
              <w:t>和库区</w:t>
            </w:r>
            <w:r>
              <w:rPr>
                <w:rFonts w:hint="eastAsia"/>
                <w:lang w:eastAsia="zh-Hans"/>
              </w:rPr>
              <w:t>涉及货种</w:t>
            </w:r>
            <w:r>
              <w:rPr>
                <w:rFonts w:hint="eastAsia"/>
                <w:lang w:eastAsia="zh-CN"/>
              </w:rPr>
              <w:t>实际</w:t>
            </w:r>
            <w:r>
              <w:rPr>
                <w:rFonts w:hint="eastAsia"/>
                <w:lang w:eastAsia="zh-Hans"/>
              </w:rPr>
              <w:t>为油品类</w:t>
            </w:r>
            <w:r>
              <w:rPr>
                <w:rFonts w:hint="eastAsia"/>
                <w:lang w:val="en-US" w:eastAsia="zh-CN"/>
              </w:rPr>
              <w:t>15</w:t>
            </w:r>
            <w:r>
              <w:rPr>
                <w:rFonts w:hint="eastAsia"/>
                <w:lang w:eastAsia="zh-Hans"/>
              </w:rPr>
              <w:t>种和化工品</w:t>
            </w:r>
            <w:r>
              <w:rPr>
                <w:rFonts w:hint="eastAsia"/>
                <w:lang w:val="en-US" w:eastAsia="zh-CN"/>
              </w:rPr>
              <w:t>43</w:t>
            </w:r>
            <w:r>
              <w:rPr>
                <w:rFonts w:hint="eastAsia"/>
                <w:lang w:eastAsia="zh-Hans"/>
              </w:rPr>
              <w:t>种</w:t>
            </w:r>
            <w:r>
              <w:rPr>
                <w:lang w:eastAsia="zh-Hans"/>
              </w:rPr>
              <w:t>，</w:t>
            </w:r>
            <w:r>
              <w:rPr>
                <w:rFonts w:hint="eastAsia"/>
                <w:lang w:eastAsia="zh-Hans"/>
              </w:rPr>
              <w:t>共</w:t>
            </w:r>
            <w:r>
              <w:rPr>
                <w:lang w:eastAsia="zh-Hans"/>
              </w:rPr>
              <w:t>5</w:t>
            </w:r>
            <w:r>
              <w:rPr>
                <w:rFonts w:hint="eastAsia"/>
                <w:lang w:val="en-US" w:eastAsia="zh-CN"/>
              </w:rPr>
              <w:t>8</w:t>
            </w:r>
            <w:r>
              <w:rPr>
                <w:rFonts w:hint="eastAsia"/>
                <w:lang w:eastAsia="zh-Hans"/>
              </w:rPr>
              <w:t>种</w:t>
            </w:r>
            <w:r>
              <w:rPr>
                <w:lang w:eastAsia="zh-Hans"/>
              </w:rPr>
              <w:t>；</w:t>
            </w:r>
            <w:r>
              <w:rPr>
                <w:rFonts w:hint="eastAsia"/>
                <w:lang w:eastAsia="zh-Hans"/>
              </w:rPr>
              <w:t>与环评相比</w:t>
            </w:r>
            <w:r>
              <w:rPr>
                <w:lang w:eastAsia="zh-Hans"/>
              </w:rPr>
              <w:t>，</w:t>
            </w:r>
            <w:r>
              <w:rPr>
                <w:rFonts w:hint="eastAsia"/>
                <w:lang w:eastAsia="zh-Hans"/>
              </w:rPr>
              <w:t>未新增货种</w:t>
            </w:r>
            <w:r>
              <w:rPr>
                <w:lang w:eastAsia="zh-Hans"/>
              </w:rPr>
              <w:t>。</w:t>
            </w:r>
          </w:p>
        </w:tc>
        <w:tc>
          <w:tcPr>
            <w:tcW w:w="2393" w:type="dxa"/>
            <w:vMerge w:val="restart"/>
            <w:vAlign w:val="center"/>
          </w:tcPr>
          <w:p>
            <w:pPr>
              <w:pStyle w:val="24"/>
              <w:rPr>
                <w:rFonts w:hint="eastAsia" w:eastAsia="宋体"/>
                <w:lang w:eastAsia="zh-CN"/>
              </w:rPr>
            </w:pPr>
            <w:r>
              <w:rPr>
                <w:rFonts w:hint="eastAsia"/>
                <w:lang w:val="en-US" w:eastAsia="zh-CN"/>
              </w:rPr>
              <w:t>发生</w:t>
            </w:r>
            <w:r>
              <w:rPr>
                <w:rFonts w:hint="eastAsia"/>
                <w:lang w:eastAsia="zh-CN"/>
              </w:rPr>
              <w:t>变化，较</w:t>
            </w:r>
            <w:r>
              <w:rPr>
                <w:rFonts w:hint="eastAsia"/>
                <w:lang w:eastAsia="zh-Hans"/>
              </w:rPr>
              <w:t>环评</w:t>
            </w:r>
            <w:r>
              <w:rPr>
                <w:rFonts w:hint="eastAsia"/>
                <w:lang w:eastAsia="zh-CN"/>
              </w:rPr>
              <w:t>减少</w:t>
            </w:r>
            <w:r>
              <w:rPr>
                <w:rFonts w:hint="eastAsia"/>
                <w:lang w:val="en-US" w:eastAsia="zh-CN"/>
              </w:rPr>
              <w:t>16种</w:t>
            </w:r>
            <w:r>
              <w:rPr>
                <w:rFonts w:hint="eastAsia"/>
                <w:lang w:eastAsia="zh-CN"/>
              </w:rPr>
              <w:t>货种</w:t>
            </w:r>
          </w:p>
        </w:tc>
        <w:tc>
          <w:tcPr>
            <w:tcW w:w="2762" w:type="dxa"/>
            <w:vMerge w:val="restart"/>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pPr>
          </w:p>
        </w:tc>
        <w:tc>
          <w:tcPr>
            <w:tcW w:w="3432" w:type="dxa"/>
            <w:vAlign w:val="center"/>
          </w:tcPr>
          <w:p>
            <w:pPr>
              <w:pStyle w:val="24"/>
              <w:jc w:val="both"/>
            </w:pPr>
            <w:r>
              <w:rPr>
                <w:rFonts w:hint="eastAsia"/>
              </w:rPr>
              <w:t>9.集装箱码头增加危险品箱装卸作业、洗箱作业或堆场。</w:t>
            </w:r>
          </w:p>
        </w:tc>
        <w:tc>
          <w:tcPr>
            <w:tcW w:w="4740" w:type="dxa"/>
            <w:vMerge w:val="continue"/>
            <w:vAlign w:val="center"/>
          </w:tcPr>
          <w:p>
            <w:pPr>
              <w:pStyle w:val="24"/>
              <w:jc w:val="both"/>
            </w:pPr>
          </w:p>
        </w:tc>
        <w:tc>
          <w:tcPr>
            <w:tcW w:w="2393" w:type="dxa"/>
            <w:vMerge w:val="continue"/>
            <w:vAlign w:val="center"/>
          </w:tcPr>
          <w:p>
            <w:pPr>
              <w:pStyle w:val="24"/>
            </w:pPr>
          </w:p>
        </w:tc>
        <w:tc>
          <w:tcPr>
            <w:tcW w:w="2762" w:type="dxa"/>
            <w:vMerge w:val="continue"/>
            <w:vAlign w:val="center"/>
          </w:tcPr>
          <w:p>
            <w:pPr>
              <w:pStyle w:val="24"/>
              <w:rPr>
                <w:lang w:eastAsia="zh-Han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pPr>
          </w:p>
        </w:tc>
        <w:tc>
          <w:tcPr>
            <w:tcW w:w="3432" w:type="dxa"/>
            <w:vAlign w:val="center"/>
          </w:tcPr>
          <w:p>
            <w:pPr>
              <w:pStyle w:val="24"/>
              <w:jc w:val="both"/>
            </w:pPr>
            <w:r>
              <w:rPr>
                <w:rFonts w:hint="eastAsia"/>
              </w:rPr>
              <w:t>10.集装箱危险品装卸、堆场、液化码头新增危险品货类（国际危险品分类：9 类），或新增同一货类中毒性、腐蚀性、爆炸性更大的货种。</w:t>
            </w:r>
          </w:p>
        </w:tc>
        <w:tc>
          <w:tcPr>
            <w:tcW w:w="4740" w:type="dxa"/>
            <w:vMerge w:val="continue"/>
            <w:vAlign w:val="center"/>
          </w:tcPr>
          <w:p>
            <w:pPr>
              <w:pStyle w:val="24"/>
              <w:jc w:val="both"/>
            </w:pPr>
          </w:p>
        </w:tc>
        <w:tc>
          <w:tcPr>
            <w:tcW w:w="2393" w:type="dxa"/>
            <w:vMerge w:val="continue"/>
            <w:vAlign w:val="center"/>
          </w:tcPr>
          <w:p>
            <w:pPr>
              <w:pStyle w:val="24"/>
            </w:pPr>
          </w:p>
        </w:tc>
        <w:tc>
          <w:tcPr>
            <w:tcW w:w="2762" w:type="dxa"/>
            <w:vMerge w:val="continue"/>
            <w:vAlign w:val="center"/>
          </w:tcPr>
          <w:p>
            <w:pPr>
              <w:pStyle w:val="24"/>
              <w:rPr>
                <w:lang w:eastAsia="zh-Hans"/>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restart"/>
            <w:vAlign w:val="center"/>
          </w:tcPr>
          <w:p>
            <w:pPr>
              <w:pStyle w:val="24"/>
              <w:rPr>
                <w:lang w:eastAsia="zh-Hans"/>
              </w:rPr>
            </w:pPr>
            <w:r>
              <w:rPr>
                <w:rFonts w:hint="eastAsia"/>
                <w:lang w:eastAsia="zh-Hans"/>
              </w:rPr>
              <w:t>环境保护措施</w:t>
            </w:r>
          </w:p>
        </w:tc>
        <w:tc>
          <w:tcPr>
            <w:tcW w:w="3432" w:type="dxa"/>
            <w:vMerge w:val="restart"/>
            <w:vAlign w:val="center"/>
          </w:tcPr>
          <w:p>
            <w:pPr>
              <w:pStyle w:val="24"/>
              <w:jc w:val="both"/>
            </w:pPr>
            <w:r>
              <w:rPr>
                <w:rFonts w:hint="eastAsia"/>
              </w:rPr>
              <w:t>11.矿石码头堆场防尘、液化码头油气回收、集装箱码头压载水灭活等主要环境保护措施或环境风险防范措施弱化或降低。</w:t>
            </w:r>
          </w:p>
        </w:tc>
        <w:tc>
          <w:tcPr>
            <w:tcW w:w="4740" w:type="dxa"/>
            <w:vAlign w:val="center"/>
          </w:tcPr>
          <w:p>
            <w:pPr>
              <w:pStyle w:val="24"/>
              <w:bidi w:val="0"/>
              <w:jc w:val="both"/>
              <w:rPr>
                <w:lang w:eastAsia="zh-Hans"/>
              </w:rPr>
            </w:pPr>
            <w:r>
              <w:rPr>
                <w:rFonts w:hint="eastAsia"/>
              </w:rPr>
              <w:t>从码头前沿至后方库区污水站设一根污水管，用于输送码头初期雨污水、冲洗水和洗舱水等。</w:t>
            </w:r>
          </w:p>
        </w:tc>
        <w:tc>
          <w:tcPr>
            <w:tcW w:w="2393" w:type="dxa"/>
            <w:vAlign w:val="center"/>
          </w:tcPr>
          <w:p>
            <w:pPr>
              <w:pStyle w:val="24"/>
              <w:bidi w:val="0"/>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bidi w:val="0"/>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rPr>
                <w:lang w:eastAsia="zh-Hans"/>
              </w:rPr>
            </w:pPr>
          </w:p>
        </w:tc>
        <w:tc>
          <w:tcPr>
            <w:tcW w:w="3432" w:type="dxa"/>
            <w:vMerge w:val="continue"/>
            <w:vAlign w:val="center"/>
          </w:tcPr>
          <w:p>
            <w:pPr>
              <w:pStyle w:val="24"/>
              <w:jc w:val="both"/>
            </w:pPr>
          </w:p>
        </w:tc>
        <w:tc>
          <w:tcPr>
            <w:tcW w:w="4740" w:type="dxa"/>
            <w:vAlign w:val="center"/>
          </w:tcPr>
          <w:p>
            <w:pPr>
              <w:pStyle w:val="24"/>
              <w:bidi w:val="0"/>
              <w:jc w:val="both"/>
              <w:rPr>
                <w:lang w:eastAsia="zh-Hans"/>
              </w:rPr>
            </w:pPr>
            <w:bookmarkStart w:id="101" w:name="_Hlk95902595"/>
            <w:bookmarkStart w:id="102" w:name="_Hlk95903480"/>
            <w:r>
              <w:t>油品、化工品装船采用</w:t>
            </w:r>
            <w:r>
              <w:rPr>
                <w:rFonts w:hint="eastAsia"/>
              </w:rPr>
              <w:t>底部装船</w:t>
            </w:r>
            <w:r>
              <w:t>，在装船过程进行密闭收集</w:t>
            </w:r>
            <w:r>
              <w:rPr>
                <w:rFonts w:hint="eastAsia"/>
              </w:rPr>
              <w:t>。</w:t>
            </w:r>
            <w:bookmarkEnd w:id="101"/>
            <w:r>
              <w:rPr>
                <w:rFonts w:hint="eastAsia"/>
              </w:rPr>
              <w:t>码头设油气回收管道，装船时连通后方库区油气回收处理装置。</w:t>
            </w:r>
            <w:bookmarkEnd w:id="102"/>
          </w:p>
        </w:tc>
        <w:tc>
          <w:tcPr>
            <w:tcW w:w="2393" w:type="dxa"/>
            <w:vAlign w:val="center"/>
          </w:tcPr>
          <w:p>
            <w:pPr>
              <w:pStyle w:val="24"/>
              <w:bidi w:val="0"/>
              <w:rPr>
                <w:lang w:eastAsia="zh-Hans"/>
              </w:rPr>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bidi w:val="0"/>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pPr>
          </w:p>
        </w:tc>
        <w:tc>
          <w:tcPr>
            <w:tcW w:w="3432" w:type="dxa"/>
            <w:vMerge w:val="continue"/>
            <w:vAlign w:val="center"/>
          </w:tcPr>
          <w:p>
            <w:pPr>
              <w:pStyle w:val="24"/>
              <w:jc w:val="both"/>
            </w:pPr>
          </w:p>
        </w:tc>
        <w:tc>
          <w:tcPr>
            <w:tcW w:w="4740" w:type="dxa"/>
            <w:vAlign w:val="center"/>
          </w:tcPr>
          <w:p>
            <w:pPr>
              <w:pStyle w:val="24"/>
              <w:bidi w:val="0"/>
              <w:jc w:val="both"/>
              <w:rPr>
                <w:lang w:eastAsia="zh-Hans"/>
              </w:rPr>
            </w:pPr>
            <w:r>
              <w:rPr>
                <w:rFonts w:hint="eastAsia"/>
                <w:lang w:val="en-US" w:eastAsia="zh-CN"/>
              </w:rPr>
              <w:t>港丰公司已</w:t>
            </w:r>
            <w:r>
              <w:rPr>
                <w:rFonts w:hint="eastAsia"/>
              </w:rPr>
              <w:t>按照《湄洲湾港斗尾港区斗尾作业区7号泊位工程船舶污染防治能力评价报告》要求配备</w:t>
            </w:r>
            <w:r>
              <w:rPr>
                <w:rFonts w:hint="eastAsia"/>
                <w:lang w:val="en-US" w:eastAsia="zh-CN"/>
              </w:rPr>
              <w:t>了</w:t>
            </w:r>
            <w:r>
              <w:rPr>
                <w:rFonts w:hint="eastAsia"/>
              </w:rPr>
              <w:t>必要的溢油事故应急处理设施，码头</w:t>
            </w:r>
            <w:r>
              <w:t>设置消防</w:t>
            </w:r>
            <w:r>
              <w:rPr>
                <w:rFonts w:hint="eastAsia"/>
              </w:rPr>
              <w:t>污</w:t>
            </w:r>
            <w:r>
              <w:t>水收集系统，</w:t>
            </w:r>
            <w:r>
              <w:rPr>
                <w:rFonts w:hint="eastAsia"/>
              </w:rPr>
              <w:t>事故缓冲池依托后方库区</w:t>
            </w:r>
            <w:r>
              <w:t>应急消防水收集池(兼做溢油事故池)容积为</w:t>
            </w:r>
            <w:r>
              <w:rPr>
                <w:rFonts w:hint="eastAsia"/>
              </w:rPr>
              <w:t>4</w:t>
            </w:r>
            <w:r>
              <w:t>000m</w:t>
            </w:r>
            <w:r>
              <w:rPr>
                <w:vertAlign w:val="superscript"/>
              </w:rPr>
              <w:t>3</w:t>
            </w:r>
            <w:r>
              <w:rPr>
                <w:rFonts w:hint="eastAsia"/>
              </w:rPr>
              <w:t>。</w:t>
            </w:r>
          </w:p>
        </w:tc>
        <w:tc>
          <w:tcPr>
            <w:tcW w:w="2393" w:type="dxa"/>
            <w:vAlign w:val="center"/>
          </w:tcPr>
          <w:p>
            <w:pPr>
              <w:pStyle w:val="24"/>
              <w:bidi w:val="0"/>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bidi w:val="0"/>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847" w:type="dxa"/>
            <w:vMerge w:val="continue"/>
            <w:vAlign w:val="center"/>
          </w:tcPr>
          <w:p>
            <w:pPr>
              <w:pStyle w:val="24"/>
            </w:pPr>
          </w:p>
        </w:tc>
        <w:tc>
          <w:tcPr>
            <w:tcW w:w="3432" w:type="dxa"/>
            <w:vMerge w:val="continue"/>
            <w:vAlign w:val="center"/>
          </w:tcPr>
          <w:p>
            <w:pPr>
              <w:pStyle w:val="24"/>
              <w:jc w:val="both"/>
            </w:pPr>
          </w:p>
        </w:tc>
        <w:tc>
          <w:tcPr>
            <w:tcW w:w="4740" w:type="dxa"/>
            <w:vAlign w:val="center"/>
          </w:tcPr>
          <w:p>
            <w:pPr>
              <w:pStyle w:val="24"/>
              <w:bidi w:val="0"/>
              <w:jc w:val="both"/>
              <w:rPr>
                <w:lang w:eastAsia="zh-Hans"/>
              </w:rPr>
            </w:pPr>
            <w:r>
              <w:rPr>
                <w:rFonts w:hint="eastAsia"/>
              </w:rPr>
              <w:t>本项目已建一座污水处理站，处理能力为3</w:t>
            </w:r>
            <w:r>
              <w:t>60</w:t>
            </w:r>
            <w:r>
              <w:rPr>
                <w:rFonts w:hint="eastAsia"/>
              </w:rPr>
              <w:t>t</w:t>
            </w:r>
            <w:r>
              <w:t>/d</w:t>
            </w:r>
            <w:r>
              <w:rPr>
                <w:rFonts w:hint="eastAsia"/>
              </w:rPr>
              <w:t>。</w:t>
            </w:r>
            <w:r>
              <w:t>污水处理站</w:t>
            </w:r>
            <w:r>
              <w:rPr>
                <w:lang w:val="en-GB"/>
              </w:rPr>
              <w:t>处理工艺为“分类预处理</w:t>
            </w:r>
            <w:r>
              <w:t>+生化处理+过滤处理</w:t>
            </w:r>
            <w:r>
              <w:rPr>
                <w:lang w:val="en-GB"/>
              </w:rPr>
              <w:t>”，含油废水经</w:t>
            </w:r>
            <w:r>
              <w:t>化学除油</w:t>
            </w:r>
            <w:r>
              <w:rPr>
                <w:rFonts w:hint="eastAsia"/>
              </w:rPr>
              <w:t>沉淀+混凝气</w:t>
            </w:r>
            <w:r>
              <w:t>浮</w:t>
            </w:r>
            <w:r>
              <w:rPr>
                <w:lang w:val="en-GB"/>
              </w:rPr>
              <w:t>预处理后生化处理，</w:t>
            </w:r>
            <w:r>
              <w:rPr>
                <w:rFonts w:hint="eastAsia"/>
                <w:lang w:val="en-GB"/>
              </w:rPr>
              <w:t>含</w:t>
            </w:r>
            <w:r>
              <w:t>有化学品废水</w:t>
            </w:r>
            <w:r>
              <w:rPr>
                <w:lang w:val="en-GB"/>
              </w:rPr>
              <w:t>经fenton+</w:t>
            </w:r>
            <w:r>
              <w:t>化学除油</w:t>
            </w:r>
            <w:r>
              <w:rPr>
                <w:rFonts w:hint="eastAsia"/>
              </w:rPr>
              <w:t>沉淀+混凝气</w:t>
            </w:r>
            <w:r>
              <w:t>浮</w:t>
            </w:r>
            <w:r>
              <w:rPr>
                <w:lang w:val="en-GB"/>
              </w:rPr>
              <w:t>预处理后生化处理</w:t>
            </w:r>
            <w:r>
              <w:rPr>
                <w:rFonts w:hint="eastAsia"/>
                <w:lang w:val="en-GB"/>
              </w:rPr>
              <w:t>。</w:t>
            </w:r>
          </w:p>
        </w:tc>
        <w:tc>
          <w:tcPr>
            <w:tcW w:w="2393" w:type="dxa"/>
            <w:vAlign w:val="center"/>
          </w:tcPr>
          <w:p>
            <w:pPr>
              <w:pStyle w:val="24"/>
              <w:bidi w:val="0"/>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bidi w:val="0"/>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847" w:type="dxa"/>
            <w:vMerge w:val="continue"/>
            <w:vAlign w:val="center"/>
          </w:tcPr>
          <w:p>
            <w:pPr>
              <w:pStyle w:val="24"/>
            </w:pPr>
          </w:p>
        </w:tc>
        <w:tc>
          <w:tcPr>
            <w:tcW w:w="3432" w:type="dxa"/>
            <w:vMerge w:val="continue"/>
            <w:vAlign w:val="center"/>
          </w:tcPr>
          <w:p>
            <w:pPr>
              <w:pStyle w:val="24"/>
              <w:jc w:val="both"/>
            </w:pPr>
          </w:p>
        </w:tc>
        <w:tc>
          <w:tcPr>
            <w:tcW w:w="4740" w:type="dxa"/>
            <w:vAlign w:val="center"/>
          </w:tcPr>
          <w:p>
            <w:pPr>
              <w:pStyle w:val="24"/>
              <w:bidi w:val="0"/>
              <w:jc w:val="both"/>
              <w:rPr>
                <w:rFonts w:hint="default"/>
                <w:lang w:val="en-US" w:eastAsia="zh-CN"/>
              </w:rPr>
            </w:pPr>
            <w:r>
              <w:rPr>
                <w:rFonts w:hint="eastAsia"/>
                <w:lang w:eastAsia="zh-CN"/>
              </w:rPr>
              <w:t>（</w:t>
            </w:r>
            <w:r>
              <w:rPr>
                <w:rFonts w:hint="eastAsia"/>
                <w:lang w:val="en-US" w:eastAsia="zh-CN"/>
              </w:rPr>
              <w:t>1）在油气回收装置前端增设三通阀，使得油品废气和非水溶性废气分别进入油气回收装置和废气净化装置处理；</w:t>
            </w:r>
          </w:p>
          <w:p>
            <w:pPr>
              <w:pStyle w:val="24"/>
              <w:bidi w:val="0"/>
              <w:jc w:val="both"/>
              <w:rPr>
                <w:rFonts w:hint="eastAsia"/>
                <w:lang w:val="en-US" w:eastAsia="zh-CN"/>
              </w:rPr>
            </w:pPr>
            <w:r>
              <w:rPr>
                <w:rFonts w:hint="eastAsia"/>
                <w:lang w:eastAsia="zh-CN"/>
              </w:rPr>
              <w:t>（</w:t>
            </w:r>
            <w:r>
              <w:rPr>
                <w:rFonts w:hint="eastAsia"/>
                <w:lang w:val="en-US" w:eastAsia="zh-CN"/>
              </w:rPr>
              <w:t>2）油品</w:t>
            </w:r>
            <w:r>
              <w:rPr>
                <w:rFonts w:hint="eastAsia"/>
              </w:rPr>
              <w:t>废气通过</w:t>
            </w:r>
            <w:r>
              <w:rPr>
                <w:rFonts w:hint="eastAsia"/>
                <w:lang w:val="en-US" w:eastAsia="zh-CN"/>
              </w:rPr>
              <w:t>油气回收装置</w:t>
            </w:r>
            <w:r>
              <w:rPr>
                <w:rFonts w:hint="eastAsia"/>
              </w:rPr>
              <w:t>进行处理</w:t>
            </w:r>
            <w:r>
              <w:rPr>
                <w:rFonts w:hint="eastAsia"/>
                <w:lang w:val="en-US" w:eastAsia="zh-CN"/>
              </w:rPr>
              <w:t>后经15m高排气筒（DA001）排放</w:t>
            </w:r>
            <w:r>
              <w:rPr>
                <w:rFonts w:hint="eastAsia"/>
              </w:rPr>
              <w:t>，</w:t>
            </w:r>
            <w:r>
              <w:rPr>
                <w:rFonts w:hint="eastAsia"/>
                <w:lang w:val="en-US" w:eastAsia="zh-CN"/>
              </w:rPr>
              <w:t>回收装置</w:t>
            </w:r>
            <w:r>
              <w:rPr>
                <w:rFonts w:hint="eastAsia"/>
              </w:rPr>
              <w:t>采取“冷凝+吸附”二级处理工艺</w:t>
            </w:r>
            <w:r>
              <w:rPr>
                <w:rFonts w:hint="eastAsia"/>
                <w:lang w:eastAsia="zh-CN"/>
              </w:rPr>
              <w:t>；</w:t>
            </w:r>
          </w:p>
          <w:p>
            <w:pPr>
              <w:pStyle w:val="24"/>
              <w:bidi w:val="0"/>
              <w:jc w:val="both"/>
              <w:rPr>
                <w:rFonts w:hint="eastAsia"/>
                <w:lang w:eastAsia="zh-CN"/>
              </w:rPr>
            </w:pPr>
            <w:r>
              <w:rPr>
                <w:rFonts w:hint="eastAsia"/>
                <w:lang w:eastAsia="zh-CN"/>
              </w:rPr>
              <w:t>（</w:t>
            </w:r>
            <w:r>
              <w:rPr>
                <w:rFonts w:hint="eastAsia"/>
                <w:lang w:val="en-US" w:eastAsia="zh-CN"/>
              </w:rPr>
              <w:t>3）</w:t>
            </w:r>
            <w:r>
              <w:rPr>
                <w:rFonts w:hint="eastAsia"/>
              </w:rPr>
              <w:t>非水溶性化工品废气通过废气净化装置2进行处理</w:t>
            </w:r>
            <w:r>
              <w:rPr>
                <w:rFonts w:hint="eastAsia"/>
                <w:lang w:val="en-US" w:eastAsia="zh-CN"/>
              </w:rPr>
              <w:t>后经15m高排气筒（DA004）排放</w:t>
            </w:r>
            <w:r>
              <w:rPr>
                <w:rFonts w:hint="eastAsia"/>
              </w:rPr>
              <w:t>，废气净化装置2采取“化学</w:t>
            </w:r>
            <w:r>
              <w:t>洗涤塔</w:t>
            </w:r>
            <w:r>
              <w:rPr>
                <w:rFonts w:hint="eastAsia"/>
              </w:rPr>
              <w:t>-</w:t>
            </w:r>
            <w:r>
              <w:t>生物</w:t>
            </w:r>
            <w:r>
              <w:rPr>
                <w:rFonts w:hint="eastAsia"/>
              </w:rPr>
              <w:t>滤床-活性炭吸附”处理工艺</w:t>
            </w:r>
            <w:r>
              <w:rPr>
                <w:rFonts w:hint="eastAsia"/>
                <w:lang w:eastAsia="zh-CN"/>
              </w:rPr>
              <w:t>；</w:t>
            </w:r>
          </w:p>
          <w:p>
            <w:pPr>
              <w:pStyle w:val="24"/>
              <w:bidi w:val="0"/>
              <w:jc w:val="both"/>
              <w:rPr>
                <w:rFonts w:hint="eastAsia"/>
                <w:lang w:val="en-US" w:eastAsia="zh-CN"/>
              </w:rPr>
            </w:pPr>
            <w:r>
              <w:rPr>
                <w:rFonts w:hint="eastAsia"/>
                <w:lang w:eastAsia="zh-CN"/>
              </w:rPr>
              <w:t>（</w:t>
            </w:r>
            <w:r>
              <w:rPr>
                <w:rFonts w:hint="eastAsia"/>
                <w:lang w:val="en-US" w:eastAsia="zh-CN"/>
              </w:rPr>
              <w:t>4）</w:t>
            </w:r>
            <w:r>
              <w:rPr>
                <w:rFonts w:hint="eastAsia"/>
              </w:rPr>
              <w:t>库区水溶性</w:t>
            </w:r>
            <w:r>
              <w:rPr>
                <w:rFonts w:hint="eastAsia"/>
                <w:lang w:val="en-US" w:eastAsia="zh-CN"/>
              </w:rPr>
              <w:t>化工品废气</w:t>
            </w:r>
            <w:r>
              <w:rPr>
                <w:rFonts w:hint="eastAsia"/>
              </w:rPr>
              <w:t>采取碱液洗涤进行喷淋处理</w:t>
            </w:r>
            <w:r>
              <w:rPr>
                <w:rFonts w:hint="eastAsia"/>
                <w:lang w:val="en-US" w:eastAsia="zh-CN"/>
              </w:rPr>
              <w:t>后经15m高排气筒（DA002）排放</w:t>
            </w:r>
            <w:r>
              <w:rPr>
                <w:rFonts w:hint="eastAsia"/>
                <w:lang w:eastAsia="zh-CN"/>
              </w:rPr>
              <w:t>；</w:t>
            </w:r>
          </w:p>
          <w:p>
            <w:pPr>
              <w:pStyle w:val="24"/>
              <w:bidi w:val="0"/>
              <w:jc w:val="both"/>
              <w:rPr>
                <w:lang w:val="en-GB"/>
              </w:rPr>
            </w:pPr>
            <w:r>
              <w:rPr>
                <w:rFonts w:hint="eastAsia"/>
                <w:lang w:val="en-GB" w:eastAsia="zh-CN"/>
              </w:rPr>
              <w:t>（</w:t>
            </w:r>
            <w:r>
              <w:rPr>
                <w:rFonts w:hint="eastAsia"/>
                <w:lang w:val="en-US" w:eastAsia="zh-CN"/>
              </w:rPr>
              <w:t>4）</w:t>
            </w:r>
            <w:r>
              <w:rPr>
                <w:lang w:val="en-GB"/>
              </w:rPr>
              <w:t>污水站废气和危废间废抽排废气送碱液喷淋+活性炭吸收处理系统处理排气筒</w:t>
            </w:r>
            <w:r>
              <w:rPr>
                <w:rFonts w:hint="eastAsia"/>
                <w:lang w:val="en-GB" w:eastAsia="zh-CN"/>
              </w:rPr>
              <w:t>（</w:t>
            </w:r>
            <w:r>
              <w:rPr>
                <w:lang w:val="en-GB"/>
              </w:rPr>
              <w:t>DA003</w:t>
            </w:r>
            <w:r>
              <w:rPr>
                <w:rFonts w:hint="eastAsia"/>
                <w:lang w:val="en-GB" w:eastAsia="zh-CN"/>
              </w:rPr>
              <w:t>）</w:t>
            </w:r>
            <w:r>
              <w:rPr>
                <w:lang w:val="en-GB"/>
              </w:rPr>
              <w:t>排放。</w:t>
            </w:r>
          </w:p>
          <w:p>
            <w:pPr>
              <w:pStyle w:val="24"/>
              <w:bidi w:val="0"/>
              <w:jc w:val="both"/>
              <w:rPr>
                <w:rFonts w:hint="eastAsia"/>
              </w:rPr>
            </w:pPr>
            <w:r>
              <w:rPr>
                <w:rFonts w:hint="eastAsia"/>
                <w:lang w:val="en-GB" w:eastAsia="zh-CN"/>
              </w:rPr>
              <w:t>（</w:t>
            </w:r>
            <w:r>
              <w:rPr>
                <w:rFonts w:hint="eastAsia"/>
                <w:lang w:val="en-US" w:eastAsia="zh-CN"/>
              </w:rPr>
              <w:t>6）</w:t>
            </w:r>
            <w:r>
              <w:rPr>
                <w:rFonts w:hint="eastAsia"/>
                <w:lang w:eastAsia="zh-Hans"/>
              </w:rPr>
              <w:t>锅炉及其排气筒</w:t>
            </w:r>
            <w:r>
              <w:rPr>
                <w:rFonts w:hint="eastAsia"/>
                <w:lang w:val="en-US" w:eastAsia="zh-CN"/>
              </w:rPr>
              <w:t>暂未建设</w:t>
            </w:r>
            <w:r>
              <w:rPr>
                <w:lang w:val="en-GB"/>
              </w:rPr>
              <w:t>。</w:t>
            </w:r>
          </w:p>
        </w:tc>
        <w:tc>
          <w:tcPr>
            <w:tcW w:w="2393" w:type="dxa"/>
            <w:vAlign w:val="center"/>
          </w:tcPr>
          <w:p>
            <w:pPr>
              <w:pStyle w:val="24"/>
              <w:bidi w:val="0"/>
              <w:rPr>
                <w:rFonts w:hint="eastAsia"/>
                <w:lang w:eastAsia="zh-CN"/>
              </w:rPr>
            </w:pPr>
            <w:r>
              <w:rPr>
                <w:rFonts w:hint="eastAsia"/>
                <w:lang w:val="en-US" w:eastAsia="zh-CN"/>
              </w:rPr>
              <w:t>发生</w:t>
            </w:r>
            <w:r>
              <w:rPr>
                <w:rFonts w:hint="eastAsia"/>
                <w:lang w:eastAsia="zh-Hans"/>
              </w:rPr>
              <w:t>变化</w:t>
            </w:r>
            <w:r>
              <w:rPr>
                <w:rFonts w:hint="eastAsia"/>
                <w:lang w:eastAsia="zh-CN"/>
              </w:rPr>
              <w:t>，</w:t>
            </w:r>
            <w:r>
              <w:rPr>
                <w:rFonts w:hint="eastAsia"/>
                <w:lang w:eastAsia="zh-Hans"/>
              </w:rPr>
              <w:t>锅炉及其排气筒</w:t>
            </w:r>
            <w:r>
              <w:rPr>
                <w:rFonts w:hint="eastAsia"/>
                <w:lang w:val="en-US" w:eastAsia="zh-CN"/>
              </w:rPr>
              <w:t>暂未建设</w:t>
            </w:r>
          </w:p>
        </w:tc>
        <w:tc>
          <w:tcPr>
            <w:tcW w:w="2762" w:type="dxa"/>
            <w:vAlign w:val="center"/>
          </w:tcPr>
          <w:p>
            <w:pPr>
              <w:pStyle w:val="24"/>
              <w:bidi w:val="0"/>
              <w:rPr>
                <w:rFonts w:hint="eastAsia"/>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847" w:type="dxa"/>
            <w:vMerge w:val="continue"/>
            <w:vAlign w:val="center"/>
          </w:tcPr>
          <w:p>
            <w:pPr>
              <w:pStyle w:val="24"/>
            </w:pPr>
          </w:p>
        </w:tc>
        <w:tc>
          <w:tcPr>
            <w:tcW w:w="3432" w:type="dxa"/>
            <w:vMerge w:val="continue"/>
            <w:vAlign w:val="center"/>
          </w:tcPr>
          <w:p>
            <w:pPr>
              <w:pStyle w:val="24"/>
              <w:jc w:val="both"/>
            </w:pPr>
          </w:p>
        </w:tc>
        <w:tc>
          <w:tcPr>
            <w:tcW w:w="4740" w:type="dxa"/>
            <w:vAlign w:val="center"/>
          </w:tcPr>
          <w:p>
            <w:pPr>
              <w:pStyle w:val="24"/>
              <w:jc w:val="left"/>
              <w:rPr>
                <w:rFonts w:hint="eastAsia" w:ascii="Times New Roman" w:hAnsi="Times New Roman" w:eastAsia="宋体" w:cs="Times New Roman"/>
                <w:kern w:val="0"/>
                <w:sz w:val="20"/>
                <w:szCs w:val="21"/>
                <w:vertAlign w:val="baseline"/>
                <w:lang w:val="zh-CN" w:eastAsia="zh-CN" w:bidi="ar-SA"/>
              </w:rPr>
            </w:pPr>
            <w:r>
              <w:rPr>
                <w:rFonts w:hint="eastAsia"/>
                <w:lang w:val="en-US" w:eastAsia="zh-Hans"/>
              </w:rPr>
              <w:t>初期雨水池</w:t>
            </w:r>
            <w:r>
              <w:rPr>
                <w:rFonts w:hint="default"/>
                <w:lang w:eastAsia="zh-Hans"/>
              </w:rPr>
              <w:t>1、2</w:t>
            </w:r>
            <w:r>
              <w:rPr>
                <w:rFonts w:hint="eastAsia"/>
                <w:lang w:val="en-US" w:eastAsia="zh-Hans"/>
              </w:rPr>
              <w:t>及装卸区初期雨水池容积分别为</w:t>
            </w:r>
            <w:r>
              <w:rPr>
                <w:rFonts w:hint="default"/>
                <w:color w:val="000000" w:themeColor="text1"/>
                <w14:textFill>
                  <w14:solidFill>
                    <w14:schemeClr w14:val="tx1"/>
                  </w14:solidFill>
                </w14:textFill>
              </w:rPr>
              <w:t>360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default"/>
                <w:color w:val="000000" w:themeColor="text1"/>
                <w14:textFill>
                  <w14:solidFill>
                    <w14:schemeClr w14:val="tx1"/>
                  </w14:solidFill>
                </w14:textFill>
              </w:rPr>
              <w:t>260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default"/>
                <w:color w:val="000000" w:themeColor="text1"/>
                <w14:textFill>
                  <w14:solidFill>
                    <w14:schemeClr w14:val="tx1"/>
                  </w14:solidFill>
                </w14:textFill>
              </w:rPr>
              <w:t>18</w:t>
            </w:r>
            <w:r>
              <w:rPr>
                <w:rFonts w:hint="eastAsia"/>
                <w:color w:val="000000" w:themeColor="text1"/>
                <w:lang w:val="en-US" w:eastAsia="zh-Hans"/>
                <w14:textFill>
                  <w14:solidFill>
                    <w14:schemeClr w14:val="tx1"/>
                  </w14:solidFill>
                </w14:textFill>
              </w:rPr>
              <w:t>.</w:t>
            </w:r>
            <w:r>
              <w:rPr>
                <w:rFonts w:hint="default"/>
                <w:color w:val="000000" w:themeColor="text1"/>
                <w:lang w:eastAsia="zh-Hans"/>
                <w14:textFill>
                  <w14:solidFill>
                    <w14:schemeClr w14:val="tx1"/>
                  </w14:solidFill>
                </w14:textFill>
              </w:rPr>
              <w:t>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Hans"/>
                <w14:textFill>
                  <w14:solidFill>
                    <w14:schemeClr w14:val="tx1"/>
                  </w14:solidFill>
                </w14:textFill>
              </w:rPr>
              <w:t>总有效容积</w:t>
            </w:r>
            <w:r>
              <w:rPr>
                <w:rFonts w:hint="default"/>
                <w:color w:val="000000" w:themeColor="text1"/>
                <w:lang w:eastAsia="zh-Hans"/>
                <w14:textFill>
                  <w14:solidFill>
                    <w14:schemeClr w14:val="tx1"/>
                  </w14:solidFill>
                </w14:textFill>
              </w:rPr>
              <w:t>638</w:t>
            </w:r>
            <w:r>
              <w:rPr>
                <w:rFonts w:hint="eastAsia"/>
                <w:color w:val="000000" w:themeColor="text1"/>
                <w:lang w:val="en-US" w:eastAsia="zh-Hans"/>
                <w14:textFill>
                  <w14:solidFill>
                    <w14:schemeClr w14:val="tx1"/>
                  </w14:solidFill>
                </w14:textFill>
              </w:rPr>
              <w:t>.</w:t>
            </w:r>
            <w:r>
              <w:rPr>
                <w:rFonts w:hint="default"/>
                <w:color w:val="000000" w:themeColor="text1"/>
                <w:lang w:eastAsia="zh-Hans"/>
                <w14:textFill>
                  <w14:solidFill>
                    <w14:schemeClr w14:val="tx1"/>
                  </w14:solidFill>
                </w14:textFill>
              </w:rPr>
              <w:t>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default"/>
                <w:color w:val="000000" w:themeColor="text1"/>
                <w:lang w:eastAsia="zh-Hans"/>
                <w14:textFill>
                  <w14:solidFill>
                    <w14:schemeClr w14:val="tx1"/>
                  </w14:solidFill>
                </w14:textFill>
              </w:rPr>
              <w:t>；</w:t>
            </w:r>
            <w:r>
              <w:rPr>
                <w:rFonts w:hint="eastAsia"/>
                <w:lang w:eastAsia="zh-Hans"/>
              </w:rPr>
              <w:t>初期雨水池</w:t>
            </w:r>
            <w:r>
              <w:rPr>
                <w:lang w:eastAsia="zh-Hans"/>
              </w:rPr>
              <w:t>3、4、5</w:t>
            </w:r>
            <w:r>
              <w:rPr>
                <w:rFonts w:hint="eastAsia"/>
                <w:lang w:eastAsia="zh-Hans"/>
              </w:rPr>
              <w:t>容积分别为</w:t>
            </w:r>
            <w:r>
              <w:rPr>
                <w:color w:val="000000" w:themeColor="text1"/>
                <w14:textFill>
                  <w14:solidFill>
                    <w14:schemeClr w14:val="tx1"/>
                  </w14:solidFill>
                </w14:textFill>
              </w:rPr>
              <w:t>584m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、484m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、176m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实际建设</w:t>
            </w:r>
            <w:r>
              <w:rPr>
                <w:rFonts w:hint="eastAsia"/>
                <w:color w:val="000000" w:themeColor="text1"/>
                <w:lang w:eastAsia="zh-Hans"/>
                <w14:textFill>
                  <w14:solidFill>
                    <w14:schemeClr w14:val="tx1"/>
                  </w14:solidFill>
                </w14:textFill>
              </w:rPr>
              <w:t>有效容积</w:t>
            </w:r>
            <w:r>
              <w:rPr>
                <w:rFonts w:hint="eastAsia"/>
                <w:color w:val="000000" w:themeColor="text1"/>
                <w:lang w:val="en-US" w:eastAsia="zh-CN"/>
                <w14:textFill>
                  <w14:solidFill>
                    <w14:schemeClr w14:val="tx1"/>
                  </w14:solidFill>
                </w14:textFill>
              </w:rPr>
              <w:t>为</w:t>
            </w:r>
            <w:r>
              <w:rPr>
                <w:rFonts w:hint="eastAsia"/>
                <w:color w:val="000000" w:themeColor="text1"/>
                <w:lang w:eastAsia="zh-Hans"/>
                <w14:textFill>
                  <w14:solidFill>
                    <w14:schemeClr w14:val="tx1"/>
                  </w14:solidFill>
                </w14:textFill>
              </w:rPr>
              <w:t>1181.8m</w:t>
            </w:r>
            <w:r>
              <w:rPr>
                <w:rFonts w:hint="eastAsia"/>
                <w:color w:val="000000" w:themeColor="text1"/>
                <w:vertAlign w:val="superscript"/>
                <w:lang w:eastAsia="zh-Hans"/>
                <w14:textFill>
                  <w14:solidFill>
                    <w14:schemeClr w14:val="tx1"/>
                  </w14:solidFill>
                </w14:textFill>
              </w:rPr>
              <w:t>3</w:t>
            </w:r>
            <w:r>
              <w:rPr>
                <w:rFonts w:hint="eastAsia"/>
                <w:color w:val="000000" w:themeColor="text1"/>
                <w:vertAlign w:val="baseline"/>
                <w:lang w:eastAsia="zh-CN"/>
                <w14:textFill>
                  <w14:solidFill>
                    <w14:schemeClr w14:val="tx1"/>
                  </w14:solidFill>
                </w14:textFill>
              </w:rPr>
              <w:t>。</w:t>
            </w:r>
          </w:p>
        </w:tc>
        <w:tc>
          <w:tcPr>
            <w:tcW w:w="2393" w:type="dxa"/>
            <w:vAlign w:val="center"/>
          </w:tcPr>
          <w:p>
            <w:pPr>
              <w:pStyle w:val="24"/>
              <w:rPr>
                <w:rFonts w:hint="eastAsia" w:ascii="Times New Roman" w:hAnsi="Times New Roman" w:eastAsia="宋体" w:cs="Times New Roman"/>
                <w:kern w:val="0"/>
                <w:sz w:val="20"/>
                <w:szCs w:val="21"/>
                <w:lang w:val="en-US" w:eastAsia="zh-CN" w:bidi="ar-SA"/>
              </w:rPr>
            </w:pPr>
            <w:r>
              <w:rPr>
                <w:rFonts w:hint="eastAsia"/>
                <w:lang w:eastAsia="zh-Hans"/>
              </w:rPr>
              <w:t>发生变化</w:t>
            </w:r>
            <w:r>
              <w:rPr>
                <w:rFonts w:hint="eastAsia"/>
                <w:lang w:eastAsia="zh-CN"/>
              </w:rPr>
              <w:t>，</w:t>
            </w:r>
            <w:r>
              <w:rPr>
                <w:rFonts w:hint="eastAsia"/>
                <w:lang w:val="en-US" w:eastAsia="zh-CN"/>
              </w:rPr>
              <w:t>初雨池</w:t>
            </w:r>
            <w:r>
              <w:rPr>
                <w:rFonts w:hint="eastAsia"/>
                <w:color w:val="000000" w:themeColor="text1"/>
                <w:lang w:eastAsia="zh-Hans"/>
                <w14:textFill>
                  <w14:solidFill>
                    <w14:schemeClr w14:val="tx1"/>
                  </w14:solidFill>
                </w14:textFill>
              </w:rPr>
              <w:t>有效容积有调整</w:t>
            </w:r>
            <w:r>
              <w:rPr>
                <w:color w:val="000000" w:themeColor="text1"/>
                <w:lang w:eastAsia="zh-Hans"/>
                <w14:textFill>
                  <w14:solidFill>
                    <w14:schemeClr w14:val="tx1"/>
                  </w14:solidFill>
                </w14:textFill>
              </w:rPr>
              <w:t>。</w:t>
            </w:r>
          </w:p>
        </w:tc>
        <w:tc>
          <w:tcPr>
            <w:tcW w:w="2762" w:type="dxa"/>
            <w:vAlign w:val="center"/>
          </w:tcPr>
          <w:p>
            <w:pPr>
              <w:pStyle w:val="24"/>
              <w:rPr>
                <w:rFonts w:hint="eastAsia" w:ascii="Times New Roman" w:hAnsi="Times New Roman" w:eastAsia="宋体" w:cs="Times New Roman"/>
                <w:kern w:val="0"/>
                <w:sz w:val="20"/>
                <w:szCs w:val="21"/>
                <w:lang w:val="en-US" w:eastAsia="zh-Hans" w:bidi="ar-SA"/>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trPr>
        <w:tc>
          <w:tcPr>
            <w:tcW w:w="847" w:type="dxa"/>
            <w:vMerge w:val="continue"/>
            <w:vAlign w:val="center"/>
          </w:tcPr>
          <w:p>
            <w:pPr>
              <w:pStyle w:val="24"/>
            </w:pPr>
          </w:p>
        </w:tc>
        <w:tc>
          <w:tcPr>
            <w:tcW w:w="3432" w:type="dxa"/>
            <w:vMerge w:val="continue"/>
            <w:vAlign w:val="center"/>
          </w:tcPr>
          <w:p>
            <w:pPr>
              <w:pStyle w:val="24"/>
              <w:jc w:val="both"/>
            </w:pPr>
          </w:p>
        </w:tc>
        <w:tc>
          <w:tcPr>
            <w:tcW w:w="4740" w:type="dxa"/>
            <w:vAlign w:val="center"/>
          </w:tcPr>
          <w:p>
            <w:pPr>
              <w:pStyle w:val="24"/>
              <w:bidi w:val="0"/>
              <w:jc w:val="left"/>
            </w:pPr>
            <w:r>
              <w:rPr>
                <w:rFonts w:hint="eastAsia"/>
              </w:rPr>
              <w:t>(</w:t>
            </w:r>
            <w:r>
              <w:t>1</w:t>
            </w:r>
            <w:r>
              <w:rPr>
                <w:rFonts w:hint="eastAsia"/>
              </w:rPr>
              <w:t>)码头装卸作业区</w:t>
            </w:r>
          </w:p>
          <w:p>
            <w:pPr>
              <w:pStyle w:val="24"/>
              <w:bidi w:val="0"/>
              <w:jc w:val="left"/>
            </w:pPr>
            <w:r>
              <w:fldChar w:fldCharType="begin"/>
            </w:r>
            <w:r>
              <w:instrText xml:space="preserve"> = 1 \* GB3 \* MERGEFORMAT </w:instrText>
            </w:r>
            <w:r>
              <w:fldChar w:fldCharType="separate"/>
            </w:r>
            <w:r>
              <w:t>①</w:t>
            </w:r>
            <w:r>
              <w:fldChar w:fldCharType="end"/>
            </w:r>
            <w:r>
              <w:rPr>
                <w:rFonts w:hint="eastAsia"/>
              </w:rPr>
              <w:t>码头作业区设置围坎及污水收集池，并配套动力泵及污水输送管线。</w:t>
            </w:r>
          </w:p>
          <w:p>
            <w:pPr>
              <w:pStyle w:val="24"/>
              <w:bidi w:val="0"/>
              <w:jc w:val="left"/>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在码头栈桥、平台区设防爆人工报警按钮、声光报警器，卸油口附近设防爆可燃气体探测器。</w:t>
            </w:r>
          </w:p>
          <w:p>
            <w:pPr>
              <w:pStyle w:val="24"/>
              <w:bidi w:val="0"/>
              <w:jc w:val="left"/>
            </w:pPr>
            <w:r>
              <w:fldChar w:fldCharType="begin"/>
            </w:r>
            <w:r>
              <w:instrText xml:space="preserve"> = 2 \* GB3 \* MERGEFORMAT </w:instrText>
            </w:r>
            <w:r>
              <w:fldChar w:fldCharType="separate"/>
            </w:r>
            <w:r>
              <w:t>②</w:t>
            </w:r>
            <w:r>
              <w:fldChar w:fldCharType="end"/>
            </w:r>
            <w:r>
              <w:rPr>
                <w:rFonts w:hint="eastAsia"/>
              </w:rPr>
              <w:t>根椐现行规范在航道设置导标、浮标，码头设置灯桩，所有导助航系统，严格按规范进行锚地停靠和卸船作业。</w:t>
            </w:r>
          </w:p>
          <w:p>
            <w:pPr>
              <w:pStyle w:val="24"/>
              <w:bidi w:val="0"/>
              <w:jc w:val="left"/>
            </w:pPr>
            <w:r>
              <w:fldChar w:fldCharType="begin"/>
            </w:r>
            <w:r>
              <w:instrText xml:space="preserve"> = 3 \* GB3 \* MERGEFORMAT </w:instrText>
            </w:r>
            <w:r>
              <w:fldChar w:fldCharType="separate"/>
            </w:r>
            <w:r>
              <w:t>③</w:t>
            </w:r>
            <w:r>
              <w:fldChar w:fldCharType="end"/>
            </w:r>
            <w:r>
              <w:rPr>
                <w:rFonts w:hint="eastAsia"/>
              </w:rPr>
              <w:t>码头上设</w:t>
            </w:r>
            <w:r>
              <w:t>4</w:t>
            </w:r>
            <w:r>
              <w:rPr>
                <w:rFonts w:hint="eastAsia"/>
              </w:rPr>
              <w:t>座消防炮塔，每座炮塔设置</w:t>
            </w:r>
            <w:r>
              <w:t>1</w:t>
            </w:r>
            <w:r>
              <w:rPr>
                <w:rFonts w:hint="eastAsia"/>
              </w:rPr>
              <w:t>门水炮和</w:t>
            </w:r>
            <w:r>
              <w:t>1</w:t>
            </w:r>
            <w:r>
              <w:rPr>
                <w:rFonts w:hint="eastAsia"/>
              </w:rPr>
              <w:t>门泡沫炮。栈桥、码头上消防水管和泡沫混合液管每隔不大于</w:t>
            </w:r>
            <w:r>
              <w:t>60m</w:t>
            </w:r>
            <w:r>
              <w:rPr>
                <w:rFonts w:hint="eastAsia"/>
              </w:rPr>
              <w:t>设消防水栓和泡沫栓各1个，并配消防箱一个，供移动式水-泡沫两用炮使用。</w:t>
            </w:r>
          </w:p>
          <w:p>
            <w:pPr>
              <w:pStyle w:val="24"/>
              <w:bidi w:val="0"/>
              <w:jc w:val="left"/>
            </w:pPr>
            <w:r>
              <w:rPr>
                <w:rFonts w:hint="eastAsia"/>
              </w:rPr>
              <w:t>(</w:t>
            </w:r>
            <w:r>
              <w:t>2</w:t>
            </w:r>
            <w:r>
              <w:rPr>
                <w:rFonts w:hint="eastAsia"/>
              </w:rPr>
              <w:t>)库区</w:t>
            </w:r>
          </w:p>
          <w:p>
            <w:pPr>
              <w:pStyle w:val="24"/>
              <w:bidi w:val="0"/>
              <w:jc w:val="left"/>
            </w:pPr>
            <w:r>
              <w:rPr>
                <w:rFonts w:hint="eastAsia"/>
              </w:rPr>
              <w:t>①</w:t>
            </w:r>
            <w:r>
              <w:t>环境风险场所配备可燃气体报警仪</w:t>
            </w:r>
            <w:r>
              <w:rPr>
                <w:lang w:val="en-GB"/>
              </w:rPr>
              <w:t>，并配备灭火器</w:t>
            </w:r>
            <w:r>
              <w:rPr>
                <w:rFonts w:hint="eastAsia"/>
                <w:lang w:val="en-GB"/>
              </w:rPr>
              <w:t>等消防器材</w:t>
            </w:r>
            <w:r>
              <w:rPr>
                <w:rFonts w:hint="eastAsia"/>
              </w:rPr>
              <w:t>。</w:t>
            </w:r>
          </w:p>
          <w:p>
            <w:pPr>
              <w:pStyle w:val="24"/>
              <w:bidi w:val="0"/>
              <w:jc w:val="left"/>
              <w:rPr>
                <w:lang w:val="en-GB"/>
              </w:rPr>
            </w:pPr>
            <w:r>
              <w:rPr>
                <w:rFonts w:hint="eastAsia"/>
              </w:rPr>
              <w:t>②</w:t>
            </w:r>
            <w:r>
              <w:rPr>
                <w:rFonts w:hint="eastAsia"/>
                <w:lang w:val="en-GB"/>
              </w:rPr>
              <w:t>厂区</w:t>
            </w:r>
            <w:r>
              <w:rPr>
                <w:lang w:val="en-GB"/>
              </w:rPr>
              <w:t>内设容积4000m</w:t>
            </w:r>
            <w:r>
              <w:rPr>
                <w:vertAlign w:val="superscript"/>
                <w:lang w:val="en-GB"/>
              </w:rPr>
              <w:t>3</w:t>
            </w:r>
            <w:r>
              <w:rPr>
                <w:lang w:val="en-GB"/>
              </w:rPr>
              <w:t>的事故池及事故废水收集、导流系统及截断阀设施</w:t>
            </w:r>
            <w:r>
              <w:rPr>
                <w:rFonts w:hint="eastAsia"/>
                <w:lang w:val="en-GB"/>
              </w:rPr>
              <w:t>。</w:t>
            </w:r>
          </w:p>
          <w:p>
            <w:pPr>
              <w:pStyle w:val="24"/>
              <w:bidi w:val="0"/>
              <w:jc w:val="left"/>
              <w:rPr>
                <w:rFonts w:hint="eastAsia"/>
                <w:lang w:eastAsia="zh-CN"/>
              </w:rPr>
            </w:pPr>
            <w:r>
              <w:rPr>
                <w:rFonts w:hint="eastAsia"/>
              </w:rPr>
              <w:t>③</w:t>
            </w:r>
            <w:r>
              <w:t>项目设不燃烧材料实体围墙，其中临海侧围墙实体部分相对高度为2m</w:t>
            </w:r>
            <w:r>
              <w:rPr>
                <w:rFonts w:hint="eastAsia"/>
              </w:rPr>
              <w:t>，其他三面厂界实体围墙高2.5m</w:t>
            </w:r>
            <w:r>
              <w:t>。</w:t>
            </w:r>
          </w:p>
        </w:tc>
        <w:tc>
          <w:tcPr>
            <w:tcW w:w="2393" w:type="dxa"/>
            <w:vAlign w:val="center"/>
          </w:tcPr>
          <w:p>
            <w:pPr>
              <w:pStyle w:val="24"/>
              <w:rPr>
                <w:rFonts w:hint="eastAsia" w:eastAsia="宋体"/>
                <w:lang w:eastAsia="zh-CN"/>
              </w:rPr>
            </w:pPr>
            <w:r>
              <w:rPr>
                <w:rFonts w:hint="eastAsia"/>
                <w:lang w:eastAsia="zh-Hans"/>
              </w:rPr>
              <w:t>与环评一致</w:t>
            </w:r>
            <w:r>
              <w:rPr>
                <w:lang w:eastAsia="zh-Hans"/>
              </w:rPr>
              <w:t>，</w:t>
            </w:r>
            <w:r>
              <w:rPr>
                <w:rFonts w:hint="eastAsia"/>
                <w:lang w:eastAsia="zh-Hans"/>
              </w:rPr>
              <w:t>无变化</w:t>
            </w:r>
          </w:p>
        </w:tc>
        <w:tc>
          <w:tcPr>
            <w:tcW w:w="2762" w:type="dxa"/>
            <w:vAlign w:val="center"/>
          </w:tcPr>
          <w:p>
            <w:pPr>
              <w:pStyle w:val="24"/>
              <w:rPr>
                <w:lang w:eastAsia="zh-Hans"/>
              </w:rPr>
            </w:pPr>
            <w:r>
              <w:rPr>
                <w:rFonts w:hint="eastAsia"/>
                <w:lang w:eastAsia="zh-Hans"/>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restart"/>
            <w:vAlign w:val="center"/>
          </w:tcPr>
          <w:p>
            <w:pPr>
              <w:pStyle w:val="24"/>
            </w:pPr>
            <w:r>
              <w:rPr>
                <w:rFonts w:hint="eastAsia"/>
                <w:lang w:eastAsia="zh-Hans"/>
              </w:rPr>
              <w:t>其他</w:t>
            </w:r>
          </w:p>
        </w:tc>
        <w:tc>
          <w:tcPr>
            <w:tcW w:w="3432" w:type="dxa"/>
            <w:vAlign w:val="center"/>
          </w:tcPr>
          <w:p>
            <w:pPr>
              <w:pStyle w:val="24"/>
            </w:pPr>
            <w:r>
              <w:t>/</w:t>
            </w:r>
          </w:p>
        </w:tc>
        <w:tc>
          <w:tcPr>
            <w:tcW w:w="4740" w:type="dxa"/>
            <w:vAlign w:val="center"/>
          </w:tcPr>
          <w:p>
            <w:pPr>
              <w:pStyle w:val="24"/>
              <w:jc w:val="both"/>
              <w:rPr>
                <w:color w:val="000000" w:themeColor="text1"/>
                <w:lang w:eastAsia="zh-Hans"/>
                <w14:textFill>
                  <w14:solidFill>
                    <w14:schemeClr w14:val="tx1"/>
                  </w14:solidFill>
                </w14:textFill>
              </w:rPr>
            </w:pPr>
            <w:r>
              <w:rPr>
                <w:rFonts w:hint="eastAsia"/>
                <w:color w:val="000000" w:themeColor="text1"/>
                <w:lang w:eastAsia="zh-Hans"/>
                <w14:textFill>
                  <w14:solidFill>
                    <w14:schemeClr w14:val="tx1"/>
                  </w14:solidFill>
                </w14:textFill>
              </w:rPr>
              <w:t>环评中库区共设置3台空压机（Q=41.5Nm</w:t>
            </w:r>
            <w:r>
              <w:rPr>
                <w:rFonts w:hint="eastAsia"/>
                <w:color w:val="000000" w:themeColor="text1"/>
                <w:vertAlign w:val="superscript"/>
                <w:lang w:eastAsia="zh-Hans"/>
                <w14:textFill>
                  <w14:solidFill>
                    <w14:schemeClr w14:val="tx1"/>
                  </w14:solidFill>
                </w14:textFill>
              </w:rPr>
              <w:t>3</w:t>
            </w:r>
            <w:r>
              <w:rPr>
                <w:rFonts w:hint="eastAsia"/>
                <w:color w:val="000000" w:themeColor="text1"/>
                <w:lang w:eastAsia="zh-Hans"/>
                <w14:textFill>
                  <w14:solidFill>
                    <w14:schemeClr w14:val="tx1"/>
                  </w14:solidFill>
                </w14:textFill>
              </w:rPr>
              <w:t>/min），</w:t>
            </w:r>
            <w:r>
              <w:rPr>
                <w:rFonts w:hint="eastAsia"/>
                <w:color w:val="000000" w:themeColor="text1"/>
                <w:lang w:val="en-US" w:eastAsia="zh-Hans"/>
                <w14:textFill>
                  <w14:solidFill>
                    <w14:schemeClr w14:val="tx1"/>
                  </w14:solidFill>
                </w14:textFill>
              </w:rPr>
              <w:t>实际</w:t>
            </w:r>
            <w:r>
              <w:rPr>
                <w:rFonts w:hint="eastAsia"/>
                <w:color w:val="000000" w:themeColor="text1"/>
                <w:lang w:eastAsia="zh-Hans"/>
                <w14:textFill>
                  <w14:solidFill>
                    <w14:schemeClr w14:val="tx1"/>
                  </w14:solidFill>
                </w14:textFill>
              </w:rPr>
              <w:t>已配置</w:t>
            </w:r>
            <w:r>
              <w:rPr>
                <w:color w:val="000000" w:themeColor="text1"/>
                <w:lang w:eastAsia="zh-Hans"/>
                <w14:textFill>
                  <w14:solidFill>
                    <w14:schemeClr w14:val="tx1"/>
                  </w14:solidFill>
                </w14:textFill>
              </w:rPr>
              <w:t>2</w:t>
            </w:r>
            <w:r>
              <w:rPr>
                <w:rFonts w:hint="eastAsia"/>
                <w:color w:val="000000" w:themeColor="text1"/>
                <w:lang w:eastAsia="zh-Hans"/>
                <w14:textFill>
                  <w14:solidFill>
                    <w14:schemeClr w14:val="tx1"/>
                  </w14:solidFill>
                </w14:textFill>
              </w:rPr>
              <w:t>台</w:t>
            </w:r>
            <w:r>
              <w:rPr>
                <w:color w:val="000000" w:themeColor="text1"/>
                <w:lang w:eastAsia="zh-Hans"/>
                <w14:textFill>
                  <w14:solidFill>
                    <w14:schemeClr w14:val="tx1"/>
                  </w14:solidFill>
                </w14:textFill>
              </w:rPr>
              <w:t>，</w:t>
            </w:r>
            <w:r>
              <w:rPr>
                <w:rFonts w:hint="eastAsia"/>
                <w:color w:val="000000" w:themeColor="text1"/>
                <w:lang w:eastAsia="zh-Hans"/>
                <w14:textFill>
                  <w14:solidFill>
                    <w14:schemeClr w14:val="tx1"/>
                  </w14:solidFill>
                </w14:textFill>
              </w:rPr>
              <w:t>不</w:t>
            </w:r>
            <w:r>
              <w:rPr>
                <w:rFonts w:hint="eastAsia"/>
                <w:color w:val="000000" w:themeColor="text1"/>
                <w:lang w:val="en-US" w:eastAsia="zh-Hans"/>
                <w14:textFill>
                  <w14:solidFill>
                    <w14:schemeClr w14:val="tx1"/>
                  </w14:solidFill>
                </w14:textFill>
              </w:rPr>
              <w:t>增设</w:t>
            </w:r>
            <w:r>
              <w:rPr>
                <w:rFonts w:hint="eastAsia"/>
                <w:color w:val="000000" w:themeColor="text1"/>
                <w:lang w:eastAsia="zh-Hans"/>
                <w14:textFill>
                  <w14:solidFill>
                    <w14:schemeClr w14:val="tx1"/>
                  </w14:solidFill>
                </w14:textFill>
              </w:rPr>
              <w:t>第三台</w:t>
            </w:r>
            <w:r>
              <w:rPr>
                <w:color w:val="000000" w:themeColor="text1"/>
                <w:lang w:eastAsia="zh-Hans"/>
                <w14:textFill>
                  <w14:solidFill>
                    <w14:schemeClr w14:val="tx1"/>
                  </w14:solidFill>
                </w14:textFill>
              </w:rPr>
              <w:t>。</w:t>
            </w:r>
          </w:p>
        </w:tc>
        <w:tc>
          <w:tcPr>
            <w:tcW w:w="2393" w:type="dxa"/>
            <w:vAlign w:val="center"/>
          </w:tcPr>
          <w:p>
            <w:pPr>
              <w:pStyle w:val="24"/>
              <w:jc w:val="center"/>
              <w:rPr>
                <w:rFonts w:ascii="Times New Roman" w:hAnsi="Times New Roman" w:cs="Times New Roman"/>
                <w:color w:val="000000" w:themeColor="text1"/>
                <w:lang w:val="en-GB" w:eastAsia="zh-Hans"/>
                <w14:textFill>
                  <w14:solidFill>
                    <w14:schemeClr w14:val="tx1"/>
                  </w14:solidFill>
                </w14:textFill>
              </w:rPr>
            </w:pPr>
            <w:r>
              <w:rPr>
                <w:rFonts w:hint="eastAsia" w:ascii="Times New Roman" w:hAnsi="Times New Roman" w:cs="Times New Roman"/>
                <w:color w:val="000000" w:themeColor="text1"/>
                <w:lang w:val="en-GB" w:eastAsia="zh-Hans"/>
                <w14:textFill>
                  <w14:solidFill>
                    <w14:schemeClr w14:val="tx1"/>
                  </w14:solidFill>
                </w14:textFill>
              </w:rPr>
              <w:t>发生变化</w:t>
            </w:r>
          </w:p>
        </w:tc>
        <w:tc>
          <w:tcPr>
            <w:tcW w:w="2762" w:type="dxa"/>
            <w:vAlign w:val="center"/>
          </w:tcPr>
          <w:p>
            <w:pPr>
              <w:pStyle w:val="24"/>
              <w:jc w:val="center"/>
              <w:rPr>
                <w:rFonts w:ascii="Times New Roman" w:hAnsi="Times New Roman" w:cs="Times New Roman"/>
                <w:color w:val="000000" w:themeColor="text1"/>
                <w:lang w:val="en-GB" w:eastAsia="zh-Hans"/>
                <w14:textFill>
                  <w14:solidFill>
                    <w14:schemeClr w14:val="tx1"/>
                  </w14:solidFill>
                </w14:textFill>
              </w:rPr>
            </w:pPr>
            <w:r>
              <w:rPr>
                <w:rFonts w:hint="eastAsia" w:ascii="Times New Roman" w:hAnsi="Times New Roman" w:cs="Times New Roman"/>
                <w:color w:val="000000" w:themeColor="text1"/>
                <w:lang w:val="en-GB" w:eastAsia="zh-Hans"/>
                <w14:textFill>
                  <w14:solidFill>
                    <w14:schemeClr w14:val="tx1"/>
                  </w14:solidFill>
                </w14:textFill>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47" w:type="dxa"/>
            <w:vMerge w:val="continue"/>
            <w:vAlign w:val="center"/>
          </w:tcPr>
          <w:p>
            <w:pPr>
              <w:pStyle w:val="24"/>
            </w:pPr>
          </w:p>
        </w:tc>
        <w:tc>
          <w:tcPr>
            <w:tcW w:w="3432" w:type="dxa"/>
            <w:vAlign w:val="center"/>
          </w:tcPr>
          <w:p>
            <w:pPr>
              <w:pStyle w:val="24"/>
            </w:pPr>
            <w:r>
              <w:t>/</w:t>
            </w:r>
          </w:p>
        </w:tc>
        <w:tc>
          <w:tcPr>
            <w:tcW w:w="4740" w:type="dxa"/>
            <w:vAlign w:val="center"/>
          </w:tcPr>
          <w:p>
            <w:pPr>
              <w:pStyle w:val="24"/>
              <w:jc w:val="both"/>
              <w:rPr>
                <w:color w:val="000000" w:themeColor="text1"/>
                <w:lang w:eastAsia="zh-Hans"/>
                <w14:textFill>
                  <w14:solidFill>
                    <w14:schemeClr w14:val="tx1"/>
                  </w14:solidFill>
                </w14:textFill>
              </w:rPr>
            </w:pPr>
            <w:r>
              <w:rPr>
                <w:rFonts w:hint="eastAsia"/>
                <w:color w:val="000000" w:themeColor="text1"/>
                <w:lang w:eastAsia="zh-Hans"/>
                <w14:textFill>
                  <w14:solidFill>
                    <w14:schemeClr w14:val="tx1"/>
                  </w14:solidFill>
                </w14:textFill>
              </w:rPr>
              <w:t>环评中</w:t>
            </w:r>
            <w:r>
              <w:rPr>
                <w:color w:val="000000" w:themeColor="text1"/>
                <w:lang w:val="en-GB"/>
                <w14:textFill>
                  <w14:solidFill>
                    <w14:schemeClr w14:val="tx1"/>
                  </w14:solidFill>
                </w14:textFill>
              </w:rPr>
              <w:t>在库区设置5000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lang w:val="en-GB"/>
                <w14:textFill>
                  <w14:solidFill>
                    <w14:schemeClr w14:val="tx1"/>
                  </w14:solidFill>
                </w14:textFill>
              </w:rPr>
              <w:t>消防水罐</w:t>
            </w:r>
            <w:r>
              <w:rPr>
                <w:color w:val="000000" w:themeColor="text1"/>
                <w14:textFill>
                  <w14:solidFill>
                    <w14:schemeClr w14:val="tx1"/>
                  </w14:solidFill>
                </w14:textFill>
              </w:rPr>
              <w:t>3</w:t>
            </w:r>
            <w:r>
              <w:rPr>
                <w:color w:val="000000" w:themeColor="text1"/>
                <w:lang w:val="en-GB"/>
                <w14:textFill>
                  <w14:solidFill>
                    <w14:schemeClr w14:val="tx1"/>
                  </w14:solidFill>
                </w14:textFill>
              </w:rPr>
              <w:t>只，供库区及码头消防用水。</w:t>
            </w:r>
            <w:r>
              <w:rPr>
                <w:rFonts w:hint="eastAsia"/>
                <w:color w:val="000000" w:themeColor="text1"/>
                <w:lang w:eastAsia="zh-Hans"/>
                <w14:textFill>
                  <w14:solidFill>
                    <w14:schemeClr w14:val="tx1"/>
                  </w14:solidFill>
                </w14:textFill>
              </w:rPr>
              <w:t>实际建设情况为已配置</w:t>
            </w:r>
            <w:r>
              <w:rPr>
                <w:color w:val="000000" w:themeColor="text1"/>
                <w:lang w:eastAsia="zh-Hans"/>
                <w14:textFill>
                  <w14:solidFill>
                    <w14:schemeClr w14:val="tx1"/>
                  </w14:solidFill>
                </w14:textFill>
              </w:rPr>
              <w:t>2</w:t>
            </w:r>
            <w:r>
              <w:rPr>
                <w:rFonts w:hint="eastAsia"/>
                <w:color w:val="000000" w:themeColor="text1"/>
                <w:lang w:eastAsia="zh-Hans"/>
                <w14:textFill>
                  <w14:solidFill>
                    <w14:schemeClr w14:val="tx1"/>
                  </w14:solidFill>
                </w14:textFill>
              </w:rPr>
              <w:t>只</w:t>
            </w:r>
            <w:r>
              <w:rPr>
                <w:color w:val="000000" w:themeColor="text1"/>
                <w:lang w:val="en-GB"/>
                <w14:textFill>
                  <w14:solidFill>
                    <w14:schemeClr w14:val="tx1"/>
                  </w14:solidFill>
                </w14:textFill>
              </w:rPr>
              <w:t>5000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lang w:val="en-GB"/>
                <w14:textFill>
                  <w14:solidFill>
                    <w14:schemeClr w14:val="tx1"/>
                  </w14:solidFill>
                </w14:textFill>
              </w:rPr>
              <w:t>消防水罐</w:t>
            </w:r>
            <w:r>
              <w:rPr>
                <w:color w:val="000000" w:themeColor="text1"/>
                <w14:textFill>
                  <w14:solidFill>
                    <w14:schemeClr w14:val="tx1"/>
                  </w14:solidFill>
                </w14:textFill>
              </w:rPr>
              <w:t>，</w:t>
            </w:r>
            <w:r>
              <w:rPr>
                <w:rFonts w:hint="eastAsia"/>
                <w:color w:val="000000" w:themeColor="text1"/>
                <w:lang w:eastAsia="zh-Hans"/>
                <w14:textFill>
                  <w14:solidFill>
                    <w14:schemeClr w14:val="tx1"/>
                  </w14:solidFill>
                </w14:textFill>
              </w:rPr>
              <w:t>不增设</w:t>
            </w:r>
            <w:r>
              <w:rPr>
                <w:rFonts w:hint="eastAsia"/>
                <w:color w:val="000000" w:themeColor="text1"/>
                <w:lang w:val="en-US" w:eastAsia="zh-Hans"/>
                <w14:textFill>
                  <w14:solidFill>
                    <w14:schemeClr w14:val="tx1"/>
                  </w14:solidFill>
                </w14:textFill>
              </w:rPr>
              <w:t>第三只</w:t>
            </w:r>
            <w:r>
              <w:rPr>
                <w:color w:val="000000" w:themeColor="text1"/>
                <w:lang w:eastAsia="zh-Hans"/>
                <w14:textFill>
                  <w14:solidFill>
                    <w14:schemeClr w14:val="tx1"/>
                  </w14:solidFill>
                </w14:textFill>
              </w:rPr>
              <w:t>。</w:t>
            </w:r>
            <w:r>
              <w:rPr>
                <w:rFonts w:hint="eastAsia"/>
              </w:rPr>
              <w:t>本项目已通过消防验收</w:t>
            </w:r>
            <w:r>
              <w:t>。</w:t>
            </w:r>
          </w:p>
        </w:tc>
        <w:tc>
          <w:tcPr>
            <w:tcW w:w="2393" w:type="dxa"/>
            <w:vAlign w:val="center"/>
          </w:tcPr>
          <w:p>
            <w:pPr>
              <w:pStyle w:val="24"/>
              <w:rPr>
                <w:lang w:eastAsia="zh-Hans"/>
              </w:rPr>
            </w:pPr>
            <w:r>
              <w:rPr>
                <w:rFonts w:hint="eastAsia"/>
                <w:lang w:eastAsia="zh-Hans"/>
              </w:rPr>
              <w:t>发生变化</w:t>
            </w:r>
          </w:p>
        </w:tc>
        <w:tc>
          <w:tcPr>
            <w:tcW w:w="2762" w:type="dxa"/>
            <w:vAlign w:val="center"/>
          </w:tcPr>
          <w:p>
            <w:pPr>
              <w:pStyle w:val="24"/>
              <w:rPr>
                <w:lang w:eastAsia="zh-Hans"/>
              </w:rPr>
            </w:pPr>
            <w:r>
              <w:rPr>
                <w:rFonts w:hint="eastAsia"/>
                <w:lang w:eastAsia="zh-Hans"/>
              </w:rPr>
              <w:t>否</w:t>
            </w:r>
          </w:p>
        </w:tc>
      </w:tr>
    </w:tbl>
    <w:p>
      <w:pPr>
        <w:rPr>
          <w:color w:val="000000" w:themeColor="text1"/>
          <w:lang w:val="en-US"/>
          <w14:textFill>
            <w14:solidFill>
              <w14:schemeClr w14:val="tx1"/>
            </w14:solidFill>
          </w14:textFill>
        </w:rPr>
      </w:pPr>
    </w:p>
    <w:p>
      <w:pPr>
        <w:pStyle w:val="19"/>
        <w:ind w:firstLine="0" w:firstLineChars="0"/>
        <w:rPr>
          <w:color w:val="000000" w:themeColor="text1"/>
          <w:lang w:val="en-US"/>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keepNext/>
        <w:keepLines/>
        <w:tabs>
          <w:tab w:val="left" w:pos="1960"/>
        </w:tabs>
        <w:spacing w:before="156" w:beforeLines="50" w:after="156" w:afterLines="50" w:line="360" w:lineRule="auto"/>
        <w:jc w:val="left"/>
        <w:outlineLvl w:val="0"/>
        <w:rPr>
          <w:rStyle w:val="20"/>
          <w:rFonts w:ascii="Times New Roman" w:hAnsi="Times New Roman" w:eastAsia="黑体"/>
        </w:rPr>
      </w:pPr>
      <w:bookmarkStart w:id="103" w:name="_Toc26199498"/>
      <w:bookmarkStart w:id="104" w:name="_Toc5345"/>
      <w:r>
        <w:rPr>
          <w:rStyle w:val="20"/>
          <w:rFonts w:ascii="Times New Roman" w:hAnsi="Times New Roman" w:eastAsia="黑体"/>
        </w:rPr>
        <w:t>4. 环境保护设施</w:t>
      </w:r>
      <w:bookmarkEnd w:id="103"/>
      <w:bookmarkEnd w:id="104"/>
    </w:p>
    <w:p>
      <w:pPr>
        <w:pStyle w:val="17"/>
        <w:rPr>
          <w:rFonts w:hint="default" w:eastAsia="黑体"/>
          <w:lang w:val="en-US" w:eastAsia="zh-CN"/>
        </w:rPr>
      </w:pPr>
      <w:bookmarkStart w:id="105" w:name="_Toc26199499"/>
      <w:bookmarkStart w:id="106" w:name="_Toc27588"/>
      <w:r>
        <w:t>4.1 污染物</w:t>
      </w:r>
      <w:bookmarkEnd w:id="105"/>
      <w:r>
        <w:rPr>
          <w:rFonts w:hint="eastAsia"/>
          <w:lang w:val="en-US" w:eastAsia="zh-CN"/>
        </w:rPr>
        <w:t>治理/处置设施</w:t>
      </w:r>
      <w:bookmarkEnd w:id="106"/>
    </w:p>
    <w:p>
      <w:pPr>
        <w:pStyle w:val="18"/>
        <w:rPr>
          <w:rFonts w:hint="default" w:eastAsia="黑体"/>
          <w:lang w:val="en-US" w:eastAsia="zh-CN"/>
        </w:rPr>
      </w:pPr>
      <w:r>
        <w:t>4.1.1 废气</w:t>
      </w:r>
    </w:p>
    <w:p>
      <w:pPr>
        <w:pStyle w:val="25"/>
        <w:bidi w:val="0"/>
        <w:rPr>
          <w:lang w:val="en-GB"/>
        </w:rPr>
      </w:pPr>
      <w:r>
        <w:rPr>
          <w:rFonts w:hint="eastAsia"/>
          <w:lang w:val="en-US" w:eastAsia="zh-CN"/>
        </w:rPr>
        <w:t xml:space="preserve">4.1.1.1 </w:t>
      </w:r>
      <w:r>
        <w:rPr>
          <w:rFonts w:hint="eastAsia"/>
          <w:lang w:val="en-GB"/>
        </w:rPr>
        <w:t>废气分类收集处理方案</w:t>
      </w:r>
    </w:p>
    <w:p>
      <w:pPr>
        <w:pStyle w:val="19"/>
        <w:bidi w:val="0"/>
      </w:pPr>
      <w:r>
        <w:rPr>
          <w:rFonts w:hint="eastAsia"/>
        </w:rPr>
        <w:t>①</w:t>
      </w:r>
      <w:r>
        <w:t>储罐大小呼吸废气</w:t>
      </w:r>
    </w:p>
    <w:p>
      <w:pPr>
        <w:pStyle w:val="19"/>
        <w:bidi w:val="0"/>
        <w:rPr>
          <w:lang w:val="en-GB"/>
        </w:rPr>
      </w:pPr>
      <w:r>
        <w:rPr>
          <w:lang w:val="en-GB"/>
        </w:rPr>
        <w:t>固定顶罐和内浮顶储罐都设置氮气密封保护系统，罐顶设氮封阀</w:t>
      </w:r>
      <w:r>
        <w:rPr>
          <w:rFonts w:hint="eastAsia"/>
          <w:lang w:val="en-GB" w:eastAsia="zh-CN"/>
        </w:rPr>
        <w:t>（自力式调节阀）</w:t>
      </w:r>
      <w:r>
        <w:rPr>
          <w:lang w:val="en-GB"/>
        </w:rPr>
        <w:t>和带接管的呼吸阀，可自动补气和密闭回收罐内排出的有机废气去废气处理装置处理。</w:t>
      </w:r>
    </w:p>
    <w:p>
      <w:pPr>
        <w:pStyle w:val="19"/>
        <w:bidi w:val="0"/>
        <w:rPr>
          <w:lang w:val="en-GB"/>
        </w:rPr>
      </w:pPr>
      <w:r>
        <w:rPr>
          <w:rFonts w:hint="eastAsia"/>
        </w:rPr>
        <w:t>②</w:t>
      </w:r>
      <w:r>
        <w:rPr>
          <w:lang w:val="en-GB"/>
        </w:rPr>
        <w:t>装车</w:t>
      </w:r>
      <w:r>
        <w:rPr>
          <w:rFonts w:hint="eastAsia"/>
          <w:lang w:val="en-GB" w:eastAsia="zh-CN"/>
        </w:rPr>
        <w:t>（含桶装）</w:t>
      </w:r>
      <w:r>
        <w:rPr>
          <w:lang w:val="en-GB"/>
        </w:rPr>
        <w:t>废气系统</w:t>
      </w:r>
    </w:p>
    <w:p>
      <w:pPr>
        <w:pStyle w:val="19"/>
        <w:bidi w:val="0"/>
        <w:rPr>
          <w:lang w:val="en-GB"/>
        </w:rPr>
      </w:pPr>
      <w:r>
        <w:rPr>
          <w:lang w:val="en-GB"/>
        </w:rPr>
        <w:t>装车鹤管选用撬装式密闭装车鹤管成套设备，并带有气相回收管；</w:t>
      </w:r>
      <w:r>
        <w:t>装桶过程采用</w:t>
      </w:r>
      <w:r>
        <w:rPr>
          <w:lang w:val="en-GB"/>
        </w:rPr>
        <w:t>闭装充装管道并带有气相回收管。有机</w:t>
      </w:r>
      <w:r>
        <w:rPr>
          <w:rFonts w:hint="eastAsia"/>
          <w:lang w:val="en-GB" w:eastAsia="zh-CN"/>
        </w:rPr>
        <w:t>废气去</w:t>
      </w:r>
      <w:r>
        <w:rPr>
          <w:lang w:val="en-GB"/>
        </w:rPr>
        <w:t>废气处理装置处理。</w:t>
      </w:r>
    </w:p>
    <w:p>
      <w:pPr>
        <w:pStyle w:val="19"/>
        <w:bidi w:val="0"/>
        <w:rPr>
          <w:lang w:val="en-GB"/>
        </w:rPr>
      </w:pPr>
      <w:r>
        <w:rPr>
          <w:rFonts w:hint="eastAsia"/>
        </w:rPr>
        <w:t>③</w:t>
      </w:r>
      <w:r>
        <w:rPr>
          <w:lang w:val="en-GB"/>
        </w:rPr>
        <w:t>燃油锅炉废气</w:t>
      </w:r>
    </w:p>
    <w:p>
      <w:pPr>
        <w:pStyle w:val="19"/>
        <w:bidi w:val="0"/>
        <w:rPr>
          <w:lang w:val="en-GB"/>
        </w:rPr>
      </w:pPr>
      <w:r>
        <w:rPr>
          <w:rFonts w:hint="eastAsia"/>
          <w:lang w:eastAsia="zh-CN"/>
        </w:rPr>
        <w:t>锅炉及其排气筒目前未建设</w:t>
      </w:r>
      <w:r>
        <w:t>。</w:t>
      </w:r>
    </w:p>
    <w:p>
      <w:pPr>
        <w:pStyle w:val="19"/>
        <w:bidi w:val="0"/>
        <w:rPr>
          <w:lang w:val="en-GB"/>
        </w:rPr>
      </w:pPr>
      <w:r>
        <w:rPr>
          <w:rFonts w:hint="eastAsia"/>
        </w:rPr>
        <w:t>④</w:t>
      </w:r>
      <w:r>
        <w:rPr>
          <w:lang w:val="en-GB"/>
        </w:rPr>
        <w:t>污水站和危废间废气</w:t>
      </w:r>
    </w:p>
    <w:p>
      <w:pPr>
        <w:pStyle w:val="19"/>
        <w:bidi w:val="0"/>
        <w:rPr>
          <w:lang w:val="en-GB"/>
        </w:rPr>
      </w:pPr>
      <w:r>
        <w:rPr>
          <w:lang w:val="en-GB"/>
        </w:rPr>
        <w:t>针对污水处理站调节池、厌氧池、污泥浓缩池、污泥脱水间以及危废间等产生含挥发性有机物、恶臭物质的构筑物、建筑物，采取加盖封闭、局部隔离及负压抽吸等措施，抽排废气送碱液喷淋+活性炭吸收处理系统处理。</w:t>
      </w:r>
    </w:p>
    <w:p>
      <w:pPr>
        <w:pStyle w:val="19"/>
        <w:bidi w:val="0"/>
        <w:rPr>
          <w:lang w:val="en-GB"/>
        </w:rPr>
      </w:pPr>
      <w:r>
        <w:rPr>
          <w:rFonts w:hint="eastAsia"/>
        </w:rPr>
        <w:t>⑤</w:t>
      </w:r>
      <w:r>
        <w:rPr>
          <w:lang w:val="en-GB"/>
        </w:rPr>
        <w:t>针对VOCs物料的设备与管线组件的密封点，开展泄漏检测与修复工作(LDAR)。落实设备与管线组件的定期巡查制度，及时发现泄漏问题及时维护保养。</w:t>
      </w:r>
    </w:p>
    <w:p>
      <w:pPr>
        <w:pStyle w:val="19"/>
        <w:bidi w:val="0"/>
        <w:rPr>
          <w:lang w:val="en-GB"/>
        </w:rPr>
      </w:pPr>
      <w:r>
        <w:rPr>
          <w:rFonts w:hint="eastAsia"/>
          <w:lang w:val="en-GB"/>
        </w:rPr>
        <w:t>⑥码头装船废气</w:t>
      </w:r>
    </w:p>
    <w:p>
      <w:pPr>
        <w:pStyle w:val="19"/>
        <w:bidi w:val="0"/>
      </w:pPr>
      <w:r>
        <w:rPr>
          <w:rFonts w:hint="eastAsia"/>
        </w:rPr>
        <w:t>由于码头平台空间有限，泊位未配置油气回收装置，配置了油气回收管，装船废气通过管道输送至后方库区油气回收装置处理。</w:t>
      </w:r>
    </w:p>
    <w:p>
      <w:pPr>
        <w:pStyle w:val="25"/>
        <w:bidi w:val="0"/>
        <w:rPr>
          <w:rFonts w:hint="default" w:ascii="Times New Roman" w:hAnsi="Times New Roman" w:cs="Times New Roman"/>
          <w:b/>
          <w:bCs/>
          <w:lang w:val="en-US" w:eastAsia="zh-CN"/>
        </w:rPr>
      </w:pPr>
      <w:r>
        <w:rPr>
          <w:rFonts w:hint="eastAsia"/>
          <w:lang w:val="en-US" w:eastAsia="zh-CN"/>
        </w:rPr>
        <w:t>4.1.1.2 废气处理措施</w:t>
      </w:r>
    </w:p>
    <w:p>
      <w:pPr>
        <w:pStyle w:val="19"/>
        <w:bidi w:val="0"/>
      </w:pPr>
      <w:r>
        <w:rPr>
          <w:rFonts w:hint="eastAsia"/>
          <w:lang w:eastAsia="zh-CN"/>
        </w:rPr>
        <w:t>（</w:t>
      </w:r>
      <w:r>
        <w:rPr>
          <w:rFonts w:hint="eastAsia"/>
          <w:lang w:val="en-US" w:eastAsia="zh-CN"/>
        </w:rPr>
        <w:t>1）</w:t>
      </w:r>
      <w:r>
        <w:rPr>
          <w:rFonts w:hint="eastAsia"/>
        </w:rPr>
        <w:t>有组织废气处理措施</w:t>
      </w:r>
    </w:p>
    <w:p>
      <w:pPr>
        <w:pStyle w:val="19"/>
        <w:bidi w:val="0"/>
      </w:pPr>
      <w:r>
        <w:rPr>
          <w:rFonts w:hint="eastAsia"/>
          <w:lang w:val="en-US" w:eastAsia="zh-CN"/>
        </w:rPr>
        <w:fldChar w:fldCharType="begin"/>
      </w:r>
      <w:r>
        <w:rPr>
          <w:rFonts w:hint="eastAsia"/>
          <w:lang w:val="en-US" w:eastAsia="zh-CN"/>
        </w:rPr>
        <w:instrText xml:space="preserve"> = 1 \* GB3 \* MERGEFORMAT </w:instrText>
      </w:r>
      <w:r>
        <w:rPr>
          <w:rFonts w:hint="eastAsia"/>
          <w:lang w:val="en-US" w:eastAsia="zh-CN"/>
        </w:rPr>
        <w:fldChar w:fldCharType="separate"/>
      </w:r>
      <w:r>
        <w:t>①</w:t>
      </w:r>
      <w:r>
        <w:rPr>
          <w:rFonts w:hint="eastAsia"/>
          <w:lang w:val="en-US" w:eastAsia="zh-CN"/>
        </w:rPr>
        <w:fldChar w:fldCharType="end"/>
      </w:r>
      <w:r>
        <w:rPr>
          <w:rFonts w:hint="eastAsia"/>
          <w:lang w:val="en-US" w:eastAsia="zh-CN"/>
        </w:rPr>
        <w:t>油品</w:t>
      </w:r>
      <w:r>
        <w:rPr>
          <w:rFonts w:hint="eastAsia"/>
        </w:rPr>
        <w:t>废气通过</w:t>
      </w:r>
      <w:r>
        <w:rPr>
          <w:rFonts w:hint="eastAsia"/>
          <w:lang w:val="en-US" w:eastAsia="zh-CN"/>
        </w:rPr>
        <w:t>油气回收装置</w:t>
      </w:r>
      <w:r>
        <w:rPr>
          <w:rFonts w:hint="eastAsia"/>
        </w:rPr>
        <w:t>进行处理</w:t>
      </w:r>
      <w:r>
        <w:rPr>
          <w:rFonts w:hint="eastAsia"/>
          <w:lang w:val="en-US" w:eastAsia="zh-CN"/>
        </w:rPr>
        <w:t>后经15m高排气筒（DA001）排放</w:t>
      </w:r>
      <w:r>
        <w:rPr>
          <w:rFonts w:hint="eastAsia"/>
        </w:rPr>
        <w:t>，</w:t>
      </w:r>
      <w:r>
        <w:rPr>
          <w:rFonts w:hint="eastAsia"/>
          <w:lang w:val="en-US" w:eastAsia="zh-CN"/>
        </w:rPr>
        <w:t>回收装置</w:t>
      </w:r>
      <w:r>
        <w:rPr>
          <w:rFonts w:hint="eastAsia"/>
        </w:rPr>
        <w:t>采取“冷凝+吸附”二级处理工艺</w:t>
      </w:r>
      <w:r>
        <w:rPr>
          <w:rFonts w:hint="eastAsia"/>
          <w:lang w:eastAsia="zh-CN"/>
        </w:rPr>
        <w:t>；</w:t>
      </w:r>
      <w:r>
        <w:rPr>
          <w:rFonts w:hint="eastAsia"/>
          <w:lang w:eastAsia="zh-CN"/>
        </w:rPr>
        <w:fldChar w:fldCharType="begin"/>
      </w:r>
      <w:r>
        <w:rPr>
          <w:rFonts w:hint="eastAsia"/>
          <w:lang w:eastAsia="zh-CN"/>
        </w:rPr>
        <w:instrText xml:space="preserve"> = 2 \* GB3 \* MERGEFORMAT </w:instrText>
      </w:r>
      <w:r>
        <w:rPr>
          <w:rFonts w:hint="eastAsia"/>
          <w:lang w:eastAsia="zh-CN"/>
        </w:rPr>
        <w:fldChar w:fldCharType="separate"/>
      </w:r>
      <w:r>
        <w:t>②</w:t>
      </w:r>
      <w:r>
        <w:rPr>
          <w:rFonts w:hint="eastAsia"/>
          <w:lang w:eastAsia="zh-CN"/>
        </w:rPr>
        <w:fldChar w:fldCharType="end"/>
      </w:r>
      <w:r>
        <w:rPr>
          <w:rFonts w:hint="eastAsia"/>
        </w:rPr>
        <w:t>非水溶性化工品废气通过废气净化装置2进行处理</w:t>
      </w:r>
      <w:r>
        <w:rPr>
          <w:rFonts w:hint="eastAsia"/>
          <w:lang w:val="en-US" w:eastAsia="zh-CN"/>
        </w:rPr>
        <w:t>后经15m高排气筒（DA004）排放</w:t>
      </w:r>
      <w:r>
        <w:rPr>
          <w:rFonts w:hint="eastAsia"/>
        </w:rPr>
        <w:t>，废气净化装置2采取“化学</w:t>
      </w:r>
      <w:r>
        <w:t>洗涤塔</w:t>
      </w:r>
      <w:r>
        <w:rPr>
          <w:rFonts w:hint="eastAsia"/>
        </w:rPr>
        <w:t>-</w:t>
      </w:r>
      <w:r>
        <w:t>生物</w:t>
      </w:r>
      <w:r>
        <w:rPr>
          <w:rFonts w:hint="eastAsia"/>
        </w:rPr>
        <w:t>滤床-活性炭吸附”处理工艺</w:t>
      </w:r>
      <w:r>
        <w:rPr>
          <w:rFonts w:hint="eastAsia"/>
          <w:lang w:eastAsia="zh-CN"/>
        </w:rPr>
        <w:t>；</w:t>
      </w:r>
      <w:r>
        <w:rPr>
          <w:rFonts w:hint="eastAsia"/>
          <w:lang w:eastAsia="zh-CN"/>
        </w:rPr>
        <w:fldChar w:fldCharType="begin"/>
      </w:r>
      <w:r>
        <w:rPr>
          <w:rFonts w:hint="eastAsia"/>
          <w:lang w:eastAsia="zh-CN"/>
        </w:rPr>
        <w:instrText xml:space="preserve"> = 3 \* GB3 \* MERGEFORMAT </w:instrText>
      </w:r>
      <w:r>
        <w:rPr>
          <w:rFonts w:hint="eastAsia"/>
          <w:lang w:eastAsia="zh-CN"/>
        </w:rPr>
        <w:fldChar w:fldCharType="separate"/>
      </w:r>
      <w:r>
        <w:t>③</w:t>
      </w:r>
      <w:r>
        <w:rPr>
          <w:rFonts w:hint="eastAsia"/>
          <w:lang w:eastAsia="zh-CN"/>
        </w:rPr>
        <w:fldChar w:fldCharType="end"/>
      </w:r>
      <w:r>
        <w:rPr>
          <w:rFonts w:hint="eastAsia"/>
        </w:rPr>
        <w:t>库区水溶性</w:t>
      </w:r>
      <w:r>
        <w:rPr>
          <w:rFonts w:hint="eastAsia"/>
          <w:lang w:val="en-US" w:eastAsia="zh-CN"/>
        </w:rPr>
        <w:t>化工品废气</w:t>
      </w:r>
      <w:r>
        <w:rPr>
          <w:rFonts w:hint="eastAsia"/>
        </w:rPr>
        <w:t>采取碱液洗涤进行喷淋处理</w:t>
      </w:r>
      <w:r>
        <w:rPr>
          <w:rFonts w:hint="eastAsia"/>
          <w:lang w:val="en-US" w:eastAsia="zh-CN"/>
        </w:rPr>
        <w:t>后经15m高排气筒（DA002）排放</w:t>
      </w:r>
      <w:r>
        <w:rPr>
          <w:rFonts w:hint="eastAsia"/>
          <w:lang w:eastAsia="zh-CN"/>
        </w:rPr>
        <w:t>；</w:t>
      </w:r>
      <w:r>
        <w:rPr>
          <w:rFonts w:hint="eastAsia"/>
          <w:lang w:val="en-GB" w:eastAsia="zh-CN"/>
        </w:rPr>
        <w:fldChar w:fldCharType="begin"/>
      </w:r>
      <w:r>
        <w:rPr>
          <w:rFonts w:hint="eastAsia"/>
          <w:lang w:val="en-GB" w:eastAsia="zh-CN"/>
        </w:rPr>
        <w:instrText xml:space="preserve"> = 4 \* GB3 \* MERGEFORMAT </w:instrText>
      </w:r>
      <w:r>
        <w:rPr>
          <w:rFonts w:hint="eastAsia"/>
          <w:lang w:val="en-GB" w:eastAsia="zh-CN"/>
        </w:rPr>
        <w:fldChar w:fldCharType="separate"/>
      </w:r>
      <w:r>
        <w:t>④</w:t>
      </w:r>
      <w:r>
        <w:rPr>
          <w:rFonts w:hint="eastAsia"/>
          <w:lang w:val="en-GB" w:eastAsia="zh-CN"/>
        </w:rPr>
        <w:fldChar w:fldCharType="end"/>
      </w:r>
      <w:r>
        <w:rPr>
          <w:lang w:val="en-GB"/>
        </w:rPr>
        <w:t>污水站废气和危废间废抽排废气送碱液喷淋+活性炭吸收处理系统处理排气筒</w:t>
      </w:r>
      <w:r>
        <w:rPr>
          <w:rFonts w:hint="eastAsia"/>
          <w:lang w:val="en-GB" w:eastAsia="zh-CN"/>
        </w:rPr>
        <w:t>（</w:t>
      </w:r>
      <w:r>
        <w:rPr>
          <w:lang w:val="en-GB"/>
        </w:rPr>
        <w:t>DA003</w:t>
      </w:r>
      <w:r>
        <w:rPr>
          <w:rFonts w:hint="eastAsia"/>
          <w:lang w:val="en-GB" w:eastAsia="zh-CN"/>
        </w:rPr>
        <w:t>）</w:t>
      </w:r>
      <w:r>
        <w:rPr>
          <w:lang w:val="en-GB"/>
        </w:rPr>
        <w:t>排放。</w:t>
      </w:r>
    </w:p>
    <w:p>
      <w:pPr>
        <w:pStyle w:val="19"/>
        <w:bidi w:val="0"/>
      </w:pPr>
      <w:r>
        <w:rPr>
          <w:rFonts w:hint="eastAsia"/>
          <w:lang w:eastAsia="zh-CN"/>
        </w:rPr>
        <w:t>（</w:t>
      </w:r>
      <w:r>
        <w:rPr>
          <w:rFonts w:hint="eastAsia"/>
          <w:lang w:val="en-US" w:eastAsia="zh-CN"/>
        </w:rPr>
        <w:t>2）</w:t>
      </w:r>
      <w:r>
        <w:rPr>
          <w:rFonts w:hint="eastAsia"/>
        </w:rPr>
        <w:t>无组织废气控制措施</w:t>
      </w:r>
    </w:p>
    <w:p>
      <w:pPr>
        <w:pStyle w:val="19"/>
        <w:bidi w:val="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储罐区：大部分储罐采用浮顶罐，并设置氮封设施，同时货种卸船装罐时控制速率。</w:t>
      </w:r>
    </w:p>
    <w:p>
      <w:pPr>
        <w:pStyle w:val="19"/>
        <w:bidi w:val="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装车环节：采用密闭鹤管顶部浸没式或采用底部装车方式，实现密闭装车，装车废气引至油气回收装置内处置，并控制物料流速，装车结束及时封车。</w:t>
      </w:r>
    </w:p>
    <w:p>
      <w:pPr>
        <w:pStyle w:val="19"/>
        <w:bidi w:val="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码头装卸：码头卸船采用全封闭管道输送，卸船前管道先进行检漏，检漏合格后，将装卸臂/复合软管与货轮上的管系法兰连接，后方与输送管道连接，通过输送管道输送至后方库区，整个卸船作业全过程处于密闭状态。装船采用底部装船方式，储罐至船舱之间管道全部密闭。</w:t>
      </w:r>
    </w:p>
    <w:p>
      <w:pPr>
        <w:pStyle w:val="19"/>
        <w:bidi w:val="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扫线：</w:t>
      </w:r>
      <w:r>
        <w:rPr>
          <w:rFonts w:hint="eastAsia"/>
          <w:lang w:val="en-US" w:eastAsia="zh-CN"/>
        </w:rPr>
        <w:t>码头管道采用氮气扫线，每次装卸完成后，对装卸臂和复合软管进行清扫，将装卸臂和复合软管内残存物料扫向储罐。专管专用的管道，一般只扫线不清洗，当管道检修时，利用氮气将管道内物料扫向后方罐区并清洗；公用管道码头上设清管器（收发球器），当管道输送物料更换时，利用氮气推动清管球将管道内物料扫向后方仓储区。</w:t>
      </w:r>
    </w:p>
    <w:p>
      <w:pPr>
        <w:pStyle w:val="19"/>
        <w:bidi w:val="0"/>
        <w:rPr>
          <w:rFonts w:hint="eastAsia"/>
        </w:rPr>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rPr>
          <w:rFonts w:hint="eastAsia"/>
        </w:rPr>
        <w:t>设备选用密封性良好的设备，整个装卸作业均为密闭状态，已制定</w:t>
      </w:r>
      <w:r>
        <w:t>LDAR</w:t>
      </w:r>
      <w:r>
        <w:rPr>
          <w:rFonts w:hint="eastAsia"/>
        </w:rPr>
        <w:t>检测计划，若有异常泄漏情况及时进行修复或更换设备。</w:t>
      </w:r>
    </w:p>
    <w:p>
      <w:pPr>
        <w:pStyle w:val="19"/>
        <w:spacing w:after="156" w:afterLines="50"/>
        <w:ind w:firstLine="480"/>
        <w:rPr>
          <w:lang w:val="en-US" w:eastAsia="zh-Hans"/>
        </w:rPr>
      </w:pPr>
      <w:r>
        <w:rPr>
          <w:rFonts w:hint="eastAsia"/>
          <w:lang w:val="en-US" w:eastAsia="zh-Hans"/>
        </w:rPr>
        <w:t>废气处理设施见图</w:t>
      </w:r>
      <w:r>
        <w:rPr>
          <w:lang w:eastAsia="zh-Hans"/>
        </w:rPr>
        <w:t>4</w:t>
      </w:r>
      <w:r>
        <w:rPr>
          <w:rFonts w:hint="eastAsia"/>
          <w:lang w:val="en-US" w:eastAsia="zh-Hans"/>
        </w:rPr>
        <w:t>.</w:t>
      </w:r>
      <w:r>
        <w:rPr>
          <w:lang w:eastAsia="zh-Hans"/>
        </w:rPr>
        <w:t>1-1。</w:t>
      </w:r>
    </w:p>
    <w:tbl>
      <w:tblPr>
        <w:tblStyle w:val="14"/>
        <w:tblW w:w="8519"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8"/>
        <w:gridCol w:w="42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58" w:type="dxa"/>
            <w:shd w:val="clear" w:color="auto" w:fill="auto"/>
            <w:vAlign w:val="center"/>
          </w:tcPr>
          <w:p>
            <w:pPr>
              <w:pStyle w:val="24"/>
            </w:pPr>
            <w:r>
              <w:rPr>
                <w:rFonts w:hint="eastAsia"/>
              </w:rPr>
              <w:drawing>
                <wp:inline distT="0" distB="0" distL="114300" distR="114300">
                  <wp:extent cx="2444750" cy="1833245"/>
                  <wp:effectExtent l="0" t="0" r="19050" b="20955"/>
                  <wp:docPr id="6" name="图片 6" descr="/private/var/folders/wv/7lyqb5kd1xs9mjgq33xcqp0m0000gn/T/com.kingsoft.wpsoffice.mac/picturecompress_202210181151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private/var/folders/wv/7lyqb5kd1xs9mjgq33xcqp0m0000gn/T/com.kingsoft.wpsoffice.mac/picturecompress_20221018115144/output_1.jpgoutput_1"/>
                          <pic:cNvPicPr>
                            <a:picLocks noChangeAspect="1"/>
                          </pic:cNvPicPr>
                        </pic:nvPicPr>
                        <pic:blipFill>
                          <a:blip r:embed="rId16"/>
                          <a:stretch>
                            <a:fillRect/>
                          </a:stretch>
                        </pic:blipFill>
                        <pic:spPr>
                          <a:xfrm>
                            <a:off x="0" y="0"/>
                            <a:ext cx="2444750" cy="1833245"/>
                          </a:xfrm>
                          <a:prstGeom prst="rect">
                            <a:avLst/>
                          </a:prstGeom>
                        </pic:spPr>
                      </pic:pic>
                    </a:graphicData>
                  </a:graphic>
                </wp:inline>
              </w:drawing>
            </w:r>
          </w:p>
        </w:tc>
        <w:tc>
          <w:tcPr>
            <w:tcW w:w="4261" w:type="dxa"/>
            <w:shd w:val="clear" w:color="auto" w:fill="auto"/>
            <w:vAlign w:val="center"/>
          </w:tcPr>
          <w:p>
            <w:pPr>
              <w:pStyle w:val="24"/>
            </w:pPr>
            <w:r>
              <w:drawing>
                <wp:inline distT="0" distB="0" distL="114300" distR="114300">
                  <wp:extent cx="2458720" cy="1843405"/>
                  <wp:effectExtent l="0" t="0" r="17780" b="4445"/>
                  <wp:docPr id="33" name="图片 33" descr="油气回收"/>
                  <wp:cNvGraphicFramePr/>
                  <a:graphic xmlns:a="http://schemas.openxmlformats.org/drawingml/2006/main">
                    <a:graphicData uri="http://schemas.openxmlformats.org/drawingml/2006/picture">
                      <pic:pic xmlns:pic="http://schemas.openxmlformats.org/drawingml/2006/picture">
                        <pic:nvPicPr>
                          <pic:cNvPr id="33" name="图片 33" descr="油气回收"/>
                          <pic:cNvPicPr/>
                        </pic:nvPicPr>
                        <pic:blipFill>
                          <a:blip r:embed="rId17" cstate="print"/>
                          <a:srcRect r="6065" b="11655"/>
                          <a:stretch>
                            <a:fillRect/>
                          </a:stretch>
                        </pic:blipFill>
                        <pic:spPr>
                          <a:xfrm>
                            <a:off x="0" y="0"/>
                            <a:ext cx="2458720" cy="1843405"/>
                          </a:xfrm>
                          <a:prstGeom prst="rect">
                            <a:avLst/>
                          </a:prstGeom>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58" w:type="dxa"/>
            <w:shd w:val="clear" w:color="auto" w:fill="auto"/>
            <w:vAlign w:val="center"/>
          </w:tcPr>
          <w:p>
            <w:pPr>
              <w:pStyle w:val="24"/>
              <w:rPr>
                <w:lang w:eastAsia="zh-Hans"/>
              </w:rPr>
            </w:pPr>
            <w:r>
              <w:rPr>
                <w:rFonts w:hint="eastAsia"/>
                <w:lang w:eastAsia="zh-Hans"/>
              </w:rPr>
              <w:t>水</w:t>
            </w:r>
            <w:r>
              <w:rPr>
                <w:rFonts w:hint="eastAsia"/>
                <w:lang w:eastAsia="zh-CN"/>
              </w:rPr>
              <w:t>喷淋装置</w:t>
            </w:r>
          </w:p>
        </w:tc>
        <w:tc>
          <w:tcPr>
            <w:tcW w:w="4261" w:type="dxa"/>
            <w:shd w:val="clear" w:color="auto" w:fill="auto"/>
            <w:vAlign w:val="center"/>
          </w:tcPr>
          <w:p>
            <w:pPr>
              <w:pStyle w:val="24"/>
              <w:rPr>
                <w:lang w:eastAsia="zh-Hans"/>
              </w:rPr>
            </w:pPr>
            <w:r>
              <w:rPr>
                <w:rFonts w:hint="eastAsia"/>
                <w:lang w:eastAsia="zh-Hans"/>
              </w:rPr>
              <w:t>油气回收装置</w:t>
            </w:r>
            <w:r>
              <w:rPr>
                <w:lang w:eastAsia="zh-Hans"/>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58" w:type="dxa"/>
            <w:shd w:val="clear" w:color="auto" w:fill="auto"/>
            <w:vAlign w:val="center"/>
          </w:tcPr>
          <w:p>
            <w:pPr>
              <w:pStyle w:val="24"/>
            </w:pPr>
            <w:r>
              <w:drawing>
                <wp:inline distT="0" distB="0" distL="114300" distR="114300">
                  <wp:extent cx="2458085" cy="1843405"/>
                  <wp:effectExtent l="0" t="0" r="5715" b="10795"/>
                  <wp:docPr id="7" name="图片 7" descr="/private/var/folders/wv/7lyqb5kd1xs9mjgq33xcqp0m0000gn/T/com.kingsoft.wpsoffice.mac/picturecompress_202210181156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private/var/folders/wv/7lyqb5kd1xs9mjgq33xcqp0m0000gn/T/com.kingsoft.wpsoffice.mac/picturecompress_20221018115603/output_1.jpgoutput_1"/>
                          <pic:cNvPicPr>
                            <a:picLocks noChangeAspect="1"/>
                          </pic:cNvPicPr>
                        </pic:nvPicPr>
                        <pic:blipFill>
                          <a:blip r:embed="rId18"/>
                          <a:stretch>
                            <a:fillRect/>
                          </a:stretch>
                        </pic:blipFill>
                        <pic:spPr>
                          <a:xfrm>
                            <a:off x="0" y="0"/>
                            <a:ext cx="2458085" cy="1843405"/>
                          </a:xfrm>
                          <a:prstGeom prst="rect">
                            <a:avLst/>
                          </a:prstGeom>
                        </pic:spPr>
                      </pic:pic>
                    </a:graphicData>
                  </a:graphic>
                </wp:inline>
              </w:drawing>
            </w:r>
          </w:p>
        </w:tc>
        <w:tc>
          <w:tcPr>
            <w:tcW w:w="4261" w:type="dxa"/>
            <w:shd w:val="clear" w:color="auto" w:fill="auto"/>
            <w:vAlign w:val="center"/>
          </w:tcPr>
          <w:p>
            <w:pPr>
              <w:pStyle w:val="24"/>
              <w:rPr>
                <w:rFonts w:hint="eastAsia" w:eastAsia="宋体"/>
                <w:lang w:eastAsia="zh-CN"/>
              </w:rPr>
            </w:pPr>
            <w:r>
              <w:rPr>
                <w:rFonts w:hint="eastAsia" w:eastAsia="宋体"/>
                <w:lang w:eastAsia="zh-CN"/>
              </w:rPr>
              <w:drawing>
                <wp:inline distT="0" distB="0" distL="114300" distR="114300">
                  <wp:extent cx="2458720" cy="1843405"/>
                  <wp:effectExtent l="0" t="0" r="17780" b="4445"/>
                  <wp:docPr id="13" name="图片 13" descr="IMG_20220217_154432"/>
                  <wp:cNvGraphicFramePr/>
                  <a:graphic xmlns:a="http://schemas.openxmlformats.org/drawingml/2006/main">
                    <a:graphicData uri="http://schemas.openxmlformats.org/drawingml/2006/picture">
                      <pic:pic xmlns:pic="http://schemas.openxmlformats.org/drawingml/2006/picture">
                        <pic:nvPicPr>
                          <pic:cNvPr id="13" name="图片 13" descr="IMG_20220217_154432"/>
                          <pic:cNvPicPr/>
                        </pic:nvPicPr>
                        <pic:blipFill>
                          <a:blip r:embed="rId19"/>
                          <a:stretch>
                            <a:fillRect/>
                          </a:stretch>
                        </pic:blipFill>
                        <pic:spPr>
                          <a:xfrm>
                            <a:off x="0" y="0"/>
                            <a:ext cx="2458720" cy="1843405"/>
                          </a:xfrm>
                          <a:prstGeom prst="rect">
                            <a:avLst/>
                          </a:prstGeom>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58" w:type="dxa"/>
            <w:shd w:val="clear" w:color="auto" w:fill="auto"/>
            <w:vAlign w:val="center"/>
          </w:tcPr>
          <w:p>
            <w:pPr>
              <w:pStyle w:val="24"/>
              <w:rPr>
                <w:lang w:eastAsia="zh-Hans"/>
              </w:rPr>
            </w:pPr>
            <w:r>
              <w:rPr>
                <w:rFonts w:hint="eastAsia"/>
                <w:lang w:eastAsia="zh-Hans"/>
              </w:rPr>
              <w:t>废气净化装置</w:t>
            </w:r>
            <w:r>
              <w:rPr>
                <w:lang w:eastAsia="zh-Hans"/>
              </w:rPr>
              <w:t>2</w:t>
            </w:r>
          </w:p>
        </w:tc>
        <w:tc>
          <w:tcPr>
            <w:tcW w:w="4261" w:type="dxa"/>
            <w:shd w:val="clear" w:color="auto" w:fill="auto"/>
            <w:vAlign w:val="center"/>
          </w:tcPr>
          <w:p>
            <w:pPr>
              <w:pStyle w:val="24"/>
              <w:rPr>
                <w:rFonts w:hint="eastAsia" w:eastAsia="宋体"/>
                <w:lang w:eastAsia="zh-CN"/>
              </w:rPr>
            </w:pPr>
            <w:r>
              <w:rPr>
                <w:rFonts w:hint="eastAsia"/>
                <w:lang w:eastAsia="zh-CN"/>
              </w:rPr>
              <w:t>污水站和危废间废气设施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58" w:type="dxa"/>
            <w:shd w:val="clear" w:color="auto" w:fill="auto"/>
            <w:vAlign w:val="center"/>
          </w:tcPr>
          <w:p>
            <w:pPr>
              <w:pStyle w:val="24"/>
            </w:pPr>
            <w:r>
              <w:drawing>
                <wp:inline distT="0" distB="0" distL="114300" distR="114300">
                  <wp:extent cx="2458085" cy="1843405"/>
                  <wp:effectExtent l="0" t="0" r="5715" b="10795"/>
                  <wp:docPr id="10" name="图片 10" descr="/private/var/folders/wv/7lyqb5kd1xs9mjgq33xcqp0m0000gn/T/com.kingsoft.wpsoffice.mac/picturecompress_2022101811580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private/var/folders/wv/7lyqb5kd1xs9mjgq33xcqp0m0000gn/T/com.kingsoft.wpsoffice.mac/picturecompress_20221018115807/output_1.jpgoutput_1"/>
                          <pic:cNvPicPr>
                            <a:picLocks noChangeAspect="1"/>
                          </pic:cNvPicPr>
                        </pic:nvPicPr>
                        <pic:blipFill>
                          <a:blip r:embed="rId20"/>
                          <a:stretch>
                            <a:fillRect/>
                          </a:stretch>
                        </pic:blipFill>
                        <pic:spPr>
                          <a:xfrm>
                            <a:off x="0" y="0"/>
                            <a:ext cx="2458085" cy="1843405"/>
                          </a:xfrm>
                          <a:prstGeom prst="rect">
                            <a:avLst/>
                          </a:prstGeom>
                        </pic:spPr>
                      </pic:pic>
                    </a:graphicData>
                  </a:graphic>
                </wp:inline>
              </w:drawing>
            </w:r>
          </w:p>
        </w:tc>
        <w:tc>
          <w:tcPr>
            <w:tcW w:w="4261" w:type="dxa"/>
            <w:shd w:val="clear" w:color="auto" w:fill="auto"/>
            <w:vAlign w:val="center"/>
          </w:tcPr>
          <w:p>
            <w:pPr>
              <w:pStyle w:val="24"/>
              <w:rPr>
                <w:rFonts w:hint="eastAsia" w:eastAsia="宋体"/>
                <w:lang w:eastAsia="zh-CN"/>
              </w:rPr>
            </w:pPr>
            <w:r>
              <w:rPr>
                <w:rFonts w:hint="eastAsia"/>
                <w:lang w:eastAsia="zh-CN"/>
              </w:rPr>
              <w:drawing>
                <wp:inline distT="0" distB="0" distL="114300" distR="114300">
                  <wp:extent cx="2458720" cy="1843405"/>
                  <wp:effectExtent l="0" t="0" r="17780" b="4445"/>
                  <wp:docPr id="3" name="图片 3" descr="P30322-154850"/>
                  <wp:cNvGraphicFramePr/>
                  <a:graphic xmlns:a="http://schemas.openxmlformats.org/drawingml/2006/main">
                    <a:graphicData uri="http://schemas.openxmlformats.org/drawingml/2006/picture">
                      <pic:pic xmlns:pic="http://schemas.openxmlformats.org/drawingml/2006/picture">
                        <pic:nvPicPr>
                          <pic:cNvPr id="3" name="图片 3" descr="P30322-154850"/>
                          <pic:cNvPicPr/>
                        </pic:nvPicPr>
                        <pic:blipFill>
                          <a:blip r:embed="rId21"/>
                          <a:stretch>
                            <a:fillRect/>
                          </a:stretch>
                        </pic:blipFill>
                        <pic:spPr>
                          <a:xfrm>
                            <a:off x="0" y="0"/>
                            <a:ext cx="2458720" cy="1843405"/>
                          </a:xfrm>
                          <a:prstGeom prst="rect">
                            <a:avLst/>
                          </a:prstGeom>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58" w:type="dxa"/>
            <w:shd w:val="clear" w:color="auto" w:fill="auto"/>
            <w:vAlign w:val="center"/>
          </w:tcPr>
          <w:p>
            <w:pPr>
              <w:pStyle w:val="24"/>
              <w:rPr>
                <w:rFonts w:hint="default" w:eastAsia="宋体"/>
                <w:lang w:val="en-US" w:eastAsia="zh-CN"/>
              </w:rPr>
            </w:pPr>
            <w:r>
              <w:rPr>
                <w:rFonts w:hint="eastAsia"/>
                <w:lang w:eastAsia="zh-Hans"/>
              </w:rPr>
              <w:t>废气</w:t>
            </w:r>
            <w:r>
              <w:rPr>
                <w:rFonts w:hint="eastAsia"/>
                <w:lang w:val="en-US" w:eastAsia="zh-CN"/>
              </w:rPr>
              <w:t>收集</w:t>
            </w:r>
            <w:r>
              <w:rPr>
                <w:rFonts w:hint="eastAsia"/>
                <w:lang w:eastAsia="zh-Hans"/>
              </w:rPr>
              <w:t>管道</w:t>
            </w:r>
          </w:p>
        </w:tc>
        <w:tc>
          <w:tcPr>
            <w:tcW w:w="4261" w:type="dxa"/>
            <w:shd w:val="clear" w:color="auto" w:fill="auto"/>
            <w:vAlign w:val="center"/>
          </w:tcPr>
          <w:p>
            <w:pPr>
              <w:pStyle w:val="24"/>
              <w:rPr>
                <w:lang w:eastAsia="zh-Hans"/>
              </w:rPr>
            </w:pPr>
            <w:r>
              <w:rPr>
                <w:rFonts w:hint="eastAsia"/>
                <w:lang w:eastAsia="zh-CN"/>
              </w:rPr>
              <w:t>排气筒监测</w:t>
            </w:r>
            <w:r>
              <w:rPr>
                <w:rFonts w:hint="eastAsia"/>
                <w:lang w:eastAsia="zh-Hans"/>
              </w:rPr>
              <w:t>口</w:t>
            </w:r>
          </w:p>
        </w:tc>
      </w:tr>
    </w:tbl>
    <w:p>
      <w:pPr>
        <w:pStyle w:val="23"/>
        <w:spacing w:before="156" w:beforeLines="50" w:after="156" w:afterLines="50"/>
      </w:pPr>
      <w:r>
        <w:t xml:space="preserve">图4.1-1 </w:t>
      </w:r>
      <w:r>
        <w:rPr>
          <w:rFonts w:hint="eastAsia"/>
          <w:lang w:eastAsia="zh-Hans"/>
        </w:rPr>
        <w:t>废气处理</w:t>
      </w:r>
      <w:r>
        <w:t>装置及</w:t>
      </w:r>
      <w:r>
        <w:rPr>
          <w:rFonts w:hint="eastAsia"/>
          <w:lang w:eastAsia="zh-CN"/>
        </w:rPr>
        <w:t>监测</w:t>
      </w:r>
      <w:r>
        <w:t>口图</w:t>
      </w:r>
    </w:p>
    <w:p>
      <w:pPr>
        <w:pStyle w:val="18"/>
      </w:pPr>
      <w:r>
        <w:t>4.1.2 废水</w:t>
      </w:r>
    </w:p>
    <w:p>
      <w:pPr>
        <w:pStyle w:val="19"/>
        <w:bidi w:val="0"/>
      </w:pPr>
      <w:r>
        <w:rPr>
          <w:rFonts w:hint="eastAsia"/>
          <w:lang w:val="en-US" w:eastAsia="zh-CN"/>
        </w:rPr>
        <w:t>（1）本项目</w:t>
      </w:r>
      <w:r>
        <w:rPr>
          <w:rFonts w:hint="eastAsia"/>
        </w:rPr>
        <w:t>建有1套处理能力3</w:t>
      </w:r>
      <w:r>
        <w:t>60</w:t>
      </w:r>
      <w:r>
        <w:rPr>
          <w:rFonts w:hint="eastAsia"/>
        </w:rPr>
        <w:t>m</w:t>
      </w:r>
      <w:r>
        <w:rPr>
          <w:vertAlign w:val="superscript"/>
        </w:rPr>
        <w:t>3</w:t>
      </w:r>
      <w:r>
        <w:t>/</w:t>
      </w:r>
      <w:r>
        <w:rPr>
          <w:rFonts w:hint="eastAsia"/>
        </w:rPr>
        <w:t>d的污水处理设施，</w:t>
      </w:r>
      <w:r>
        <w:t>污水处理站</w:t>
      </w:r>
      <w:r>
        <w:rPr>
          <w:lang w:val="en-GB"/>
        </w:rPr>
        <w:t>处理工艺为“分类预处理</w:t>
      </w:r>
      <w:r>
        <w:t>+生化处理+过滤处理</w:t>
      </w:r>
      <w:r>
        <w:rPr>
          <w:lang w:val="en-GB"/>
        </w:rPr>
        <w:t>”，含油废水经</w:t>
      </w:r>
      <w:r>
        <w:t>化学除油</w:t>
      </w:r>
      <w:r>
        <w:rPr>
          <w:rFonts w:hint="eastAsia"/>
        </w:rPr>
        <w:t>沉淀+混凝气</w:t>
      </w:r>
      <w:r>
        <w:t>浮</w:t>
      </w:r>
      <w:r>
        <w:rPr>
          <w:lang w:val="en-GB"/>
        </w:rPr>
        <w:t>预处理后生化处理，</w:t>
      </w:r>
      <w:r>
        <w:rPr>
          <w:rFonts w:hint="eastAsia"/>
          <w:lang w:val="en-GB"/>
        </w:rPr>
        <w:t>含</w:t>
      </w:r>
      <w:r>
        <w:t>有化学品废水</w:t>
      </w:r>
      <w:r>
        <w:rPr>
          <w:lang w:val="en-GB"/>
        </w:rPr>
        <w:t>经fenton+</w:t>
      </w:r>
      <w:r>
        <w:t>化学除油</w:t>
      </w:r>
      <w:r>
        <w:rPr>
          <w:rFonts w:hint="eastAsia"/>
        </w:rPr>
        <w:t>沉淀+混凝气</w:t>
      </w:r>
      <w:r>
        <w:t>浮</w:t>
      </w:r>
      <w:r>
        <w:rPr>
          <w:lang w:val="en-GB"/>
        </w:rPr>
        <w:t>预处理后生化处理</w:t>
      </w:r>
      <w:r>
        <w:rPr>
          <w:rFonts w:hint="eastAsia"/>
          <w:lang w:val="en-GB"/>
        </w:rPr>
        <w:t>。</w:t>
      </w:r>
    </w:p>
    <w:p>
      <w:pPr>
        <w:pStyle w:val="19"/>
        <w:bidi w:val="0"/>
        <w:rPr>
          <w:rFonts w:hint="eastAsia"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2）</w:t>
      </w:r>
      <w:r>
        <w:rPr>
          <w:rFonts w:hint="eastAsia" w:ascii="Times New Roman" w:hAnsi="Times New Roman" w:cs="Times New Roman"/>
        </w:rPr>
        <w:t>码头平台下方均建设有3个57m</w:t>
      </w:r>
      <w:r>
        <w:rPr>
          <w:rFonts w:hint="eastAsia" w:ascii="Times New Roman" w:hAnsi="Times New Roman" w:cs="Times New Roman"/>
          <w:vertAlign w:val="superscript"/>
        </w:rPr>
        <w:t>3</w:t>
      </w:r>
      <w:r>
        <w:rPr>
          <w:rFonts w:hint="eastAsia" w:ascii="Times New Roman" w:hAnsi="Times New Roman" w:cs="Times New Roman"/>
        </w:rPr>
        <w:t>的污水收集池，库区建有初期雨水池和事故应急池。</w:t>
      </w:r>
    </w:p>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宋体"/>
          <w:lang w:val="en-US" w:eastAsia="zh-CN"/>
        </w:rPr>
      </w:pPr>
      <w:r>
        <w:rPr>
          <w:rFonts w:hint="eastAsia" w:eastAsia="宋体"/>
          <w:lang w:val="en-US" w:eastAsia="zh-CN"/>
        </w:rPr>
        <w:drawing>
          <wp:inline distT="0" distB="0" distL="114300" distR="114300">
            <wp:extent cx="5269865" cy="2885440"/>
            <wp:effectExtent l="9525" t="9525" r="16510" b="19685"/>
            <wp:docPr id="9" name="图片 9" descr="未命名绘图.draw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未命名绘图.drawio"/>
                    <pic:cNvPicPr>
                      <a:picLocks noChangeAspect="1"/>
                    </pic:cNvPicPr>
                  </pic:nvPicPr>
                  <pic:blipFill>
                    <a:blip r:embed="rId22"/>
                    <a:stretch>
                      <a:fillRect/>
                    </a:stretch>
                  </pic:blipFill>
                  <pic:spPr>
                    <a:xfrm>
                      <a:off x="0" y="0"/>
                      <a:ext cx="5269865" cy="2885440"/>
                    </a:xfrm>
                    <a:prstGeom prst="rect">
                      <a:avLst/>
                    </a:prstGeom>
                    <a:ln>
                      <a:solidFill>
                        <a:schemeClr val="tx1"/>
                      </a:solidFill>
                    </a:ln>
                  </pic:spPr>
                </pic:pic>
              </a:graphicData>
            </a:graphic>
          </wp:inline>
        </w:drawing>
      </w:r>
    </w:p>
    <w:p>
      <w:pPr>
        <w:pStyle w:val="23"/>
      </w:pPr>
      <w:r>
        <w:t>图4.1-</w:t>
      </w:r>
      <w:r>
        <w:rPr>
          <w:rFonts w:hint="eastAsia"/>
          <w:lang w:val="en-US" w:eastAsia="zh-CN"/>
        </w:rPr>
        <w:t>2</w:t>
      </w:r>
      <w:r>
        <w:t xml:space="preserve"> 库区废水收集图</w:t>
      </w:r>
    </w:p>
    <w:p>
      <w:pPr>
        <w:pStyle w:val="19"/>
        <w:ind w:firstLine="480"/>
        <w:rPr>
          <w:color w:val="000000" w:themeColor="text1"/>
          <w:lang w:eastAsia="zh-Hans"/>
          <w14:textFill>
            <w14:solidFill>
              <w14:schemeClr w14:val="tx1"/>
            </w14:solidFill>
          </w14:textFill>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Hans"/>
        </w:rPr>
        <w:t>污水处理站工艺路线</w:t>
      </w:r>
      <w:r>
        <w:rPr>
          <w:color w:val="000000" w:themeColor="text1"/>
          <w:lang w:val="en-US"/>
          <w14:textFill>
            <w14:solidFill>
              <w14:schemeClr w14:val="tx1"/>
            </w14:solidFill>
          </w14:textFill>
        </w:rPr>
        <w:t>采用</w:t>
      </w:r>
      <w:r>
        <w:rPr>
          <w:rFonts w:hint="eastAsia"/>
          <w:color w:val="000000" w:themeColor="text1"/>
          <w:lang w:val="en-US" w:eastAsia="zh-Hans"/>
          <w14:textFill>
            <w14:solidFill>
              <w14:schemeClr w14:val="tx1"/>
            </w14:solidFill>
          </w14:textFill>
        </w:rPr>
        <w:t>“</w:t>
      </w:r>
      <w:r>
        <w:rPr>
          <w:color w:val="000000" w:themeColor="text1"/>
          <w:lang w:val="en-US"/>
          <w14:textFill>
            <w14:solidFill>
              <w14:schemeClr w14:val="tx1"/>
            </w14:solidFill>
          </w14:textFill>
        </w:rPr>
        <w:t>分类预处理+生化处理+过滤处理</w:t>
      </w:r>
      <w:r>
        <w:rPr>
          <w:rFonts w:hint="eastAsia"/>
          <w:color w:val="000000" w:themeColor="text1"/>
          <w:lang w:val="en-US" w:eastAsia="zh-Hans"/>
          <w14:textFill>
            <w14:solidFill>
              <w14:schemeClr w14:val="tx1"/>
            </w14:solidFill>
          </w14:textFill>
        </w:rPr>
        <w:t>”</w:t>
      </w:r>
      <w:r>
        <w:rPr>
          <w:color w:val="000000" w:themeColor="text1"/>
          <w:lang w:eastAsia="zh-Hans"/>
          <w14:textFill>
            <w14:solidFill>
              <w14:schemeClr w14:val="tx1"/>
            </w14:solidFill>
          </w14:textFill>
        </w:rPr>
        <w:t>，预处理阶段含油废水经隔油后、含化学品废水经fenton处理后汇入化学除油沉淀池，再经气浮预处理后</w:t>
      </w:r>
      <w:r>
        <w:rPr>
          <w:rFonts w:hint="eastAsia"/>
          <w:color w:val="000000" w:themeColor="text1"/>
          <w:lang w:val="en-US" w:eastAsia="zh-Hans"/>
          <w14:textFill>
            <w14:solidFill>
              <w14:schemeClr w14:val="tx1"/>
            </w14:solidFill>
          </w14:textFill>
        </w:rPr>
        <w:t>进入生化处理单元</w:t>
      </w:r>
      <w:r>
        <w:rPr>
          <w:color w:val="000000" w:themeColor="text1"/>
          <w:lang w:eastAsia="zh-Hans"/>
          <w14:textFill>
            <w14:solidFill>
              <w14:schemeClr w14:val="tx1"/>
            </w14:solidFill>
          </w14:textFill>
        </w:rPr>
        <w:t>；</w:t>
      </w:r>
      <w:r>
        <w:rPr>
          <w:color w:val="000000" w:themeColor="text1"/>
          <w:lang w:val="en-US"/>
          <w14:textFill>
            <w14:solidFill>
              <w14:schemeClr w14:val="tx1"/>
            </w14:solidFill>
          </w14:textFill>
        </w:rPr>
        <w:t>生化处理单元采用</w:t>
      </w:r>
      <w:r>
        <w:rPr>
          <w:rFonts w:hint="eastAsia"/>
          <w:color w:val="000000" w:themeColor="text1"/>
          <w:lang w:val="en-US" w:eastAsia="zh-Hans"/>
          <w14:textFill>
            <w14:solidFill>
              <w14:schemeClr w14:val="tx1"/>
            </w14:solidFill>
          </w14:textFill>
        </w:rPr>
        <w:t>“水解酸化+3段接触氧化</w:t>
      </w:r>
      <w:r>
        <w:rPr>
          <w:rFonts w:hint="eastAsia"/>
          <w:color w:val="000000" w:themeColor="text1"/>
          <w:lang w:eastAsia="zh-Hans"/>
          <w14:textFill>
            <w14:solidFill>
              <w14:schemeClr w14:val="tx1"/>
            </w14:solidFill>
          </w14:textFill>
        </w:rPr>
        <w:t>”</w:t>
      </w:r>
      <w:r>
        <w:rPr>
          <w:color w:val="000000" w:themeColor="text1"/>
          <w:lang w:val="en-US"/>
          <w14:textFill>
            <w14:solidFill>
              <w14:schemeClr w14:val="tx1"/>
            </w14:solidFill>
          </w14:textFill>
        </w:rPr>
        <w:t>工艺</w:t>
      </w:r>
      <w:r>
        <w:rPr>
          <w:color w:val="000000" w:themeColor="text1"/>
          <w14:textFill>
            <w14:solidFill>
              <w14:schemeClr w14:val="tx1"/>
            </w14:solidFill>
          </w14:textFill>
        </w:rPr>
        <w:t>，</w:t>
      </w:r>
      <w:r>
        <w:rPr>
          <w:color w:val="000000" w:themeColor="text1"/>
          <w:lang w:val="en-US"/>
          <w14:textFill>
            <w14:solidFill>
              <w14:schemeClr w14:val="tx1"/>
            </w14:solidFill>
          </w14:textFill>
        </w:rPr>
        <w:t>出水进入果壳过滤罐</w:t>
      </w:r>
      <w:r>
        <w:rPr>
          <w:color w:val="000000" w:themeColor="text1"/>
          <w14:textFill>
            <w14:solidFill>
              <w14:schemeClr w14:val="tx1"/>
            </w14:solidFill>
          </w14:textFill>
        </w:rPr>
        <w:t>，</w:t>
      </w:r>
      <w:r>
        <w:rPr>
          <w:rFonts w:hint="eastAsia"/>
          <w:color w:val="000000" w:themeColor="text1"/>
          <w:lang w:val="en-US" w:eastAsia="zh-Hans"/>
          <w14:textFill>
            <w14:solidFill>
              <w14:schemeClr w14:val="tx1"/>
            </w14:solidFill>
          </w14:textFill>
        </w:rPr>
        <w:t>确保污水稳定达标</w:t>
      </w:r>
      <w:r>
        <w:rPr>
          <w:color w:val="000000" w:themeColor="text1"/>
          <w:lang w:eastAsia="zh-Hans"/>
          <w14:textFill>
            <w14:solidFill>
              <w14:schemeClr w14:val="tx1"/>
            </w14:solidFill>
          </w14:textFill>
        </w:rPr>
        <w:t>，生化污泥经压滤后外运处理。</w:t>
      </w:r>
      <w:r>
        <w:rPr>
          <w:rFonts w:hint="eastAsia"/>
          <w:color w:val="000000" w:themeColor="text1"/>
          <w:lang w:val="en-US" w:eastAsia="zh-Hans"/>
          <w14:textFill>
            <w14:solidFill>
              <w14:schemeClr w14:val="tx1"/>
            </w14:solidFill>
          </w14:textFill>
        </w:rPr>
        <w:t>污水站工艺流程见图</w:t>
      </w:r>
      <w:r>
        <w:t>4.1-</w:t>
      </w:r>
      <w:r>
        <w:rPr>
          <w:rFonts w:hint="eastAsia"/>
          <w:lang w:val="en-US" w:eastAsia="zh-CN"/>
        </w:rPr>
        <w:t>3</w:t>
      </w:r>
      <w:r>
        <w:t>，</w:t>
      </w:r>
      <w:r>
        <w:rPr>
          <w:rFonts w:hint="eastAsia"/>
          <w:lang w:val="en-US" w:eastAsia="zh-Hans"/>
        </w:rPr>
        <w:t>污水处理装置见图</w:t>
      </w:r>
      <w:r>
        <w:rPr>
          <w:lang w:eastAsia="zh-Hans"/>
        </w:rPr>
        <w:t>4</w:t>
      </w:r>
      <w:r>
        <w:rPr>
          <w:rFonts w:hint="eastAsia"/>
          <w:lang w:val="en-US" w:eastAsia="zh-Hans"/>
        </w:rPr>
        <w:t>.</w:t>
      </w:r>
      <w:r>
        <w:rPr>
          <w:lang w:eastAsia="zh-Hans"/>
        </w:rPr>
        <w:t>1-</w:t>
      </w:r>
      <w:r>
        <w:rPr>
          <w:rFonts w:hint="eastAsia"/>
          <w:lang w:val="en-US" w:eastAsia="zh-CN"/>
        </w:rPr>
        <w:t>4</w:t>
      </w:r>
      <w:r>
        <w:rPr>
          <w:lang w:eastAsia="zh-Hans"/>
        </w:rPr>
        <w:t>。</w:t>
      </w:r>
      <w:r>
        <w:rPr>
          <w:rFonts w:hint="eastAsia"/>
          <w:lang w:val="en-US" w:eastAsia="zh-Hans"/>
        </w:rPr>
        <w:t>试运行期间</w:t>
      </w:r>
      <w:r>
        <w:rPr>
          <w:lang w:eastAsia="zh-Hans"/>
        </w:rPr>
        <w:t>，</w:t>
      </w:r>
      <w:r>
        <w:rPr>
          <w:rFonts w:hint="eastAsia"/>
          <w:lang w:val="en-US" w:eastAsia="zh-Hans"/>
        </w:rPr>
        <w:t>污水处理站出水可稳定达标</w:t>
      </w:r>
      <w:r>
        <w:rPr>
          <w:lang w:eastAsia="zh-Hans"/>
        </w:rPr>
        <w:t>。</w:t>
      </w:r>
    </w:p>
    <w:p>
      <w:pPr>
        <w:pStyle w:val="19"/>
        <w:ind w:firstLine="0" w:firstLineChars="0"/>
      </w:pPr>
      <w:r>
        <w:drawing>
          <wp:inline distT="0" distB="0" distL="114300" distR="114300">
            <wp:extent cx="8896985" cy="4504055"/>
            <wp:effectExtent l="0" t="0" r="18415" b="1079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3"/>
                    <a:stretch>
                      <a:fillRect/>
                    </a:stretch>
                  </pic:blipFill>
                  <pic:spPr>
                    <a:xfrm>
                      <a:off x="0" y="0"/>
                      <a:ext cx="8896985" cy="4504055"/>
                    </a:xfrm>
                    <a:prstGeom prst="rect">
                      <a:avLst/>
                    </a:prstGeom>
                    <a:noFill/>
                    <a:ln>
                      <a:noFill/>
                    </a:ln>
                  </pic:spPr>
                </pic:pic>
              </a:graphicData>
            </a:graphic>
          </wp:inline>
        </w:drawing>
      </w:r>
    </w:p>
    <w:p>
      <w:pPr>
        <w:pStyle w:val="23"/>
        <w:rPr>
          <w:lang w:eastAsia="zh-Hans"/>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图4</w:t>
      </w:r>
      <w:r>
        <w:rPr>
          <w:rFonts w:hint="eastAsia"/>
          <w:lang w:eastAsia="zh-Hans"/>
        </w:rPr>
        <w:t>.</w:t>
      </w:r>
      <w:r>
        <w:rPr>
          <w:lang w:eastAsia="zh-Hans"/>
        </w:rPr>
        <w:t>1</w:t>
      </w:r>
      <w:r>
        <w:t>-</w:t>
      </w:r>
      <w:r>
        <w:rPr>
          <w:rFonts w:hint="eastAsia"/>
          <w:lang w:val="en-US" w:eastAsia="zh-CN"/>
        </w:rPr>
        <w:t>3</w:t>
      </w:r>
      <w:r>
        <w:t xml:space="preserve"> </w:t>
      </w:r>
      <w:r>
        <w:rPr>
          <w:rFonts w:hint="eastAsia"/>
          <w:lang w:eastAsia="zh-Hans"/>
        </w:rPr>
        <w:t>污水站</w:t>
      </w:r>
      <w:r>
        <w:t>工艺</w:t>
      </w:r>
      <w:r>
        <w:rPr>
          <w:rFonts w:hint="eastAsia"/>
          <w:lang w:eastAsia="zh-Hans"/>
        </w:rPr>
        <w:t>流程图</w:t>
      </w:r>
    </w:p>
    <w:tbl>
      <w:tblPr>
        <w:tblStyle w:val="14"/>
        <w:tblW w:w="852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5" w:hRule="atLeast"/>
        </w:trPr>
        <w:tc>
          <w:tcPr>
            <w:tcW w:w="4261" w:type="dxa"/>
            <w:shd w:val="clear" w:color="auto" w:fill="auto"/>
            <w:vAlign w:val="center"/>
          </w:tcPr>
          <w:p>
            <w:pPr>
              <w:pStyle w:val="24"/>
            </w:pPr>
            <w:r>
              <w:drawing>
                <wp:inline distT="0" distB="0" distL="114300" distR="114300">
                  <wp:extent cx="2458720" cy="1843405"/>
                  <wp:effectExtent l="0" t="0" r="17780" b="4445"/>
                  <wp:docPr id="16" name="图片 3"/>
                  <wp:cNvGraphicFramePr/>
                  <a:graphic xmlns:a="http://schemas.openxmlformats.org/drawingml/2006/main">
                    <a:graphicData uri="http://schemas.openxmlformats.org/drawingml/2006/picture">
                      <pic:pic xmlns:pic="http://schemas.openxmlformats.org/drawingml/2006/picture">
                        <pic:nvPicPr>
                          <pic:cNvPr id="16" name="图片 3"/>
                          <pic:cNvPicPr/>
                        </pic:nvPicPr>
                        <pic:blipFill>
                          <a:blip r:embed="rId24"/>
                          <a:stretch>
                            <a:fillRect/>
                          </a:stretch>
                        </pic:blipFill>
                        <pic:spPr>
                          <a:xfrm>
                            <a:off x="0" y="0"/>
                            <a:ext cx="2458720" cy="1843405"/>
                          </a:xfrm>
                          <a:prstGeom prst="rect">
                            <a:avLst/>
                          </a:prstGeom>
                          <a:noFill/>
                          <a:ln>
                            <a:noFill/>
                          </a:ln>
                        </pic:spPr>
                      </pic:pic>
                    </a:graphicData>
                  </a:graphic>
                </wp:inline>
              </w:drawing>
            </w:r>
          </w:p>
        </w:tc>
        <w:tc>
          <w:tcPr>
            <w:tcW w:w="4261" w:type="dxa"/>
            <w:shd w:val="clear" w:color="auto" w:fill="auto"/>
            <w:vAlign w:val="center"/>
          </w:tcPr>
          <w:p>
            <w:pPr>
              <w:pStyle w:val="24"/>
            </w:pPr>
            <w:r>
              <w:drawing>
                <wp:inline distT="0" distB="0" distL="114300" distR="114300">
                  <wp:extent cx="2458720" cy="1843405"/>
                  <wp:effectExtent l="0" t="0" r="17780" b="4445"/>
                  <wp:docPr id="27" name="图片 4"/>
                  <wp:cNvGraphicFramePr/>
                  <a:graphic xmlns:a="http://schemas.openxmlformats.org/drawingml/2006/main">
                    <a:graphicData uri="http://schemas.openxmlformats.org/drawingml/2006/picture">
                      <pic:pic xmlns:pic="http://schemas.openxmlformats.org/drawingml/2006/picture">
                        <pic:nvPicPr>
                          <pic:cNvPr id="27" name="图片 4"/>
                          <pic:cNvPicPr/>
                        </pic:nvPicPr>
                        <pic:blipFill>
                          <a:blip r:embed="rId25"/>
                          <a:stretch>
                            <a:fillRect/>
                          </a:stretch>
                        </pic:blipFill>
                        <pic:spPr>
                          <a:xfrm>
                            <a:off x="0" y="0"/>
                            <a:ext cx="2458720" cy="1843405"/>
                          </a:xfrm>
                          <a:prstGeom prst="rect">
                            <a:avLst/>
                          </a:prstGeom>
                          <a:noFill/>
                          <a:ln>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trPr>
        <w:tc>
          <w:tcPr>
            <w:tcW w:w="4261" w:type="dxa"/>
            <w:shd w:val="clear" w:color="auto" w:fill="auto"/>
            <w:vAlign w:val="center"/>
          </w:tcPr>
          <w:p>
            <w:pPr>
              <w:pStyle w:val="24"/>
              <w:rPr>
                <w:rFonts w:hint="eastAsia" w:eastAsia="宋体"/>
                <w:lang w:eastAsia="zh-CN"/>
              </w:rPr>
            </w:pPr>
            <w:r>
              <w:rPr>
                <w:rFonts w:hint="eastAsia"/>
                <w:lang w:eastAsia="zh-CN"/>
              </w:rPr>
              <w:t>库区污水处理站</w:t>
            </w:r>
          </w:p>
        </w:tc>
        <w:tc>
          <w:tcPr>
            <w:tcW w:w="4261" w:type="dxa"/>
            <w:shd w:val="clear" w:color="auto" w:fill="auto"/>
            <w:vAlign w:val="center"/>
          </w:tcPr>
          <w:p>
            <w:pPr>
              <w:pStyle w:val="24"/>
              <w:rPr>
                <w:rFonts w:hint="eastAsia" w:eastAsia="宋体"/>
                <w:lang w:eastAsia="zh-CN"/>
              </w:rPr>
            </w:pPr>
            <w:r>
              <w:rPr>
                <w:rFonts w:hint="eastAsia"/>
                <w:lang w:eastAsia="zh-CN"/>
              </w:rPr>
              <w:t>污水在线监控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05" w:hRule="atLeast"/>
        </w:trPr>
        <w:tc>
          <w:tcPr>
            <w:tcW w:w="4261" w:type="dxa"/>
            <w:shd w:val="clear" w:color="auto" w:fill="auto"/>
            <w:vAlign w:val="center"/>
          </w:tcPr>
          <w:p>
            <w:pPr>
              <w:pStyle w:val="24"/>
              <w:rPr>
                <w:rFonts w:hint="eastAsia"/>
                <w:lang w:eastAsia="zh-CN"/>
              </w:rPr>
            </w:pPr>
            <w:r>
              <w:rPr>
                <w:rFonts w:hint="eastAsia"/>
                <w:lang w:eastAsia="zh-CN"/>
              </w:rPr>
              <w:drawing>
                <wp:inline distT="0" distB="0" distL="114300" distR="114300">
                  <wp:extent cx="2458720" cy="1843405"/>
                  <wp:effectExtent l="0" t="0" r="17780" b="4445"/>
                  <wp:docPr id="36" name="图片 5"/>
                  <wp:cNvGraphicFramePr/>
                  <a:graphic xmlns:a="http://schemas.openxmlformats.org/drawingml/2006/main">
                    <a:graphicData uri="http://schemas.openxmlformats.org/drawingml/2006/picture">
                      <pic:pic xmlns:pic="http://schemas.openxmlformats.org/drawingml/2006/picture">
                        <pic:nvPicPr>
                          <pic:cNvPr id="36" name="图片 5"/>
                          <pic:cNvPicPr/>
                        </pic:nvPicPr>
                        <pic:blipFill>
                          <a:blip r:embed="rId26"/>
                          <a:stretch>
                            <a:fillRect/>
                          </a:stretch>
                        </pic:blipFill>
                        <pic:spPr>
                          <a:xfrm>
                            <a:off x="0" y="0"/>
                            <a:ext cx="2458720" cy="1843405"/>
                          </a:xfrm>
                          <a:prstGeom prst="rect">
                            <a:avLst/>
                          </a:prstGeom>
                          <a:noFill/>
                          <a:ln>
                            <a:noFill/>
                          </a:ln>
                        </pic:spPr>
                      </pic:pic>
                    </a:graphicData>
                  </a:graphic>
                </wp:inline>
              </w:drawing>
            </w:r>
          </w:p>
        </w:tc>
        <w:tc>
          <w:tcPr>
            <w:tcW w:w="4261" w:type="dxa"/>
            <w:shd w:val="clear" w:color="auto" w:fill="auto"/>
            <w:vAlign w:val="center"/>
          </w:tcPr>
          <w:p>
            <w:pPr>
              <w:pStyle w:val="24"/>
              <w:rPr>
                <w:rFonts w:hint="eastAsia"/>
                <w:lang w:eastAsia="zh-CN"/>
              </w:rPr>
            </w:pPr>
            <w:r>
              <w:rPr>
                <w:rFonts w:hint="eastAsia"/>
                <w:lang w:eastAsia="zh-CN"/>
              </w:rPr>
              <w:drawing>
                <wp:inline distT="0" distB="0" distL="114300" distR="114300">
                  <wp:extent cx="2458720" cy="1843405"/>
                  <wp:effectExtent l="0" t="0" r="17780" b="4445"/>
                  <wp:docPr id="37" name="图片 6"/>
                  <wp:cNvGraphicFramePr/>
                  <a:graphic xmlns:a="http://schemas.openxmlformats.org/drawingml/2006/main">
                    <a:graphicData uri="http://schemas.openxmlformats.org/drawingml/2006/picture">
                      <pic:pic xmlns:pic="http://schemas.openxmlformats.org/drawingml/2006/picture">
                        <pic:nvPicPr>
                          <pic:cNvPr id="37" name="图片 6"/>
                          <pic:cNvPicPr/>
                        </pic:nvPicPr>
                        <pic:blipFill>
                          <a:blip r:embed="rId27"/>
                          <a:stretch>
                            <a:fillRect/>
                          </a:stretch>
                        </pic:blipFill>
                        <pic:spPr>
                          <a:xfrm>
                            <a:off x="0" y="0"/>
                            <a:ext cx="2458720" cy="1843405"/>
                          </a:xfrm>
                          <a:prstGeom prst="rect">
                            <a:avLst/>
                          </a:prstGeom>
                          <a:noFill/>
                          <a:ln>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trPr>
        <w:tc>
          <w:tcPr>
            <w:tcW w:w="4261" w:type="dxa"/>
            <w:shd w:val="clear" w:color="auto" w:fill="auto"/>
            <w:vAlign w:val="center"/>
          </w:tcPr>
          <w:p>
            <w:pPr>
              <w:pStyle w:val="24"/>
              <w:rPr>
                <w:rFonts w:hint="eastAsia"/>
                <w:lang w:eastAsia="zh-CN"/>
              </w:rPr>
            </w:pPr>
            <w:r>
              <w:rPr>
                <w:rFonts w:hint="eastAsia"/>
                <w:lang w:eastAsia="zh-CN"/>
              </w:rPr>
              <w:t>码头集污池</w:t>
            </w:r>
          </w:p>
        </w:tc>
        <w:tc>
          <w:tcPr>
            <w:tcW w:w="4261" w:type="dxa"/>
            <w:shd w:val="clear" w:color="auto" w:fill="auto"/>
            <w:vAlign w:val="center"/>
          </w:tcPr>
          <w:p>
            <w:pPr>
              <w:pStyle w:val="24"/>
              <w:rPr>
                <w:rFonts w:hint="eastAsia"/>
                <w:lang w:eastAsia="zh-CN"/>
              </w:rPr>
            </w:pPr>
            <w:r>
              <w:rPr>
                <w:rFonts w:hint="eastAsia"/>
                <w:lang w:eastAsia="zh-CN"/>
              </w:rPr>
              <w:t>污水规范化排污口</w:t>
            </w:r>
          </w:p>
        </w:tc>
      </w:tr>
    </w:tbl>
    <w:p>
      <w:pPr>
        <w:pStyle w:val="23"/>
        <w:spacing w:before="156" w:beforeLines="50" w:after="156" w:afterLines="50"/>
      </w:pPr>
      <w:r>
        <w:t>图4.1-</w:t>
      </w:r>
      <w:r>
        <w:rPr>
          <w:rFonts w:hint="eastAsia"/>
          <w:lang w:val="en-US" w:eastAsia="zh-CN"/>
        </w:rPr>
        <w:t>4</w:t>
      </w:r>
      <w:r>
        <w:t xml:space="preserve"> </w:t>
      </w:r>
      <w:r>
        <w:rPr>
          <w:rFonts w:hint="eastAsia"/>
        </w:rPr>
        <w:t>污水处理</w:t>
      </w:r>
      <w:r>
        <w:rPr>
          <w:rFonts w:hint="eastAsia"/>
          <w:lang w:eastAsia="zh-CN"/>
        </w:rPr>
        <w:t>设施</w:t>
      </w:r>
      <w:r>
        <w:t>图</w:t>
      </w:r>
    </w:p>
    <w:p>
      <w:pPr>
        <w:pStyle w:val="18"/>
        <w:spacing w:before="156" w:beforeLines="50"/>
        <w:rPr>
          <w:rFonts w:hint="default" w:eastAsia="黑体"/>
          <w:lang w:val="en-US" w:eastAsia="zh-CN"/>
        </w:rPr>
      </w:pPr>
      <w:r>
        <w:t>4.1.3 噪声</w:t>
      </w:r>
    </w:p>
    <w:p>
      <w:pPr>
        <w:pStyle w:val="19"/>
        <w:bidi w:val="0"/>
      </w:pPr>
      <w:r>
        <w:rPr>
          <w:rFonts w:hint="eastAsia"/>
          <w:lang w:val="en-GB"/>
        </w:rPr>
        <w:t>现有工程</w:t>
      </w:r>
      <w:r>
        <w:rPr>
          <w:lang w:val="en-GB"/>
        </w:rPr>
        <w:t>为</w:t>
      </w:r>
      <w:r>
        <w:rPr>
          <w:rFonts w:hint="eastAsia"/>
          <w:lang w:val="en-GB"/>
        </w:rPr>
        <w:t>码头及</w:t>
      </w:r>
      <w:r>
        <w:rPr>
          <w:lang w:val="en-GB"/>
        </w:rPr>
        <w:t>仓储储运项目，主要噪声来源库区的装卸泵、污水泵、空压站</w:t>
      </w:r>
      <w:r>
        <w:rPr>
          <w:rFonts w:hint="eastAsia"/>
          <w:lang w:val="en-GB"/>
        </w:rPr>
        <w:t>以及车辆运输</w:t>
      </w:r>
      <w:r>
        <w:rPr>
          <w:lang w:val="en-GB"/>
        </w:rPr>
        <w:t>。因此主要采用隔声减震，四周设置绿化等措施降低噪声，确保厂界四周达到《工业企业厂界环境噪声排放标准》</w:t>
      </w:r>
      <w:r>
        <w:rPr>
          <w:rFonts w:hint="eastAsia"/>
          <w:lang w:eastAsia="zh-CN"/>
        </w:rPr>
        <w:t>（</w:t>
      </w:r>
      <w:r>
        <w:rPr>
          <w:rFonts w:hint="eastAsia"/>
          <w:lang w:val="en-GB" w:eastAsia="zh-CN"/>
        </w:rPr>
        <w:t>GB12348-2008</w:t>
      </w:r>
      <w:r>
        <w:rPr>
          <w:rFonts w:hint="eastAsia"/>
          <w:lang w:eastAsia="zh-CN"/>
        </w:rPr>
        <w:t>）</w:t>
      </w:r>
      <w:r>
        <w:rPr>
          <w:lang w:val="en-GB"/>
        </w:rPr>
        <w:t>中3类标准要求。</w:t>
      </w:r>
    </w:p>
    <w:p>
      <w:pPr>
        <w:pStyle w:val="18"/>
        <w:rPr>
          <w:rFonts w:hint="default" w:eastAsia="黑体"/>
          <w:lang w:val="en-US" w:eastAsia="zh-CN"/>
        </w:rPr>
      </w:pPr>
      <w:r>
        <w:t>4.1.4 固废</w:t>
      </w:r>
    </w:p>
    <w:p>
      <w:pPr>
        <w:pStyle w:val="19"/>
        <w:ind w:firstLine="480"/>
        <w:rPr>
          <w:bCs/>
        </w:rPr>
      </w:pPr>
      <w:r>
        <w:rPr>
          <w:rFonts w:hint="eastAsia"/>
        </w:rPr>
        <w:t>港丰公司码头及后方仓储区建设危险废物暂存间</w:t>
      </w:r>
      <w:r>
        <w:t>1</w:t>
      </w:r>
      <w:r>
        <w:rPr>
          <w:rFonts w:hint="eastAsia"/>
        </w:rPr>
        <w:t>座，</w:t>
      </w:r>
      <w:r>
        <w:t>位于污水站区域，</w:t>
      </w:r>
      <w:r>
        <w:rPr>
          <w:rFonts w:hint="eastAsia"/>
          <w:bCs/>
        </w:rPr>
        <w:t>建筑面积</w:t>
      </w:r>
      <w:r>
        <w:rPr>
          <w:bCs/>
        </w:rPr>
        <w:t>171m</w:t>
      </w:r>
      <w:r>
        <w:rPr>
          <w:bCs/>
          <w:vertAlign w:val="superscript"/>
        </w:rPr>
        <w:t>2</w:t>
      </w:r>
      <w:r>
        <w:rPr>
          <w:bCs/>
        </w:rPr>
        <w:t>，分为</w:t>
      </w:r>
      <w:r>
        <w:rPr>
          <w:rFonts w:hint="eastAsia"/>
          <w:bCs/>
        </w:rPr>
        <w:t>液体危废和固体危废</w:t>
      </w:r>
      <w:r>
        <w:rPr>
          <w:bCs/>
        </w:rPr>
        <w:t>分区。</w:t>
      </w:r>
    </w:p>
    <w:p>
      <w:pPr>
        <w:pStyle w:val="19"/>
        <w:ind w:firstLine="480"/>
        <w:rPr>
          <w:rFonts w:hint="eastAsia" w:ascii="Times New Roman" w:hAnsi="Times New Roman" w:cs="Times New Roman"/>
          <w:bCs/>
        </w:rPr>
      </w:pPr>
      <w:r>
        <w:rPr>
          <w:rFonts w:hint="eastAsia" w:ascii="Times New Roman" w:hAnsi="Times New Roman" w:cs="Times New Roman"/>
          <w:bCs/>
        </w:rPr>
        <w:t>危废暂存间内危险废物分区分类贮存，中间设置隔档，采取防风、防雨、防渗措施，设置标志牌。运营期产生的危险废物收集后委托福建兴业东江环保科技有限公司统一进行处置；生活垃圾收集后由当地环卫部门统一处置，机修油棉纱混入生活垃圾处置。</w:t>
      </w:r>
    </w:p>
    <w:p>
      <w:pPr>
        <w:pStyle w:val="19"/>
        <w:ind w:firstLine="480"/>
        <w:rPr>
          <w:bCs/>
          <w:lang w:val="en-US"/>
        </w:rPr>
      </w:pPr>
      <w:r>
        <w:rPr>
          <w:rFonts w:hint="eastAsia" w:ascii="Times New Roman" w:hAnsi="Times New Roman" w:cs="Times New Roman"/>
          <w:bCs/>
        </w:rPr>
        <w:t>公司安排专人负责危废的日常收集与管理，对危废的产生、暂存和转移进行台账记录管理。危废的转移处置采用电子联单制度，在全省固体废物环境管</w:t>
      </w:r>
      <w:r>
        <w:rPr>
          <w:rFonts w:hint="eastAsia"/>
        </w:rPr>
        <w:t>理信息系统进行申报登记、转移。</w:t>
      </w:r>
    </w:p>
    <w:p>
      <w:pPr>
        <w:pStyle w:val="19"/>
        <w:ind w:firstLine="480"/>
        <w:rPr>
          <w:lang w:val="en-US"/>
        </w:rPr>
      </w:pPr>
      <w:r>
        <w:rPr>
          <w:lang w:val="en-US"/>
        </w:rPr>
        <w:t>本项目固废处置遵循</w:t>
      </w:r>
      <w:r>
        <w:rPr>
          <w:rFonts w:hint="eastAsia"/>
          <w:lang w:val="en-US" w:eastAsia="zh-Hans"/>
        </w:rPr>
        <w:t>“</w:t>
      </w:r>
      <w:r>
        <w:rPr>
          <w:lang w:val="en-US"/>
        </w:rPr>
        <w:t>减量化、资源化</w:t>
      </w:r>
      <w:r>
        <w:t>、</w:t>
      </w:r>
      <w:r>
        <w:rPr>
          <w:lang w:val="en-US"/>
        </w:rPr>
        <w:t>无害化</w:t>
      </w:r>
      <w:r>
        <w:rPr>
          <w:rFonts w:hint="eastAsia"/>
          <w:lang w:val="en-US" w:eastAsia="zh-Hans"/>
        </w:rPr>
        <w:t>”</w:t>
      </w:r>
      <w:r>
        <w:rPr>
          <w:lang w:val="en-US"/>
        </w:rPr>
        <w:t>原则，项目运营期固体废物主要有：罐区清罐底渣、生活垃圾</w:t>
      </w:r>
      <w:r>
        <w:t>、</w:t>
      </w:r>
      <w:r>
        <w:rPr>
          <w:lang w:val="en-US"/>
        </w:rPr>
        <w:t>到港船舶垃圾、船舶残油等。</w:t>
      </w:r>
    </w:p>
    <w:p>
      <w:pPr>
        <w:pStyle w:val="19"/>
        <w:ind w:firstLine="480"/>
        <w:rPr>
          <w:lang w:val="en-US" w:eastAsia="zh-Hans"/>
        </w:rPr>
      </w:pPr>
      <w:r>
        <w:rPr>
          <w:lang w:val="en-US"/>
        </w:rPr>
        <w:t>本项目固体废弃物处置措施详见表</w:t>
      </w:r>
      <w:r>
        <w:t>4</w:t>
      </w:r>
      <w:r>
        <w:rPr>
          <w:lang w:val="en-US"/>
        </w:rPr>
        <w:t>.</w:t>
      </w:r>
      <w:r>
        <w:t>1</w:t>
      </w:r>
      <w:r>
        <w:rPr>
          <w:lang w:val="en-US"/>
        </w:rPr>
        <w:t>.</w:t>
      </w:r>
      <w:r>
        <w:rPr>
          <w:rFonts w:hint="eastAsia"/>
          <w:lang w:val="en-US" w:eastAsia="zh-CN"/>
        </w:rPr>
        <w:t>1</w:t>
      </w:r>
      <w:r>
        <w:t>。</w:t>
      </w:r>
      <w:r>
        <w:rPr>
          <w:rFonts w:hint="eastAsia"/>
          <w:lang w:val="en-US" w:eastAsia="zh-Hans"/>
        </w:rPr>
        <w:t>项目试生产至验收监测期间共产生危险废物</w:t>
      </w:r>
      <w:r>
        <w:rPr>
          <w:rFonts w:hint="eastAsia"/>
          <w:lang w:val="en-US" w:eastAsia="zh-CN"/>
        </w:rPr>
        <w:t>2.02</w:t>
      </w:r>
      <w:r>
        <w:rPr>
          <w:rFonts w:hint="eastAsia"/>
          <w:lang w:val="en-US" w:eastAsia="zh-Hans"/>
        </w:rPr>
        <w:t>吨</w:t>
      </w:r>
      <w:r>
        <w:rPr>
          <w:rFonts w:hint="eastAsia"/>
          <w:lang w:eastAsia="zh-CN"/>
        </w:rPr>
        <w:t>，</w:t>
      </w:r>
      <w:r>
        <w:rPr>
          <w:rFonts w:hint="eastAsia"/>
          <w:lang w:val="en-US" w:eastAsia="zh-CN"/>
        </w:rPr>
        <w:t>已全部委托</w:t>
      </w:r>
      <w:r>
        <w:t>福建兴业东江环保科技有限公司</w:t>
      </w:r>
      <w:r>
        <w:rPr>
          <w:rFonts w:hint="eastAsia"/>
          <w:lang w:val="en-US" w:eastAsia="zh-CN"/>
        </w:rPr>
        <w:t>按要求进行清运</w:t>
      </w:r>
      <w:r>
        <w:t>处置</w:t>
      </w:r>
      <w:r>
        <w:rPr>
          <w:rFonts w:hint="eastAsia"/>
          <w:lang w:eastAsia="zh-CN"/>
        </w:rPr>
        <w:t>，</w:t>
      </w:r>
      <w:r>
        <w:rPr>
          <w:rFonts w:hint="eastAsia"/>
          <w:lang w:val="en-US" w:eastAsia="zh-Hans"/>
        </w:rPr>
        <w:t>危险废物</w:t>
      </w:r>
      <w:r>
        <w:rPr>
          <w:rFonts w:hint="eastAsia"/>
          <w:lang w:val="en-US" w:eastAsia="zh-CN"/>
        </w:rPr>
        <w:t>产生情况</w:t>
      </w:r>
      <w:r>
        <w:rPr>
          <w:rFonts w:hint="eastAsia"/>
          <w:lang w:val="en-US" w:eastAsia="zh-Hans"/>
        </w:rPr>
        <w:t>见表</w:t>
      </w:r>
      <w:r>
        <w:rPr>
          <w:lang w:eastAsia="zh-Hans"/>
        </w:rPr>
        <w:t>4</w:t>
      </w:r>
      <w:r>
        <w:rPr>
          <w:rFonts w:hint="eastAsia"/>
          <w:lang w:val="en-US" w:eastAsia="zh-Hans"/>
        </w:rPr>
        <w:t>.</w:t>
      </w:r>
      <w:r>
        <w:rPr>
          <w:lang w:eastAsia="zh-Hans"/>
        </w:rPr>
        <w:t>1</w:t>
      </w:r>
      <w:r>
        <w:rPr>
          <w:rFonts w:hint="eastAsia"/>
          <w:lang w:val="en-US" w:eastAsia="zh-Hans"/>
        </w:rPr>
        <w:t>.</w:t>
      </w:r>
      <w:r>
        <w:rPr>
          <w:rFonts w:hint="eastAsia"/>
          <w:lang w:val="en-US" w:eastAsia="zh-CN"/>
        </w:rPr>
        <w:t>2</w:t>
      </w:r>
      <w:r>
        <w:rPr>
          <w:lang w:eastAsia="zh-Hans"/>
        </w:rPr>
        <w:t>。</w:t>
      </w:r>
    </w:p>
    <w:p>
      <w:pPr>
        <w:pStyle w:val="23"/>
        <w:rPr>
          <w:rFonts w:hint="eastAsia" w:eastAsia="黑体"/>
          <w:lang w:eastAsia="zh-CN"/>
        </w:rPr>
      </w:pPr>
      <w:r>
        <w:t>表4.1.</w:t>
      </w:r>
      <w:r>
        <w:rPr>
          <w:rFonts w:hint="eastAsia"/>
          <w:lang w:val="en-US" w:eastAsia="zh-CN"/>
        </w:rPr>
        <w:t>1</w:t>
      </w:r>
      <w:r>
        <w:t xml:space="preserve"> 固体废物</w:t>
      </w:r>
      <w:r>
        <w:rPr>
          <w:rFonts w:hint="eastAsia"/>
          <w:lang w:eastAsia="zh-CN"/>
        </w:rPr>
        <w:t>产生及处置情况</w:t>
      </w:r>
    </w:p>
    <w:tbl>
      <w:tblPr>
        <w:tblStyle w:val="14"/>
        <w:tblW w:w="8331" w:type="dxa"/>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422"/>
        <w:gridCol w:w="1194"/>
        <w:gridCol w:w="712"/>
        <w:gridCol w:w="1220"/>
        <w:gridCol w:w="1220"/>
        <w:gridCol w:w="432"/>
        <w:gridCol w:w="967"/>
        <w:gridCol w:w="785"/>
        <w:gridCol w:w="1379"/>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pPr>
            <w:r>
              <w:t>序号</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固废名称</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属性</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eastAsia="zh-CN"/>
              </w:rPr>
            </w:pPr>
            <w:r>
              <w:rPr>
                <w:rFonts w:hint="eastAsia"/>
                <w:lang w:eastAsia="zh-CN"/>
              </w:rPr>
              <w:t>危险废物分类</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产生工序及装置</w:t>
            </w:r>
          </w:p>
        </w:tc>
        <w:tc>
          <w:tcPr>
            <w:tcW w:w="4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形态</w:t>
            </w:r>
          </w:p>
        </w:tc>
        <w:tc>
          <w:tcPr>
            <w:tcW w:w="967" w:type="dxa"/>
            <w:tcBorders>
              <w:top w:val="single" w:color="000000" w:sz="4" w:space="0"/>
              <w:left w:val="single" w:color="000000" w:sz="4" w:space="0"/>
              <w:bottom w:val="single" w:color="auto" w:sz="4" w:space="0"/>
              <w:right w:val="single" w:color="000000" w:sz="4" w:space="0"/>
            </w:tcBorders>
            <w:shd w:val="clear" w:color="auto" w:fill="auto"/>
            <w:vAlign w:val="center"/>
          </w:tcPr>
          <w:p>
            <w:pPr>
              <w:pStyle w:val="24"/>
            </w:pPr>
            <w:r>
              <w:t>主要成分</w:t>
            </w:r>
          </w:p>
        </w:tc>
        <w:tc>
          <w:tcPr>
            <w:tcW w:w="785" w:type="dxa"/>
            <w:tcBorders>
              <w:top w:val="single" w:color="000000" w:sz="4" w:space="0"/>
              <w:left w:val="single" w:color="000000" w:sz="4" w:space="0"/>
              <w:bottom w:val="single" w:color="auto" w:sz="4" w:space="0"/>
            </w:tcBorders>
            <w:shd w:val="clear" w:color="auto" w:fill="auto"/>
            <w:vAlign w:val="center"/>
          </w:tcPr>
          <w:p>
            <w:pPr>
              <w:pStyle w:val="24"/>
              <w:rPr>
                <w:rFonts w:hint="default" w:eastAsia="宋体"/>
                <w:lang w:val="en-US" w:eastAsia="zh-CN"/>
              </w:rPr>
            </w:pPr>
            <w:r>
              <w:rPr>
                <w:rFonts w:hint="eastAsia"/>
                <w:lang w:eastAsia="zh-CN"/>
              </w:rPr>
              <w:t>产生量</w:t>
            </w:r>
            <w:r>
              <w:rPr>
                <w:rFonts w:hint="eastAsia"/>
                <w:lang w:val="en-US" w:eastAsia="zh-CN"/>
              </w:rPr>
              <w:t>t/a</w:t>
            </w:r>
          </w:p>
        </w:tc>
        <w:tc>
          <w:tcPr>
            <w:tcW w:w="1379" w:type="dxa"/>
            <w:tcBorders>
              <w:top w:val="single" w:color="000000" w:sz="4" w:space="0"/>
              <w:left w:val="single" w:color="000000" w:sz="4" w:space="0"/>
              <w:bottom w:val="single" w:color="auto" w:sz="4" w:space="0"/>
            </w:tcBorders>
            <w:shd w:val="clear" w:color="auto" w:fill="auto"/>
            <w:vAlign w:val="center"/>
          </w:tcPr>
          <w:p>
            <w:pPr>
              <w:pStyle w:val="24"/>
            </w:pPr>
            <w:r>
              <w:t>最终处置措施</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pPr>
            <w:r>
              <w:t>1</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清罐油渣、</w:t>
            </w:r>
          </w:p>
          <w:p>
            <w:pPr>
              <w:pStyle w:val="24"/>
            </w:pPr>
            <w:r>
              <w:t>残液</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危险废物</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eastAsia="zh-CN"/>
              </w:rPr>
            </w:pPr>
            <w:r>
              <w:t>HW06废有机溶剂与含有机溶剂废物</w:t>
            </w:r>
            <w:r>
              <w:rPr>
                <w:rFonts w:hint="eastAsia"/>
                <w:lang w:eastAsia="zh-CN"/>
              </w:rPr>
              <w:t>、HW08废矿物油与含矿物油废物、HW35废碱</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清罐</w:t>
            </w:r>
          </w:p>
        </w:tc>
        <w:tc>
          <w:tcPr>
            <w:tcW w:w="432"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24"/>
            </w:pPr>
            <w:r>
              <w:t>固</w:t>
            </w:r>
            <w:r>
              <w:rPr>
                <w:rFonts w:hint="default"/>
              </w:rPr>
              <w:t>/</w:t>
            </w:r>
            <w:r>
              <w:t>液</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pPr>
            <w:r>
              <w:t>油品、化学品</w:t>
            </w:r>
          </w:p>
        </w:tc>
        <w:tc>
          <w:tcPr>
            <w:tcW w:w="785" w:type="dxa"/>
            <w:tcBorders>
              <w:top w:val="single" w:color="auto" w:sz="4" w:space="0"/>
              <w:left w:val="single" w:color="auto" w:sz="4" w:space="0"/>
              <w:bottom w:val="single" w:color="auto" w:sz="4" w:space="0"/>
            </w:tcBorders>
            <w:shd w:val="clear" w:color="auto" w:fill="auto"/>
            <w:vAlign w:val="center"/>
          </w:tcPr>
          <w:p>
            <w:pPr>
              <w:pStyle w:val="24"/>
              <w:rPr>
                <w:rFonts w:hint="default" w:eastAsia="宋体"/>
                <w:lang w:val="en-US" w:eastAsia="zh-CN"/>
              </w:rPr>
            </w:pPr>
            <w:r>
              <w:rPr>
                <w:rFonts w:hint="eastAsia"/>
                <w:lang w:val="en-US" w:eastAsia="zh-CN"/>
              </w:rPr>
              <w:t>73.7</w:t>
            </w:r>
          </w:p>
        </w:tc>
        <w:tc>
          <w:tcPr>
            <w:tcW w:w="1379" w:type="dxa"/>
            <w:vMerge w:val="restart"/>
            <w:tcBorders>
              <w:top w:val="single" w:color="auto" w:sz="4" w:space="0"/>
              <w:left w:val="single" w:color="auto" w:sz="4" w:space="0"/>
              <w:bottom w:val="single" w:color="auto" w:sz="4" w:space="0"/>
            </w:tcBorders>
            <w:shd w:val="clear" w:color="auto" w:fill="auto"/>
            <w:vAlign w:val="center"/>
          </w:tcPr>
          <w:p>
            <w:pPr>
              <w:pStyle w:val="24"/>
            </w:pPr>
            <w:r>
              <w:t>福建兴业东江环保科技有限公司处置</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pPr>
            <w:r>
              <w:t>2</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lang w:eastAsia="zh-Hans"/>
              </w:rPr>
            </w:pPr>
            <w:r>
              <w:t>失效活性炭</w:t>
            </w:r>
            <w:r>
              <w:rPr>
                <w:rFonts w:hint="eastAsia"/>
                <w:lang w:eastAsia="zh-Hans"/>
              </w:rPr>
              <w:t>及废活性炭</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危险废物</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lang w:val="en-GB"/>
              </w:rPr>
              <w:t>HW49其他废物</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废气处理</w:t>
            </w:r>
          </w:p>
        </w:tc>
        <w:tc>
          <w:tcPr>
            <w:tcW w:w="432"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24"/>
            </w:pPr>
            <w:r>
              <w:t>固</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4"/>
              <w:rPr>
                <w:lang w:eastAsia="zh-Hans"/>
              </w:rPr>
            </w:pPr>
            <w:r>
              <w:t>失效活性炭</w:t>
            </w:r>
            <w:r>
              <w:rPr>
                <w:rFonts w:hint="eastAsia"/>
                <w:lang w:eastAsia="zh-Hans"/>
              </w:rPr>
              <w:t>及菲活性炭</w:t>
            </w:r>
          </w:p>
        </w:tc>
        <w:tc>
          <w:tcPr>
            <w:tcW w:w="785" w:type="dxa"/>
            <w:tcBorders>
              <w:top w:val="single" w:color="auto" w:sz="4" w:space="0"/>
              <w:left w:val="single" w:color="auto" w:sz="4" w:space="0"/>
              <w:bottom w:val="single" w:color="auto" w:sz="4" w:space="0"/>
            </w:tcBorders>
            <w:shd w:val="clear" w:color="auto" w:fill="auto"/>
            <w:vAlign w:val="center"/>
          </w:tcPr>
          <w:p>
            <w:pPr>
              <w:pStyle w:val="24"/>
              <w:rPr>
                <w:rFonts w:hint="default" w:eastAsia="宋体"/>
                <w:lang w:val="en-US" w:eastAsia="zh-CN"/>
              </w:rPr>
            </w:pPr>
            <w:r>
              <w:rPr>
                <w:rFonts w:hint="eastAsia"/>
                <w:lang w:val="en-US" w:eastAsia="zh-CN"/>
              </w:rPr>
              <w:t>7.5</w:t>
            </w:r>
          </w:p>
        </w:tc>
        <w:tc>
          <w:tcPr>
            <w:tcW w:w="1379" w:type="dxa"/>
            <w:vMerge w:val="continue"/>
            <w:tcBorders>
              <w:top w:val="single" w:color="auto" w:sz="4" w:space="0"/>
              <w:left w:val="single" w:color="auto" w:sz="4" w:space="0"/>
              <w:bottom w:val="single" w:color="auto"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pPr>
            <w:r>
              <w:t>3</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废机油</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危险废物</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lang w:val="en-GB"/>
              </w:rPr>
              <w:t>HW08废矿物油与含矿物油废物</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机修过程</w:t>
            </w:r>
          </w:p>
        </w:tc>
        <w:tc>
          <w:tcPr>
            <w:tcW w:w="4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液</w:t>
            </w:r>
          </w:p>
        </w:tc>
        <w:tc>
          <w:tcPr>
            <w:tcW w:w="967" w:type="dxa"/>
            <w:tcBorders>
              <w:top w:val="single" w:color="auto" w:sz="4" w:space="0"/>
              <w:left w:val="single" w:color="000000" w:sz="4" w:space="0"/>
              <w:bottom w:val="single" w:color="000000" w:sz="4" w:space="0"/>
              <w:right w:val="single" w:color="000000" w:sz="4" w:space="0"/>
            </w:tcBorders>
            <w:shd w:val="clear" w:color="auto" w:fill="auto"/>
            <w:vAlign w:val="center"/>
          </w:tcPr>
          <w:p>
            <w:pPr>
              <w:pStyle w:val="24"/>
            </w:pPr>
            <w:r>
              <w:t>废机油</w:t>
            </w:r>
          </w:p>
        </w:tc>
        <w:tc>
          <w:tcPr>
            <w:tcW w:w="785" w:type="dxa"/>
            <w:tcBorders>
              <w:top w:val="single" w:color="auto" w:sz="4" w:space="0"/>
              <w:left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2</w:t>
            </w:r>
          </w:p>
        </w:tc>
        <w:tc>
          <w:tcPr>
            <w:tcW w:w="1379" w:type="dxa"/>
            <w:vMerge w:val="continue"/>
            <w:tcBorders>
              <w:top w:val="single" w:color="auto" w:sz="4" w:space="0"/>
              <w:left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rPr>
                <w:rFonts w:hint="default"/>
              </w:rPr>
            </w:pPr>
            <w:r>
              <w:rPr>
                <w:rFonts w:hint="default"/>
              </w:rPr>
              <w:t>4</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污水站含油污泥</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危险废物</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lang w:val="en-GB"/>
              </w:rPr>
              <w:t>HW08废矿物油与含矿物油废物</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污水处理站</w:t>
            </w:r>
          </w:p>
        </w:tc>
        <w:tc>
          <w:tcPr>
            <w:tcW w:w="4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Hans"/>
              </w:rPr>
            </w:pPr>
            <w:r>
              <w:rPr>
                <w:rFonts w:hint="eastAsia"/>
                <w:lang w:val="en-US" w:eastAsia="zh-Hans"/>
              </w:rPr>
              <w:t>固</w:t>
            </w:r>
          </w:p>
        </w:tc>
        <w:tc>
          <w:tcPr>
            <w:tcW w:w="967" w:type="dxa"/>
            <w:tcBorders>
              <w:top w:val="single" w:color="auto" w:sz="4" w:space="0"/>
              <w:left w:val="single" w:color="000000" w:sz="4" w:space="0"/>
              <w:bottom w:val="single" w:color="000000" w:sz="4" w:space="0"/>
              <w:right w:val="single" w:color="000000" w:sz="4" w:space="0"/>
            </w:tcBorders>
            <w:shd w:val="clear" w:color="auto" w:fill="auto"/>
            <w:vAlign w:val="center"/>
          </w:tcPr>
          <w:p>
            <w:pPr>
              <w:pStyle w:val="24"/>
            </w:pPr>
            <w:r>
              <w:t>含油污泥</w:t>
            </w:r>
          </w:p>
        </w:tc>
        <w:tc>
          <w:tcPr>
            <w:tcW w:w="785" w:type="dxa"/>
            <w:tcBorders>
              <w:top w:val="single" w:color="auto" w:sz="4" w:space="0"/>
              <w:lef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5</w:t>
            </w:r>
          </w:p>
        </w:tc>
        <w:tc>
          <w:tcPr>
            <w:tcW w:w="1379" w:type="dxa"/>
            <w:vMerge w:val="continue"/>
            <w:tcBorders>
              <w:top w:val="single" w:color="auto" w:sz="4" w:space="0"/>
              <w:left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5</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Hans"/>
              </w:rPr>
            </w:pPr>
            <w:r>
              <w:rPr>
                <w:rFonts w:hint="eastAsia"/>
                <w:lang w:val="en-US" w:eastAsia="zh-Hans"/>
              </w:rPr>
              <w:t>生化污泥</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Hans"/>
              </w:rPr>
            </w:pPr>
            <w:r>
              <w:rPr>
                <w:rFonts w:hint="eastAsia"/>
                <w:lang w:val="en-US" w:eastAsia="zh-Hans"/>
              </w:rPr>
              <w:t>待鉴定</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Hans"/>
              </w:rPr>
            </w:pPr>
            <w:r>
              <w:rPr>
                <w:rFonts w:hint="eastAsia"/>
                <w:lang w:val="en-US" w:eastAsia="zh-Hans"/>
              </w:rPr>
              <w:t>污水处理站</w:t>
            </w:r>
          </w:p>
        </w:tc>
        <w:tc>
          <w:tcPr>
            <w:tcW w:w="4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Hans"/>
              </w:rPr>
            </w:pPr>
            <w:r>
              <w:rPr>
                <w:rFonts w:hint="eastAsia"/>
                <w:lang w:val="en-US" w:eastAsia="zh-Hans"/>
              </w:rPr>
              <w:t>固</w:t>
            </w:r>
          </w:p>
        </w:tc>
        <w:tc>
          <w:tcPr>
            <w:tcW w:w="967" w:type="dxa"/>
            <w:tcBorders>
              <w:top w:val="single" w:color="auto"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Hans"/>
              </w:rPr>
            </w:pPr>
            <w:r>
              <w:rPr>
                <w:rFonts w:hint="eastAsia"/>
                <w:lang w:val="en-US" w:eastAsia="zh-Hans"/>
              </w:rPr>
              <w:t>生化污泥</w:t>
            </w:r>
          </w:p>
        </w:tc>
        <w:tc>
          <w:tcPr>
            <w:tcW w:w="785" w:type="dxa"/>
            <w:tcBorders>
              <w:top w:val="single" w:color="auto" w:sz="4" w:space="0"/>
              <w:left w:val="single" w:color="000000" w:sz="4" w:space="0"/>
              <w:bottom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100</w:t>
            </w:r>
          </w:p>
        </w:tc>
        <w:tc>
          <w:tcPr>
            <w:tcW w:w="1379" w:type="dxa"/>
            <w:tcBorders>
              <w:top w:val="single" w:color="auto" w:sz="4" w:space="0"/>
              <w:left w:val="single" w:color="000000" w:sz="4" w:space="0"/>
              <w:bottom w:val="single" w:color="000000" w:sz="4" w:space="0"/>
            </w:tcBorders>
            <w:shd w:val="clear" w:color="auto" w:fill="auto"/>
            <w:vAlign w:val="center"/>
          </w:tcPr>
          <w:p>
            <w:pPr>
              <w:pStyle w:val="24"/>
              <w:rPr>
                <w:rFonts w:hint="eastAsia"/>
                <w:lang w:eastAsia="zh-Hans"/>
              </w:rPr>
            </w:pPr>
            <w:r>
              <w:rPr>
                <w:rFonts w:hint="eastAsia"/>
                <w:lang w:eastAsia="zh-Hans"/>
              </w:rPr>
              <w:t>按照危险废物储存管理</w:t>
            </w:r>
            <w:r>
              <w:rPr>
                <w:lang w:eastAsia="zh-Hans"/>
              </w:rPr>
              <w:t>，</w:t>
            </w:r>
            <w:r>
              <w:t>福建兴业东江环保科技有限公司</w:t>
            </w:r>
            <w:r>
              <w:rPr>
                <w:rFonts w:hint="eastAsia"/>
                <w:lang w:eastAsia="zh-Hans"/>
              </w:rPr>
              <w:t>处置</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6</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机修油棉</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Hans"/>
              </w:rPr>
            </w:pPr>
            <w:r>
              <w:rPr>
                <w:rFonts w:hint="eastAsia"/>
                <w:lang w:val="en-US" w:eastAsia="zh-Hans"/>
              </w:rPr>
              <w:t>危险废物</w:t>
            </w:r>
            <w:r>
              <w:rPr>
                <w:rFonts w:hint="eastAsia"/>
                <w:lang w:val="en-US" w:eastAsia="zh-CN"/>
              </w:rPr>
              <w:t>（豁免管理）</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Hans"/>
              </w:rPr>
            </w:pPr>
            <w:r>
              <w:rPr>
                <w:rFonts w:hint="eastAsia"/>
                <w:lang w:val="en-US" w:eastAsia="zh-Hans"/>
              </w:rPr>
              <w:t>机修过程</w:t>
            </w:r>
          </w:p>
        </w:tc>
        <w:tc>
          <w:tcPr>
            <w:tcW w:w="4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Hans"/>
              </w:rPr>
            </w:pPr>
            <w:r>
              <w:rPr>
                <w:rFonts w:hint="eastAsia"/>
                <w:lang w:val="en-US" w:eastAsia="zh-Hans"/>
              </w:rPr>
              <w:t>固</w:t>
            </w:r>
          </w:p>
        </w:tc>
        <w:tc>
          <w:tcPr>
            <w:tcW w:w="967" w:type="dxa"/>
            <w:tcBorders>
              <w:top w:val="single" w:color="auto"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Hans"/>
              </w:rPr>
            </w:pPr>
            <w:r>
              <w:rPr>
                <w:rFonts w:hint="eastAsia"/>
                <w:lang w:val="en-US" w:eastAsia="zh-Hans"/>
              </w:rPr>
              <w:t>含油抹布</w:t>
            </w:r>
          </w:p>
        </w:tc>
        <w:tc>
          <w:tcPr>
            <w:tcW w:w="785" w:type="dxa"/>
            <w:tcBorders>
              <w:top w:val="single" w:color="auto" w:sz="4" w:space="0"/>
              <w:left w:val="single" w:color="000000" w:sz="4" w:space="0"/>
              <w:bottom w:val="single" w:color="auto" w:sz="4" w:space="0"/>
            </w:tcBorders>
            <w:shd w:val="clear" w:color="auto" w:fill="auto"/>
            <w:vAlign w:val="center"/>
          </w:tcPr>
          <w:p>
            <w:pPr>
              <w:pStyle w:val="24"/>
              <w:rPr>
                <w:rFonts w:hint="eastAsia" w:eastAsia="宋体"/>
                <w:lang w:val="en-US" w:eastAsia="zh-CN"/>
              </w:rPr>
            </w:pPr>
            <w:r>
              <w:rPr>
                <w:rFonts w:hint="eastAsia"/>
                <w:lang w:val="en-US" w:eastAsia="zh-CN"/>
              </w:rPr>
              <w:t>/</w:t>
            </w:r>
          </w:p>
        </w:tc>
        <w:tc>
          <w:tcPr>
            <w:tcW w:w="1379" w:type="dxa"/>
            <w:vMerge w:val="restart"/>
            <w:tcBorders>
              <w:top w:val="single" w:color="auto" w:sz="4" w:space="0"/>
              <w:left w:val="single" w:color="000000" w:sz="4" w:space="0"/>
            </w:tcBorders>
            <w:shd w:val="clear" w:color="auto" w:fill="auto"/>
            <w:vAlign w:val="center"/>
          </w:tcPr>
          <w:p>
            <w:pPr>
              <w:pStyle w:val="24"/>
            </w:pPr>
            <w:r>
              <w:t>环卫部门</w:t>
            </w:r>
          </w:p>
          <w:p>
            <w:pPr>
              <w:pStyle w:val="24"/>
            </w:pPr>
            <w:r>
              <w:t>统一处置</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422" w:type="dxa"/>
            <w:tcBorders>
              <w:top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7</w:t>
            </w:r>
          </w:p>
        </w:tc>
        <w:tc>
          <w:tcPr>
            <w:tcW w:w="11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生活垃圾</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生活垃圾</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w:t>
            </w:r>
          </w:p>
        </w:tc>
        <w:tc>
          <w:tcPr>
            <w:tcW w:w="12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职工生活</w:t>
            </w:r>
          </w:p>
        </w:tc>
        <w:tc>
          <w:tcPr>
            <w:tcW w:w="4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固</w:t>
            </w:r>
          </w:p>
        </w:tc>
        <w:tc>
          <w:tcPr>
            <w:tcW w:w="96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生活垃圾</w:t>
            </w:r>
          </w:p>
        </w:tc>
        <w:tc>
          <w:tcPr>
            <w:tcW w:w="785" w:type="dxa"/>
            <w:tcBorders>
              <w:top w:val="single" w:color="auto" w:sz="4" w:space="0"/>
              <w:left w:val="single" w:color="000000" w:sz="4" w:space="0"/>
              <w:bottom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26.4</w:t>
            </w:r>
          </w:p>
        </w:tc>
        <w:tc>
          <w:tcPr>
            <w:tcW w:w="1379" w:type="dxa"/>
            <w:vMerge w:val="continue"/>
            <w:tcBorders>
              <w:left w:val="single" w:color="000000" w:sz="4" w:space="0"/>
              <w:bottom w:val="single" w:color="000000" w:sz="4" w:space="0"/>
            </w:tcBorders>
            <w:shd w:val="clear" w:color="auto" w:fill="auto"/>
            <w:vAlign w:val="center"/>
          </w:tcPr>
          <w:p>
            <w:pPr>
              <w:pStyle w:val="24"/>
            </w:pPr>
          </w:p>
        </w:tc>
      </w:tr>
    </w:tbl>
    <w:p>
      <w:pPr>
        <w:pStyle w:val="23"/>
        <w:spacing w:before="240"/>
        <w:jc w:val="both"/>
        <w:outlineLvl w:val="9"/>
      </w:pPr>
    </w:p>
    <w:p>
      <w:pPr>
        <w:pStyle w:val="23"/>
        <w:spacing w:before="24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spacing w:before="240"/>
        <w:rPr>
          <w:rFonts w:hint="default"/>
          <w:lang w:val="en-US"/>
        </w:rPr>
      </w:pPr>
      <w:r>
        <w:t>表4.1.</w:t>
      </w:r>
      <w:r>
        <w:rPr>
          <w:rFonts w:hint="eastAsia"/>
          <w:lang w:val="en-US" w:eastAsia="zh-CN"/>
        </w:rPr>
        <w:t>2</w:t>
      </w:r>
      <w:r>
        <w:t xml:space="preserve"> </w:t>
      </w:r>
      <w:r>
        <w:rPr>
          <w:rFonts w:hint="eastAsia"/>
          <w:lang w:eastAsia="zh-Hans"/>
        </w:rPr>
        <w:t>危险废物</w:t>
      </w:r>
      <w:r>
        <w:rPr>
          <w:rFonts w:hint="eastAsia"/>
          <w:lang w:val="en-US" w:eastAsia="zh-CN"/>
        </w:rPr>
        <w:t>处置情况</w:t>
      </w:r>
    </w:p>
    <w:tbl>
      <w:tblPr>
        <w:tblStyle w:val="14"/>
        <w:tblW w:w="8519" w:type="dxa"/>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424"/>
        <w:gridCol w:w="2837"/>
        <w:gridCol w:w="225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eastAsia"/>
              </w:rPr>
              <w:t>废物名称</w:t>
            </w:r>
          </w:p>
        </w:tc>
        <w:tc>
          <w:tcPr>
            <w:tcW w:w="2837" w:type="dxa"/>
            <w:tcBorders>
              <w:tl2br w:val="nil"/>
              <w:tr2bl w:val="nil"/>
            </w:tcBorders>
            <w:shd w:val="clear" w:color="auto" w:fill="auto"/>
            <w:vAlign w:val="center"/>
          </w:tcPr>
          <w:p>
            <w:pPr>
              <w:pStyle w:val="24"/>
              <w:bidi w:val="0"/>
            </w:pPr>
            <w:r>
              <w:rPr>
                <w:rFonts w:hint="eastAsia"/>
              </w:rPr>
              <w:t>废物代码</w:t>
            </w:r>
          </w:p>
        </w:tc>
        <w:tc>
          <w:tcPr>
            <w:tcW w:w="2258"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产生量t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default"/>
                <w:lang w:val="en-US" w:eastAsia="zh-CN"/>
              </w:rPr>
              <w:t>化工品清罐残渣液（其他）</w:t>
            </w:r>
          </w:p>
        </w:tc>
        <w:tc>
          <w:tcPr>
            <w:tcW w:w="2837" w:type="dxa"/>
            <w:tcBorders>
              <w:tl2br w:val="nil"/>
              <w:tr2bl w:val="nil"/>
            </w:tcBorders>
            <w:shd w:val="clear" w:color="auto" w:fill="auto"/>
            <w:vAlign w:val="center"/>
          </w:tcPr>
          <w:p>
            <w:pPr>
              <w:pStyle w:val="24"/>
              <w:bidi w:val="0"/>
            </w:pPr>
            <w:r>
              <w:rPr>
                <w:rFonts w:hint="default"/>
                <w:lang w:val="en-US" w:eastAsia="zh-CN"/>
              </w:rPr>
              <w:t>900-404-06</w:t>
            </w:r>
          </w:p>
        </w:tc>
        <w:tc>
          <w:tcPr>
            <w:tcW w:w="2258" w:type="dxa"/>
            <w:tcBorders>
              <w:tl2br w:val="nil"/>
              <w:tr2bl w:val="nil"/>
            </w:tcBorders>
            <w:shd w:val="clear" w:color="auto" w:fill="auto"/>
            <w:vAlign w:val="center"/>
          </w:tcPr>
          <w:p>
            <w:pPr>
              <w:pStyle w:val="24"/>
              <w:bidi w:val="0"/>
              <w:rPr>
                <w:rFonts w:hint="default"/>
                <w:lang w:val="en-US"/>
              </w:rPr>
            </w:pPr>
            <w:r>
              <w:rPr>
                <w:rFonts w:hint="default"/>
                <w:lang w:val="en-US" w:eastAsia="zh-CN"/>
              </w:rPr>
              <w:t>0.1856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default"/>
                <w:lang w:val="en-US" w:eastAsia="zh-CN"/>
              </w:rPr>
              <w:t>废弃吸油毡</w:t>
            </w:r>
          </w:p>
        </w:tc>
        <w:tc>
          <w:tcPr>
            <w:tcW w:w="2837" w:type="dxa"/>
            <w:tcBorders>
              <w:tl2br w:val="nil"/>
              <w:tr2bl w:val="nil"/>
            </w:tcBorders>
            <w:shd w:val="clear" w:color="auto" w:fill="auto"/>
            <w:vAlign w:val="center"/>
          </w:tcPr>
          <w:p>
            <w:pPr>
              <w:pStyle w:val="24"/>
              <w:bidi w:val="0"/>
            </w:pPr>
            <w:r>
              <w:rPr>
                <w:rFonts w:hint="default"/>
                <w:lang w:val="en-US" w:eastAsia="zh-CN"/>
              </w:rPr>
              <w:t>900-042-49</w:t>
            </w:r>
          </w:p>
        </w:tc>
        <w:tc>
          <w:tcPr>
            <w:tcW w:w="2258" w:type="dxa"/>
            <w:tcBorders>
              <w:tl2br w:val="nil"/>
              <w:tr2bl w:val="nil"/>
            </w:tcBorders>
            <w:shd w:val="clear" w:color="auto" w:fill="auto"/>
            <w:vAlign w:val="center"/>
          </w:tcPr>
          <w:p>
            <w:pPr>
              <w:pStyle w:val="24"/>
              <w:bidi w:val="0"/>
            </w:pPr>
            <w:r>
              <w:rPr>
                <w:rFonts w:hint="default"/>
                <w:lang w:val="en-US" w:eastAsia="zh-CN"/>
              </w:rPr>
              <w:t>0.162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default"/>
                <w:lang w:val="en-US" w:eastAsia="zh-CN"/>
              </w:rPr>
              <w:t>样品包装瓶</w:t>
            </w:r>
          </w:p>
        </w:tc>
        <w:tc>
          <w:tcPr>
            <w:tcW w:w="2837" w:type="dxa"/>
            <w:tcBorders>
              <w:tl2br w:val="nil"/>
              <w:tr2bl w:val="nil"/>
            </w:tcBorders>
            <w:shd w:val="clear" w:color="auto" w:fill="auto"/>
            <w:vAlign w:val="center"/>
          </w:tcPr>
          <w:p>
            <w:pPr>
              <w:pStyle w:val="24"/>
              <w:bidi w:val="0"/>
            </w:pPr>
            <w:r>
              <w:rPr>
                <w:rFonts w:hint="default"/>
                <w:lang w:val="en-US" w:eastAsia="zh-CN"/>
              </w:rPr>
              <w:t>900-047-49</w:t>
            </w:r>
          </w:p>
        </w:tc>
        <w:tc>
          <w:tcPr>
            <w:tcW w:w="2258" w:type="dxa"/>
            <w:tcBorders>
              <w:tl2br w:val="nil"/>
              <w:tr2bl w:val="nil"/>
            </w:tcBorders>
            <w:shd w:val="clear" w:color="auto" w:fill="auto"/>
            <w:vAlign w:val="center"/>
          </w:tcPr>
          <w:p>
            <w:pPr>
              <w:pStyle w:val="24"/>
              <w:bidi w:val="0"/>
            </w:pPr>
            <w:r>
              <w:rPr>
                <w:rFonts w:hint="default"/>
                <w:lang w:val="en-US" w:eastAsia="zh-CN"/>
              </w:rPr>
              <w:t>0.1117</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default"/>
                <w:lang w:val="en-US" w:eastAsia="zh-CN"/>
              </w:rPr>
              <w:t>油品清罐残渣液</w:t>
            </w:r>
          </w:p>
        </w:tc>
        <w:tc>
          <w:tcPr>
            <w:tcW w:w="2837" w:type="dxa"/>
            <w:tcBorders>
              <w:tl2br w:val="nil"/>
              <w:tr2bl w:val="nil"/>
            </w:tcBorders>
            <w:shd w:val="clear" w:color="auto" w:fill="auto"/>
            <w:vAlign w:val="center"/>
          </w:tcPr>
          <w:p>
            <w:pPr>
              <w:pStyle w:val="24"/>
              <w:bidi w:val="0"/>
            </w:pPr>
            <w:r>
              <w:rPr>
                <w:rFonts w:hint="default"/>
                <w:lang w:val="en-US" w:eastAsia="zh-CN"/>
              </w:rPr>
              <w:t>251-001-08</w:t>
            </w:r>
          </w:p>
        </w:tc>
        <w:tc>
          <w:tcPr>
            <w:tcW w:w="2258" w:type="dxa"/>
            <w:tcBorders>
              <w:tl2br w:val="nil"/>
              <w:tr2bl w:val="nil"/>
            </w:tcBorders>
            <w:shd w:val="clear" w:color="auto" w:fill="auto"/>
            <w:vAlign w:val="center"/>
          </w:tcPr>
          <w:p>
            <w:pPr>
              <w:pStyle w:val="24"/>
              <w:bidi w:val="0"/>
            </w:pPr>
            <w:r>
              <w:rPr>
                <w:rFonts w:hint="default"/>
                <w:lang w:val="en-US" w:eastAsia="zh-CN"/>
              </w:rPr>
              <w:t>0.0232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default"/>
                <w:lang w:val="en-US" w:eastAsia="zh-CN"/>
              </w:rPr>
              <w:t>油气回收回收化学品</w:t>
            </w:r>
          </w:p>
        </w:tc>
        <w:tc>
          <w:tcPr>
            <w:tcW w:w="2837" w:type="dxa"/>
            <w:tcBorders>
              <w:tl2br w:val="nil"/>
              <w:tr2bl w:val="nil"/>
            </w:tcBorders>
            <w:shd w:val="clear" w:color="auto" w:fill="auto"/>
            <w:vAlign w:val="center"/>
          </w:tcPr>
          <w:p>
            <w:pPr>
              <w:pStyle w:val="24"/>
              <w:bidi w:val="0"/>
            </w:pPr>
            <w:r>
              <w:rPr>
                <w:rFonts w:hint="default"/>
                <w:lang w:val="en-US" w:eastAsia="zh-CN"/>
              </w:rPr>
              <w:t>900-402-06</w:t>
            </w:r>
          </w:p>
        </w:tc>
        <w:tc>
          <w:tcPr>
            <w:tcW w:w="2258" w:type="dxa"/>
            <w:tcBorders>
              <w:tl2br w:val="nil"/>
              <w:tr2bl w:val="nil"/>
            </w:tcBorders>
            <w:shd w:val="clear" w:color="auto" w:fill="auto"/>
            <w:vAlign w:val="center"/>
          </w:tcPr>
          <w:p>
            <w:pPr>
              <w:pStyle w:val="24"/>
              <w:bidi w:val="0"/>
            </w:pPr>
            <w:r>
              <w:rPr>
                <w:rFonts w:hint="default"/>
                <w:lang w:val="en-US" w:eastAsia="zh-CN"/>
              </w:rPr>
              <w:t>0.38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default"/>
                <w:lang w:val="en-US" w:eastAsia="zh-CN"/>
              </w:rPr>
              <w:t>失效活性炭</w:t>
            </w:r>
          </w:p>
        </w:tc>
        <w:tc>
          <w:tcPr>
            <w:tcW w:w="2837" w:type="dxa"/>
            <w:tcBorders>
              <w:tl2br w:val="nil"/>
              <w:tr2bl w:val="nil"/>
            </w:tcBorders>
            <w:shd w:val="clear" w:color="auto" w:fill="auto"/>
            <w:vAlign w:val="center"/>
          </w:tcPr>
          <w:p>
            <w:pPr>
              <w:pStyle w:val="24"/>
              <w:bidi w:val="0"/>
            </w:pPr>
            <w:r>
              <w:rPr>
                <w:rFonts w:hint="default"/>
                <w:lang w:val="en-US" w:eastAsia="zh-CN"/>
              </w:rPr>
              <w:t>900-039-49</w:t>
            </w:r>
          </w:p>
        </w:tc>
        <w:tc>
          <w:tcPr>
            <w:tcW w:w="2258" w:type="dxa"/>
            <w:tcBorders>
              <w:tl2br w:val="nil"/>
              <w:tr2bl w:val="nil"/>
            </w:tcBorders>
            <w:shd w:val="clear" w:color="auto" w:fill="auto"/>
            <w:vAlign w:val="center"/>
          </w:tcPr>
          <w:p>
            <w:pPr>
              <w:pStyle w:val="24"/>
              <w:bidi w:val="0"/>
            </w:pPr>
            <w:r>
              <w:rPr>
                <w:rFonts w:hint="default"/>
                <w:lang w:val="en-US" w:eastAsia="zh-CN"/>
              </w:rPr>
              <w:t>0.282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trPr>
        <w:tc>
          <w:tcPr>
            <w:tcW w:w="3424" w:type="dxa"/>
            <w:tcBorders>
              <w:tl2br w:val="nil"/>
              <w:tr2bl w:val="nil"/>
            </w:tcBorders>
            <w:shd w:val="clear" w:color="auto" w:fill="auto"/>
            <w:vAlign w:val="center"/>
          </w:tcPr>
          <w:p>
            <w:pPr>
              <w:pStyle w:val="24"/>
              <w:bidi w:val="0"/>
            </w:pPr>
            <w:r>
              <w:rPr>
                <w:rFonts w:hint="default"/>
                <w:lang w:val="en-US" w:eastAsia="zh-CN"/>
              </w:rPr>
              <w:t>废弃吸油毡</w:t>
            </w:r>
          </w:p>
        </w:tc>
        <w:tc>
          <w:tcPr>
            <w:tcW w:w="2837" w:type="dxa"/>
            <w:tcBorders>
              <w:tl2br w:val="nil"/>
              <w:tr2bl w:val="nil"/>
            </w:tcBorders>
            <w:shd w:val="clear" w:color="auto" w:fill="auto"/>
            <w:vAlign w:val="center"/>
          </w:tcPr>
          <w:p>
            <w:pPr>
              <w:pStyle w:val="24"/>
              <w:bidi w:val="0"/>
            </w:pPr>
            <w:r>
              <w:rPr>
                <w:rFonts w:hint="default"/>
                <w:lang w:val="en-US" w:eastAsia="zh-CN"/>
              </w:rPr>
              <w:t>900-042-49</w:t>
            </w:r>
          </w:p>
        </w:tc>
        <w:tc>
          <w:tcPr>
            <w:tcW w:w="2258" w:type="dxa"/>
            <w:tcBorders>
              <w:tl2br w:val="nil"/>
              <w:tr2bl w:val="nil"/>
            </w:tcBorders>
            <w:shd w:val="clear" w:color="auto" w:fill="auto"/>
            <w:vAlign w:val="center"/>
          </w:tcPr>
          <w:p>
            <w:pPr>
              <w:pStyle w:val="24"/>
              <w:bidi w:val="0"/>
            </w:pPr>
            <w:r>
              <w:rPr>
                <w:rFonts w:hint="default"/>
                <w:lang w:val="en-US" w:eastAsia="zh-CN"/>
              </w:rPr>
              <w:t>0.8755</w:t>
            </w:r>
          </w:p>
        </w:tc>
      </w:tr>
    </w:tbl>
    <w:p>
      <w:pPr>
        <w:pStyle w:val="18"/>
        <w:spacing w:before="156" w:beforeLines="50"/>
        <w:rPr>
          <w:rFonts w:hint="default" w:eastAsia="黑体"/>
          <w:lang w:val="en-US" w:eastAsia="zh-CN"/>
        </w:rPr>
      </w:pPr>
      <w:r>
        <w:t>4.1.5 地下水</w:t>
      </w:r>
    </w:p>
    <w:p>
      <w:pPr>
        <w:pStyle w:val="19"/>
        <w:bidi w:val="0"/>
      </w:pPr>
      <w:r>
        <w:rPr>
          <w:rFonts w:hint="eastAsia"/>
          <w:lang w:eastAsia="zh-CN"/>
        </w:rPr>
        <w:t>（</w:t>
      </w:r>
      <w:r>
        <w:rPr>
          <w:rFonts w:hint="eastAsia"/>
          <w:lang w:val="en-US" w:eastAsia="zh-CN"/>
        </w:rPr>
        <w:t>1</w:t>
      </w:r>
      <w:r>
        <w:rPr>
          <w:rFonts w:hint="eastAsia"/>
          <w:lang w:eastAsia="zh-CN"/>
        </w:rPr>
        <w:t>）</w:t>
      </w:r>
      <w:r>
        <w:rPr>
          <w:rFonts w:hint="eastAsia"/>
        </w:rPr>
        <w:t>主动防渗漏：对管道、事故应急池及处理构筑物采取了相应的措施，以防止可能发生的污染物跑、冒、滴、漏，将事故废水泄漏的环境风险事故降低到最低程度。防止危险品泄漏从源头抓起，从工程技术方面采取措施，加强储运操作防泄漏技术措施，严防运输车辆、装卸设备、及人员操作过程等发生事故或产生泄漏，一旦发生泄漏，结合</w:t>
      </w:r>
      <w:r>
        <w:rPr>
          <w:rFonts w:hint="eastAsia"/>
          <w:lang w:eastAsia="zh-CN"/>
        </w:rPr>
        <w:t>“三级防控措施”</w:t>
      </w:r>
      <w:r>
        <w:rPr>
          <w:rFonts w:hint="eastAsia"/>
        </w:rPr>
        <w:t>，加强疏导、收集、处理。</w:t>
      </w:r>
    </w:p>
    <w:p>
      <w:pPr>
        <w:pStyle w:val="19"/>
        <w:bidi w:val="0"/>
      </w:pPr>
      <w:r>
        <w:rPr>
          <w:rFonts w:hint="eastAsia"/>
          <w:lang w:eastAsia="zh-CN"/>
        </w:rPr>
        <w:t>（</w:t>
      </w:r>
      <w:r>
        <w:rPr>
          <w:rFonts w:hint="eastAsia"/>
          <w:lang w:val="en-US" w:eastAsia="zh-CN"/>
        </w:rPr>
        <w:t>2</w:t>
      </w:r>
      <w:r>
        <w:rPr>
          <w:rFonts w:hint="eastAsia"/>
          <w:lang w:eastAsia="zh-CN"/>
        </w:rPr>
        <w:t>）</w:t>
      </w:r>
      <w:r>
        <w:rPr>
          <w:rFonts w:hint="eastAsia"/>
        </w:rPr>
        <w:t>被动防渗漏：主要包括堆场地面的防渗措施和泄漏、渗漏污染物收集措施。本项目在污染区地面进行防渗处理，防止洒落地面的污染物渗入地下，并把滞留在地面的污染物及时收集起来，集中处理。</w:t>
      </w:r>
    </w:p>
    <w:p>
      <w:pPr>
        <w:pStyle w:val="19"/>
        <w:bidi w:val="0"/>
        <w:rPr>
          <w:rFonts w:hint="default" w:eastAsia="宋体"/>
          <w:lang w:val="en-US" w:eastAsia="zh-CN"/>
        </w:rPr>
      </w:pPr>
      <w:r>
        <w:rPr>
          <w:rFonts w:hint="eastAsia"/>
          <w:lang w:eastAsia="zh-CN"/>
        </w:rPr>
        <w:t>（</w:t>
      </w:r>
      <w:r>
        <w:rPr>
          <w:rFonts w:hint="eastAsia"/>
          <w:lang w:val="en-US" w:eastAsia="zh-CN"/>
        </w:rPr>
        <w:t>3</w:t>
      </w:r>
      <w:r>
        <w:rPr>
          <w:rFonts w:hint="eastAsia"/>
          <w:lang w:eastAsia="zh-CN"/>
        </w:rPr>
        <w:t>）</w:t>
      </w:r>
      <w:r>
        <w:rPr>
          <w:rFonts w:hint="eastAsia"/>
        </w:rPr>
        <w:t>分区防治，以特殊装置区为主，一般生产区为辅；事故易发区为主，一般区为辅。项目危废间划分为特殊污染防治区，污水处理站和初期雨水池为重点防渗区，物料或污染物泄漏后可及时发现和处理的区域或部分划分为一般污染防治区</w:t>
      </w:r>
      <w:r>
        <w:rPr>
          <w:rFonts w:hint="eastAsia"/>
          <w:lang w:eastAsia="zh-CN"/>
        </w:rPr>
        <w:t>。</w:t>
      </w:r>
      <w:r>
        <w:rPr>
          <w:rFonts w:hint="eastAsia"/>
          <w:lang w:val="en-US" w:eastAsia="zh-CN"/>
        </w:rPr>
        <w:t>项目分区防渗见表4.1.3和图4.1.5。</w:t>
      </w:r>
    </w:p>
    <w:p>
      <w:pPr>
        <w:pStyle w:val="19"/>
        <w:bidi w:val="0"/>
        <w:rPr>
          <w:rFonts w:hint="default" w:eastAsia="宋体"/>
          <w:lang w:val="en-US" w:eastAsia="zh-CN"/>
        </w:rPr>
      </w:pPr>
      <w:r>
        <w:rPr>
          <w:rFonts w:hint="eastAsia"/>
          <w:lang w:eastAsia="zh-CN"/>
        </w:rPr>
        <w:t>（</w:t>
      </w:r>
      <w:r>
        <w:rPr>
          <w:rFonts w:hint="eastAsia"/>
          <w:lang w:val="en-US" w:eastAsia="zh-CN"/>
        </w:rPr>
        <w:t>4</w:t>
      </w:r>
      <w:r>
        <w:rPr>
          <w:rFonts w:hint="eastAsia"/>
          <w:lang w:eastAsia="zh-CN"/>
        </w:rPr>
        <w:t>）</w:t>
      </w:r>
      <w:r>
        <w:rPr>
          <w:rFonts w:hint="eastAsia"/>
        </w:rPr>
        <w:t>配备了先进的检测仪器和设备，对厂区及其周边的地下水环境进行定期监测，以达到及时发现、及时控制地下水污染的目的。目前厂区内设置</w:t>
      </w:r>
      <w:r>
        <w:t>5</w:t>
      </w:r>
      <w:r>
        <w:rPr>
          <w:rFonts w:hint="eastAsia"/>
        </w:rPr>
        <w:t>个地下水长期监测点，监测项目以</w:t>
      </w:r>
      <w:r>
        <w:t>COD</w:t>
      </w:r>
      <w:r>
        <w:rPr>
          <w:vertAlign w:val="subscript"/>
        </w:rPr>
        <w:t>Cr</w:t>
      </w:r>
      <w:r>
        <w:rPr>
          <w:rFonts w:hint="eastAsia"/>
        </w:rPr>
        <w:t>、石油类等特征项目为主，监测频率不少于每年一次。一旦发生泄漏事故，则加密监测。</w:t>
      </w:r>
      <w:r>
        <w:rPr>
          <w:rFonts w:hint="eastAsia"/>
          <w:lang w:val="en-US" w:eastAsia="zh-CN"/>
        </w:rPr>
        <w:t>地下水监测点位见图4.1-6。</w:t>
      </w:r>
    </w:p>
    <w:p>
      <w:pPr>
        <w:pStyle w:val="19"/>
        <w:bidi w:val="0"/>
      </w:pPr>
      <w:r>
        <w:rPr>
          <w:rFonts w:hint="eastAsia"/>
          <w:lang w:eastAsia="zh-CN"/>
        </w:rPr>
        <w:t>（</w:t>
      </w:r>
      <w:r>
        <w:rPr>
          <w:rFonts w:hint="eastAsia"/>
          <w:lang w:val="en-US" w:eastAsia="zh-CN"/>
        </w:rPr>
        <w:t>5</w:t>
      </w:r>
      <w:r>
        <w:rPr>
          <w:rFonts w:hint="eastAsia"/>
          <w:lang w:eastAsia="zh-CN"/>
        </w:rPr>
        <w:t>）</w:t>
      </w:r>
      <w:r>
        <w:rPr>
          <w:rFonts w:hint="eastAsia"/>
        </w:rPr>
        <w:t>本项目输送含有污染物的管道已尽可能</w:t>
      </w:r>
      <w:r>
        <w:rPr>
          <w:rFonts w:hint="eastAsia"/>
          <w:lang w:eastAsia="zh-CN"/>
        </w:rPr>
        <w:t>“可视化”</w:t>
      </w:r>
      <w:r>
        <w:rPr>
          <w:rFonts w:hint="eastAsia"/>
        </w:rPr>
        <w:t>地上铺设，减少由于埋地管道泄漏而造成的地下水污染。</w:t>
      </w:r>
    </w:p>
    <w:p>
      <w:pPr>
        <w:pStyle w:val="23"/>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bidi w:val="0"/>
      </w:pPr>
      <w:r>
        <w:rPr>
          <w:rFonts w:hint="eastAsia"/>
          <w:lang w:val="en-US" w:eastAsia="zh-CN"/>
        </w:rPr>
        <w:t xml:space="preserve">表4.1.3 </w:t>
      </w:r>
      <w:r>
        <w:rPr>
          <w:rFonts w:hint="eastAsia"/>
        </w:rPr>
        <w:t>现有工程</w:t>
      </w:r>
      <w:r>
        <w:t>分区防渗一览表</w:t>
      </w:r>
    </w:p>
    <w:tbl>
      <w:tblPr>
        <w:tblStyle w:val="14"/>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1"/>
        <w:gridCol w:w="4280"/>
        <w:gridCol w:w="28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序号</w:t>
            </w:r>
          </w:p>
        </w:tc>
        <w:tc>
          <w:tcPr>
            <w:tcW w:w="4280" w:type="dxa"/>
            <w:noWrap w:val="0"/>
            <w:vAlign w:val="center"/>
          </w:tcPr>
          <w:p>
            <w:pPr>
              <w:pStyle w:val="24"/>
              <w:bidi w:val="0"/>
            </w:pPr>
            <w:r>
              <w:t>装置名称</w:t>
            </w:r>
          </w:p>
        </w:tc>
        <w:tc>
          <w:tcPr>
            <w:tcW w:w="2841" w:type="dxa"/>
            <w:noWrap w:val="0"/>
            <w:vAlign w:val="center"/>
          </w:tcPr>
          <w:p>
            <w:pPr>
              <w:pStyle w:val="24"/>
              <w:bidi w:val="0"/>
            </w:pPr>
            <w:r>
              <w:t>分区类别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1</w:t>
            </w:r>
          </w:p>
        </w:tc>
        <w:tc>
          <w:tcPr>
            <w:tcW w:w="4280" w:type="dxa"/>
            <w:noWrap w:val="0"/>
            <w:vAlign w:val="center"/>
          </w:tcPr>
          <w:p>
            <w:pPr>
              <w:pStyle w:val="24"/>
              <w:bidi w:val="0"/>
              <w:rPr>
                <w:rFonts w:hint="eastAsia" w:eastAsia="宋体"/>
                <w:lang w:eastAsia="zh-CN"/>
              </w:rPr>
            </w:pPr>
            <w:r>
              <w:t>危险废物临时储存区</w:t>
            </w:r>
            <w:r>
              <w:rPr>
                <w:rFonts w:hint="eastAsia"/>
                <w:lang w:eastAsia="zh-CN"/>
              </w:rPr>
              <w:t>（</w:t>
            </w:r>
            <w:r>
              <w:rPr>
                <w:rFonts w:hint="eastAsia"/>
              </w:rPr>
              <w:t>危废间</w:t>
            </w:r>
            <w:r>
              <w:rPr>
                <w:rFonts w:hint="eastAsia"/>
                <w:lang w:eastAsia="zh-CN"/>
              </w:rPr>
              <w:t>）</w:t>
            </w:r>
          </w:p>
        </w:tc>
        <w:tc>
          <w:tcPr>
            <w:tcW w:w="2841" w:type="dxa"/>
            <w:noWrap w:val="0"/>
            <w:vAlign w:val="center"/>
          </w:tcPr>
          <w:p>
            <w:pPr>
              <w:pStyle w:val="24"/>
              <w:bidi w:val="0"/>
            </w:pPr>
            <w:r>
              <w:t>特殊防渗区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2</w:t>
            </w:r>
          </w:p>
        </w:tc>
        <w:tc>
          <w:tcPr>
            <w:tcW w:w="4280" w:type="dxa"/>
            <w:noWrap w:val="0"/>
            <w:vAlign w:val="center"/>
          </w:tcPr>
          <w:p>
            <w:pPr>
              <w:pStyle w:val="24"/>
              <w:bidi w:val="0"/>
            </w:pPr>
            <w:r>
              <w:t>污水站</w:t>
            </w:r>
          </w:p>
        </w:tc>
        <w:tc>
          <w:tcPr>
            <w:tcW w:w="2841" w:type="dxa"/>
            <w:noWrap w:val="0"/>
            <w:vAlign w:val="center"/>
          </w:tcPr>
          <w:p>
            <w:pPr>
              <w:pStyle w:val="24"/>
              <w:bidi w:val="0"/>
            </w:pPr>
            <w:r>
              <w:t>重点防渗区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3</w:t>
            </w:r>
          </w:p>
        </w:tc>
        <w:tc>
          <w:tcPr>
            <w:tcW w:w="4280" w:type="dxa"/>
            <w:noWrap w:val="0"/>
            <w:vAlign w:val="center"/>
          </w:tcPr>
          <w:p>
            <w:pPr>
              <w:pStyle w:val="24"/>
              <w:bidi w:val="0"/>
            </w:pPr>
            <w:r>
              <w:t>初期雨水池</w:t>
            </w:r>
          </w:p>
        </w:tc>
        <w:tc>
          <w:tcPr>
            <w:tcW w:w="2841" w:type="dxa"/>
            <w:noWrap w:val="0"/>
            <w:vAlign w:val="center"/>
          </w:tcPr>
          <w:p>
            <w:pPr>
              <w:pStyle w:val="24"/>
              <w:bidi w:val="0"/>
            </w:pPr>
            <w:r>
              <w:t>重点防渗区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4</w:t>
            </w:r>
          </w:p>
        </w:tc>
        <w:tc>
          <w:tcPr>
            <w:tcW w:w="4280" w:type="dxa"/>
            <w:noWrap w:val="0"/>
            <w:vAlign w:val="center"/>
          </w:tcPr>
          <w:p>
            <w:pPr>
              <w:pStyle w:val="24"/>
              <w:bidi w:val="0"/>
            </w:pPr>
            <w:r>
              <w:t>承台式储罐基础和除了储罐基础的地面基础</w:t>
            </w:r>
          </w:p>
        </w:tc>
        <w:tc>
          <w:tcPr>
            <w:tcW w:w="2841" w:type="dxa"/>
            <w:noWrap w:val="0"/>
            <w:vAlign w:val="center"/>
          </w:tcPr>
          <w:p>
            <w:pPr>
              <w:pStyle w:val="24"/>
              <w:bidi w:val="0"/>
            </w:pPr>
            <w:r>
              <w:t>一般污染防渗区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5</w:t>
            </w:r>
          </w:p>
        </w:tc>
        <w:tc>
          <w:tcPr>
            <w:tcW w:w="4280" w:type="dxa"/>
            <w:noWrap w:val="0"/>
            <w:vAlign w:val="center"/>
          </w:tcPr>
          <w:p>
            <w:pPr>
              <w:pStyle w:val="24"/>
              <w:bidi w:val="0"/>
            </w:pPr>
            <w:r>
              <w:t>汽车装卸区</w:t>
            </w:r>
          </w:p>
        </w:tc>
        <w:tc>
          <w:tcPr>
            <w:tcW w:w="2841" w:type="dxa"/>
            <w:noWrap w:val="0"/>
            <w:vAlign w:val="center"/>
          </w:tcPr>
          <w:p>
            <w:pPr>
              <w:pStyle w:val="24"/>
              <w:bidi w:val="0"/>
            </w:pPr>
            <w:r>
              <w:t>一般污染防渗区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6</w:t>
            </w:r>
          </w:p>
        </w:tc>
        <w:tc>
          <w:tcPr>
            <w:tcW w:w="4280" w:type="dxa"/>
            <w:noWrap w:val="0"/>
            <w:vAlign w:val="center"/>
          </w:tcPr>
          <w:p>
            <w:pPr>
              <w:pStyle w:val="24"/>
              <w:bidi w:val="0"/>
            </w:pPr>
            <w:r>
              <w:t>泵棚</w:t>
            </w:r>
          </w:p>
        </w:tc>
        <w:tc>
          <w:tcPr>
            <w:tcW w:w="2841" w:type="dxa"/>
            <w:noWrap w:val="0"/>
            <w:vAlign w:val="center"/>
          </w:tcPr>
          <w:p>
            <w:pPr>
              <w:pStyle w:val="24"/>
              <w:bidi w:val="0"/>
            </w:pPr>
            <w:r>
              <w:t>一般污染防渗区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7</w:t>
            </w:r>
          </w:p>
        </w:tc>
        <w:tc>
          <w:tcPr>
            <w:tcW w:w="4280" w:type="dxa"/>
            <w:noWrap w:val="0"/>
            <w:vAlign w:val="center"/>
          </w:tcPr>
          <w:p>
            <w:pPr>
              <w:pStyle w:val="24"/>
              <w:bidi w:val="0"/>
            </w:pPr>
            <w:r>
              <w:t>桶装车间</w:t>
            </w:r>
          </w:p>
        </w:tc>
        <w:tc>
          <w:tcPr>
            <w:tcW w:w="2841" w:type="dxa"/>
            <w:noWrap w:val="0"/>
            <w:vAlign w:val="center"/>
          </w:tcPr>
          <w:p>
            <w:pPr>
              <w:pStyle w:val="24"/>
              <w:bidi w:val="0"/>
            </w:pPr>
            <w:r>
              <w:t>一般污染防渗区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01" w:type="dxa"/>
            <w:noWrap w:val="0"/>
            <w:vAlign w:val="center"/>
          </w:tcPr>
          <w:p>
            <w:pPr>
              <w:pStyle w:val="24"/>
              <w:bidi w:val="0"/>
            </w:pPr>
            <w:r>
              <w:t>8</w:t>
            </w:r>
          </w:p>
        </w:tc>
        <w:tc>
          <w:tcPr>
            <w:tcW w:w="4280" w:type="dxa"/>
            <w:noWrap w:val="0"/>
            <w:vAlign w:val="center"/>
          </w:tcPr>
          <w:p>
            <w:pPr>
              <w:pStyle w:val="24"/>
              <w:bidi w:val="0"/>
            </w:pPr>
            <w:r>
              <w:t>事故池</w:t>
            </w:r>
          </w:p>
        </w:tc>
        <w:tc>
          <w:tcPr>
            <w:tcW w:w="2841" w:type="dxa"/>
            <w:noWrap w:val="0"/>
            <w:vAlign w:val="center"/>
          </w:tcPr>
          <w:p>
            <w:pPr>
              <w:pStyle w:val="24"/>
              <w:bidi w:val="0"/>
            </w:pPr>
            <w:r>
              <w:t>一般污染防渗区</w:t>
            </w:r>
          </w:p>
        </w:tc>
      </w:tr>
    </w:tbl>
    <w:p>
      <w:pPr>
        <w:pStyle w:val="19"/>
        <w:ind w:firstLine="480"/>
        <w:rPr>
          <w:lang w:val="en-US" w:eastAsia="zh-Hans"/>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19"/>
        <w:ind w:firstLine="0" w:firstLineChars="0"/>
        <w:jc w:val="center"/>
      </w:pPr>
      <w:r>
        <w:rPr>
          <w:lang w:val="en-US"/>
        </w:rPr>
        <mc:AlternateContent>
          <mc:Choice Requires="wps">
            <w:drawing>
              <wp:anchor distT="0" distB="0" distL="114300" distR="114300" simplePos="0" relativeHeight="251660288" behindDoc="0" locked="0" layoutInCell="1" allowOverlap="1">
                <wp:simplePos x="0" y="0"/>
                <wp:positionH relativeFrom="column">
                  <wp:posOffset>1169670</wp:posOffset>
                </wp:positionH>
                <wp:positionV relativeFrom="paragraph">
                  <wp:posOffset>95250</wp:posOffset>
                </wp:positionV>
                <wp:extent cx="1507490" cy="1341120"/>
                <wp:effectExtent l="6350" t="6350" r="10160" b="24130"/>
                <wp:wrapNone/>
                <wp:docPr id="47" name="矩形 47"/>
                <wp:cNvGraphicFramePr/>
                <a:graphic xmlns:a="http://schemas.openxmlformats.org/drawingml/2006/main">
                  <a:graphicData uri="http://schemas.microsoft.com/office/word/2010/wordprocessingShape">
                    <wps:wsp>
                      <wps:cNvSpPr/>
                      <wps:spPr>
                        <a:xfrm>
                          <a:off x="0" y="0"/>
                          <a:ext cx="1507490" cy="1341120"/>
                        </a:xfrm>
                        <a:prstGeom prst="rect">
                          <a:avLst/>
                        </a:prstGeom>
                        <a:solidFill>
                          <a:srgbClr val="FFFFFF"/>
                        </a:solidFill>
                        <a:ln w="12700" cap="flat" cmpd="sng" algn="ctr">
                          <a:solidFill>
                            <a:srgbClr val="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1pt;margin-top:7.5pt;height:105.6pt;width:118.7pt;z-index:251660288;v-text-anchor:middle;mso-width-relative:page;mso-height-relative:page;" fillcolor="#FFFFFF" filled="t" stroked="t" coordsize="21600,21600" o:gfxdata="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7K7dy1gAA&#10;AAoBAAAPAAAAAAAAAAEAIAAAACIAAABkcnMvZG93bnJldi54bWxQSwECFAAUAAAACACHTuJA/096&#10;dlkCAAC3BAAADgAAAAAAAAABACAAAAAlAQAAZHJzL2Uyb0RvYy54bWxQSwUGAAAAAAYABgBZAQAA&#10;8AUAAAAA&#10;">
                <v:fill on="t" focussize="0,0"/>
                <v:stroke weight="1pt" color="#FFFFFF" miterlimit="8" joinstyle="miter"/>
                <v:imagedata o:title=""/>
                <o:lock v:ext="edit" aspectratio="f"/>
              </v:rect>
            </w:pict>
          </mc:Fallback>
        </mc:AlternateContent>
      </w:r>
      <w:r>
        <w:drawing>
          <wp:inline distT="0" distB="0" distL="114300" distR="114300">
            <wp:extent cx="8243570" cy="4844415"/>
            <wp:effectExtent l="9525" t="9525" r="14605" b="1016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8"/>
                    <a:stretch>
                      <a:fillRect/>
                    </a:stretch>
                  </pic:blipFill>
                  <pic:spPr>
                    <a:xfrm>
                      <a:off x="0" y="0"/>
                      <a:ext cx="8243570" cy="4844415"/>
                    </a:xfrm>
                    <a:prstGeom prst="rect">
                      <a:avLst/>
                    </a:prstGeom>
                    <a:noFill/>
                    <a:ln>
                      <a:solidFill>
                        <a:schemeClr val="tx1"/>
                      </a:solidFill>
                    </a:ln>
                  </pic:spPr>
                </pic:pic>
              </a:graphicData>
            </a:graphic>
          </wp:inline>
        </w:drawing>
      </w:r>
    </w:p>
    <w:p>
      <w:pPr>
        <w:pStyle w:val="23"/>
        <w:spacing w:before="156" w:beforeLines="50" w:after="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图4.1-</w:t>
      </w:r>
      <w:r>
        <w:rPr>
          <w:rFonts w:hint="eastAsia"/>
          <w:lang w:val="en-US" w:eastAsia="zh-CN"/>
        </w:rPr>
        <w:t>5</w:t>
      </w:r>
      <w:r>
        <w:t xml:space="preserve"> </w:t>
      </w:r>
      <w:r>
        <w:rPr>
          <w:rFonts w:hint="eastAsia"/>
          <w:lang w:val="en-US" w:eastAsia="zh-CN"/>
        </w:rPr>
        <w:t>现有工程</w:t>
      </w:r>
      <w:r>
        <w:t>分区防渗示意图</w:t>
      </w:r>
    </w:p>
    <w:p>
      <w:pPr>
        <w:pStyle w:val="19"/>
        <w:ind w:firstLine="0" w:firstLineChars="0"/>
        <w:jc w:val="center"/>
      </w:pPr>
      <w:r>
        <w:drawing>
          <wp:inline distT="0" distB="0" distL="114300" distR="114300">
            <wp:extent cx="8429625" cy="4834890"/>
            <wp:effectExtent l="9525" t="9525" r="19050" b="1333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9"/>
                    <a:stretch>
                      <a:fillRect/>
                    </a:stretch>
                  </pic:blipFill>
                  <pic:spPr>
                    <a:xfrm>
                      <a:off x="0" y="0"/>
                      <a:ext cx="8429625" cy="4834890"/>
                    </a:xfrm>
                    <a:prstGeom prst="rect">
                      <a:avLst/>
                    </a:prstGeom>
                    <a:noFill/>
                    <a:ln>
                      <a:solidFill>
                        <a:schemeClr val="tx1"/>
                      </a:solidFill>
                    </a:ln>
                  </pic:spPr>
                </pic:pic>
              </a:graphicData>
            </a:graphic>
          </wp:inline>
        </w:drawing>
      </w:r>
    </w:p>
    <w:p>
      <w:pPr>
        <w:pStyle w:val="23"/>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图4.1-</w:t>
      </w:r>
      <w:r>
        <w:rPr>
          <w:rFonts w:hint="eastAsia"/>
          <w:lang w:val="en-US" w:eastAsia="zh-CN"/>
        </w:rPr>
        <w:t>6</w:t>
      </w:r>
      <w:r>
        <w:t xml:space="preserve"> 地下水日常监测点位布置图</w:t>
      </w:r>
    </w:p>
    <w:p>
      <w:pPr>
        <w:pStyle w:val="17"/>
        <w:bidi w:val="0"/>
        <w:rPr>
          <w:rFonts w:hint="default" w:eastAsia="黑体"/>
          <w:lang w:val="en-US" w:eastAsia="zh-CN"/>
        </w:rPr>
      </w:pPr>
      <w:bookmarkStart w:id="107" w:name="_Toc4343"/>
      <w:r>
        <w:t>4.2</w:t>
      </w:r>
      <w:r>
        <w:rPr>
          <w:rFonts w:hint="eastAsia"/>
          <w:lang w:val="en-US" w:eastAsia="zh-CN"/>
        </w:rPr>
        <w:t xml:space="preserve"> 其他环境保护设施</w:t>
      </w:r>
      <w:bookmarkEnd w:id="107"/>
    </w:p>
    <w:p>
      <w:pPr>
        <w:pStyle w:val="18"/>
        <w:bidi w:val="0"/>
        <w:rPr>
          <w:rFonts w:hint="eastAsia" w:eastAsia="黑体"/>
          <w:lang w:eastAsia="zh-CN"/>
        </w:rPr>
      </w:pPr>
      <w:r>
        <w:t>4.2</w:t>
      </w:r>
      <w:r>
        <w:rPr>
          <w:rFonts w:hint="eastAsia"/>
          <w:lang w:val="en-US" w:eastAsia="zh-CN"/>
        </w:rPr>
        <w:t xml:space="preserve">.1 </w:t>
      </w:r>
      <w:r>
        <w:t>环境风险防范</w:t>
      </w:r>
      <w:r>
        <w:rPr>
          <w:rFonts w:hint="eastAsia"/>
          <w:lang w:val="en-US" w:eastAsia="zh-CN"/>
        </w:rPr>
        <w:t>措施</w:t>
      </w:r>
    </w:p>
    <w:p>
      <w:pPr>
        <w:pStyle w:val="19"/>
        <w:bidi w:val="0"/>
      </w:pPr>
      <w:r>
        <w:rPr>
          <w:rFonts w:hint="eastAsia"/>
          <w:lang w:eastAsia="zh-CN"/>
        </w:rPr>
        <w:t>（</w:t>
      </w:r>
      <w:r>
        <w:rPr>
          <w:rFonts w:hint="eastAsia"/>
          <w:lang w:val="en-US" w:eastAsia="zh-CN"/>
        </w:rPr>
        <w:t>1</w:t>
      </w:r>
      <w:r>
        <w:rPr>
          <w:rFonts w:hint="eastAsia"/>
          <w:lang w:eastAsia="zh-CN"/>
        </w:rPr>
        <w:t>）</w:t>
      </w:r>
      <w:r>
        <w:rPr>
          <w:rFonts w:hint="eastAsia"/>
        </w:rPr>
        <w:t>船舶溢油风险防范措施</w:t>
      </w:r>
    </w:p>
    <w:p>
      <w:pPr>
        <w:pStyle w:val="19"/>
        <w:bidi w:val="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轮船进出港和进出锚地实施引航员制度，并规定引航员的培训与考核制度，引航员的职责、以及引航员对航道、浅滩、礁石、港口水文气象条件熟悉的培训。</w:t>
      </w:r>
    </w:p>
    <w:p>
      <w:pPr>
        <w:pStyle w:val="19"/>
        <w:bidi w:val="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实施船舶码头靠泊和锚地锚泊制度。包括使用锚地申请、锚泊密度(间隔)、船只进出锚地航速，各种天气条件下的锚地船只的嘹望制度等，以防锚地船只拖锚、碰撞、挤压、搁浅、触礁等事故发生。</w:t>
      </w:r>
    </w:p>
    <w:p>
      <w:pPr>
        <w:pStyle w:val="19"/>
        <w:bidi w:val="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按</w:t>
      </w:r>
      <w:r>
        <w:rPr>
          <w:rFonts w:hint="eastAsia"/>
        </w:rPr>
        <w:t>《</w:t>
      </w:r>
      <w:r>
        <w:t>防治船舶污染海洋环境管理条例</w:t>
      </w:r>
      <w:r>
        <w:rPr>
          <w:rFonts w:hint="eastAsia"/>
        </w:rPr>
        <w:t>》</w:t>
      </w:r>
      <w:r>
        <w:t>，港区对所用船舶及其人员应提出严格的书面管理要求及所应承担的防止船舶溢油责任和义务，并落实本条例规定的防治污染有关措施。</w:t>
      </w:r>
    </w:p>
    <w:p>
      <w:pPr>
        <w:pStyle w:val="19"/>
        <w:bidi w:val="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在港轮船应实施值班、瞭望制度。</w:t>
      </w:r>
    </w:p>
    <w:p>
      <w:pPr>
        <w:pStyle w:val="19"/>
        <w:bidi w:val="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rPr>
          <w:rFonts w:hint="eastAsia"/>
        </w:rPr>
        <w:t>在码头及后方应急物资仓库区域，配置了围油栏、收油机、油拖网、吸油毡、溢油分散剂等风险防范设施。在船舶靠泊时，码头泊位四周布设围油栏。此外，建设单位与泉州兴通港口服务有限公司签订了防溢油应急作业协议。</w:t>
      </w:r>
    </w:p>
    <w:p>
      <w:pPr>
        <w:pStyle w:val="19"/>
        <w:bidi w:val="0"/>
      </w:pPr>
      <w:r>
        <w:rPr>
          <w:rFonts w:hint="eastAsia"/>
          <w:lang w:eastAsia="zh-CN"/>
        </w:rPr>
        <w:t>（</w:t>
      </w:r>
      <w:r>
        <w:rPr>
          <w:rFonts w:hint="eastAsia"/>
          <w:lang w:val="en-US" w:eastAsia="zh-CN"/>
        </w:rPr>
        <w:t>2</w:t>
      </w:r>
      <w:r>
        <w:rPr>
          <w:rFonts w:hint="eastAsia"/>
          <w:lang w:eastAsia="zh-CN"/>
        </w:rPr>
        <w:t>）</w:t>
      </w:r>
      <w:r>
        <w:rPr>
          <w:rFonts w:hint="eastAsia"/>
        </w:rPr>
        <w:t>码头装卸作业区风险防范措施</w:t>
      </w:r>
    </w:p>
    <w:p>
      <w:pPr>
        <w:pStyle w:val="19"/>
        <w:bidi w:val="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码头作业区设置围坎及污水收集池，并配套动力泵及污水输送管线。</w:t>
      </w:r>
    </w:p>
    <w:p>
      <w:pPr>
        <w:pStyle w:val="19"/>
        <w:bidi w:val="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在码头栈桥、平台区设防爆人工报警按钮、声光报警器，卸油口附近设防爆可燃气体探测器。</w:t>
      </w:r>
    </w:p>
    <w:p>
      <w:pPr>
        <w:pStyle w:val="19"/>
        <w:bidi w:val="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根椐现行规范在航道设置导标、浮标，码头设置灯桩，所有导助航系统，严格按规范进行锚地停靠和卸船作业。</w:t>
      </w:r>
    </w:p>
    <w:p>
      <w:pPr>
        <w:pStyle w:val="19"/>
        <w:bidi w:val="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码头上设</w:t>
      </w:r>
      <w:r>
        <w:t>4</w:t>
      </w:r>
      <w:r>
        <w:rPr>
          <w:rFonts w:hint="eastAsia"/>
        </w:rPr>
        <w:t>座消防炮塔，每座炮塔设置</w:t>
      </w:r>
      <w:r>
        <w:t>1</w:t>
      </w:r>
      <w:r>
        <w:rPr>
          <w:rFonts w:hint="eastAsia"/>
        </w:rPr>
        <w:t>门水炮和</w:t>
      </w:r>
      <w:r>
        <w:t>1</w:t>
      </w:r>
      <w:r>
        <w:rPr>
          <w:rFonts w:hint="eastAsia"/>
        </w:rPr>
        <w:t>门泡沫炮。栈桥、码头上消防水管和泡沫混合液管每隔不大于</w:t>
      </w:r>
      <w:r>
        <w:t>60m</w:t>
      </w:r>
      <w:r>
        <w:rPr>
          <w:rFonts w:hint="eastAsia"/>
        </w:rPr>
        <w:t>设消防水栓和泡沫栓各1个，并配消防箱一个，供移动式水-泡沫两用炮使用。</w:t>
      </w:r>
    </w:p>
    <w:p>
      <w:pPr>
        <w:pStyle w:val="19"/>
        <w:bidi w:val="0"/>
      </w:pPr>
      <w:r>
        <w:rPr>
          <w:rFonts w:hint="eastAsia"/>
          <w:lang w:eastAsia="zh-CN"/>
        </w:rPr>
        <w:t>（</w:t>
      </w:r>
      <w:r>
        <w:rPr>
          <w:rFonts w:hint="eastAsia"/>
          <w:lang w:val="en-US" w:eastAsia="zh-CN"/>
        </w:rPr>
        <w:t>3</w:t>
      </w:r>
      <w:r>
        <w:rPr>
          <w:rFonts w:hint="eastAsia"/>
          <w:lang w:eastAsia="zh-CN"/>
        </w:rPr>
        <w:t>）</w:t>
      </w:r>
      <w:r>
        <w:rPr>
          <w:rFonts w:hint="eastAsia"/>
        </w:rPr>
        <w:t>管线事故防范措施</w:t>
      </w:r>
    </w:p>
    <w:p>
      <w:pPr>
        <w:pStyle w:val="19"/>
        <w:bidi w:val="0"/>
      </w:pPr>
      <w:r>
        <w:rPr>
          <w:rFonts w:hint="eastAsia"/>
        </w:rPr>
        <w:t>①</w:t>
      </w:r>
      <w:r>
        <w:rPr>
          <w:rFonts w:hint="eastAsia"/>
          <w:lang w:val="en-US" w:eastAsia="zh-CN"/>
        </w:rPr>
        <w:t>管道末端设有压力变送器</w:t>
      </w:r>
      <w:r>
        <w:t>；管道在码头平台装卸臂处和引桥根部均设置带有手动操作功能的防爆电动切断阀</w:t>
      </w:r>
      <w:r>
        <w:rPr>
          <w:rFonts w:hint="eastAsia"/>
          <w:lang w:eastAsia="zh-CN"/>
        </w:rPr>
        <w:t>（引桥根部电动切断阀由后方库区考虑）</w:t>
      </w:r>
      <w:r>
        <w:t>，油品管线采用闸阀，化工品管线采用球阀。</w:t>
      </w:r>
    </w:p>
    <w:p>
      <w:pPr>
        <w:pStyle w:val="19"/>
        <w:bidi w:val="0"/>
      </w:pPr>
      <w:r>
        <w:rPr>
          <w:rFonts w:hint="eastAsia"/>
        </w:rPr>
        <w:t>②</w:t>
      </w:r>
      <w:r>
        <w:t>管道、管托、管架均进行防腐处理，管道和管托、管架外涂无机富锌底漆一道，环氧云铁一道，聚氨脂面漆二道，涂层干膜总厚度≥240μm；隔热管道外涂冷底子油底漆二道，涂层干膜总厚度≥100μm。</w:t>
      </w:r>
    </w:p>
    <w:p>
      <w:pPr>
        <w:pStyle w:val="19"/>
        <w:bidi w:val="0"/>
      </w:pPr>
      <w:r>
        <w:rPr>
          <w:rFonts w:hint="eastAsia"/>
        </w:rPr>
        <w:t>③码头管廊下方设置围坎，用于管线泄漏事故状态情况下临时收集危险品，防止危险品进入海域。</w:t>
      </w:r>
    </w:p>
    <w:tbl>
      <w:tblPr>
        <w:tblStyle w:val="14"/>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19680" cy="1896745"/>
                  <wp:effectExtent l="0" t="0" r="7620" b="8255"/>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30"/>
                          <a:stretch>
                            <a:fillRect/>
                          </a:stretch>
                        </pic:blipFill>
                        <pic:spPr>
                          <a:xfrm>
                            <a:off x="0" y="0"/>
                            <a:ext cx="2519680" cy="1896745"/>
                          </a:xfrm>
                          <a:prstGeom prst="rect">
                            <a:avLst/>
                          </a:prstGeom>
                          <a:noFill/>
                          <a:ln>
                            <a:noFill/>
                          </a:ln>
                        </pic:spPr>
                      </pic:pic>
                    </a:graphicData>
                  </a:graphic>
                </wp:inline>
              </w:drawing>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19680" cy="1896745"/>
                  <wp:effectExtent l="0" t="0" r="7620" b="825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1"/>
                          <a:stretch>
                            <a:fillRect/>
                          </a:stretch>
                        </pic:blipFill>
                        <pic:spPr>
                          <a:xfrm>
                            <a:off x="0" y="0"/>
                            <a:ext cx="2519680" cy="18967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码头集污池</w:t>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码头装卸区围坎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950" cy="1897380"/>
                  <wp:effectExtent l="0" t="0" r="6350" b="7620"/>
                  <wp:docPr id="56" name="图片 4"/>
                  <wp:cNvGraphicFramePr/>
                  <a:graphic xmlns:a="http://schemas.openxmlformats.org/drawingml/2006/main">
                    <a:graphicData uri="http://schemas.openxmlformats.org/drawingml/2006/picture">
                      <pic:pic xmlns:pic="http://schemas.openxmlformats.org/drawingml/2006/picture">
                        <pic:nvPicPr>
                          <pic:cNvPr id="56" name="图片 4"/>
                          <pic:cNvPicPr/>
                        </pic:nvPicPr>
                        <pic:blipFill>
                          <a:blip r:embed="rId32"/>
                          <a:stretch>
                            <a:fillRect/>
                          </a:stretch>
                        </pic:blipFill>
                        <pic:spPr>
                          <a:xfrm>
                            <a:off x="0" y="0"/>
                            <a:ext cx="2520950" cy="1897380"/>
                          </a:xfrm>
                          <a:prstGeom prst="rect">
                            <a:avLst/>
                          </a:prstGeom>
                          <a:noFill/>
                          <a:ln>
                            <a:noFill/>
                          </a:ln>
                        </pic:spPr>
                      </pic:pic>
                    </a:graphicData>
                  </a:graphic>
                </wp:inline>
              </w:drawing>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950" cy="1897380"/>
                  <wp:effectExtent l="0" t="0" r="6350" b="7620"/>
                  <wp:docPr id="63" name="图片 5"/>
                  <wp:cNvGraphicFramePr/>
                  <a:graphic xmlns:a="http://schemas.openxmlformats.org/drawingml/2006/main">
                    <a:graphicData uri="http://schemas.openxmlformats.org/drawingml/2006/picture">
                      <pic:pic xmlns:pic="http://schemas.openxmlformats.org/drawingml/2006/picture">
                        <pic:nvPicPr>
                          <pic:cNvPr id="63" name="图片 5"/>
                          <pic:cNvPicPr/>
                        </pic:nvPicPr>
                        <pic:blipFill>
                          <a:blip r:embed="rId33"/>
                          <a:stretch>
                            <a:fillRect/>
                          </a:stretch>
                        </pic:blipFill>
                        <pic:spPr>
                          <a:xfrm>
                            <a:off x="0" y="0"/>
                            <a:ext cx="2520950" cy="18973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消防炮塔</w:t>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t>可燃</w:t>
            </w:r>
            <w:r>
              <w:rPr>
                <w:rFonts w:hint="eastAsia" w:ascii="Calibri" w:hAnsi="Calibri"/>
                <w:kern w:val="2"/>
                <w:sz w:val="21"/>
                <w:szCs w:val="22"/>
              </w:rPr>
              <w:t>气体报警器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315" cy="1897380"/>
                  <wp:effectExtent l="0" t="0" r="6985" b="7620"/>
                  <wp:docPr id="31" name="图片 6"/>
                  <wp:cNvGraphicFramePr/>
                  <a:graphic xmlns:a="http://schemas.openxmlformats.org/drawingml/2006/main">
                    <a:graphicData uri="http://schemas.openxmlformats.org/drawingml/2006/picture">
                      <pic:pic xmlns:pic="http://schemas.openxmlformats.org/drawingml/2006/picture">
                        <pic:nvPicPr>
                          <pic:cNvPr id="31" name="图片 6"/>
                          <pic:cNvPicPr/>
                        </pic:nvPicPr>
                        <pic:blipFill>
                          <a:blip r:embed="rId34"/>
                          <a:stretch>
                            <a:fillRect/>
                          </a:stretch>
                        </pic:blipFill>
                        <pic:spPr>
                          <a:xfrm>
                            <a:off x="0" y="0"/>
                            <a:ext cx="2520315" cy="1897380"/>
                          </a:xfrm>
                          <a:prstGeom prst="rect">
                            <a:avLst/>
                          </a:prstGeom>
                          <a:noFill/>
                          <a:ln>
                            <a:noFill/>
                          </a:ln>
                        </pic:spPr>
                      </pic:pic>
                    </a:graphicData>
                  </a:graphic>
                </wp:inline>
              </w:drawing>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315" cy="1897380"/>
                  <wp:effectExtent l="0" t="0" r="6985" b="7620"/>
                  <wp:docPr id="50" name="图片 7"/>
                  <wp:cNvGraphicFramePr/>
                  <a:graphic xmlns:a="http://schemas.openxmlformats.org/drawingml/2006/main">
                    <a:graphicData uri="http://schemas.openxmlformats.org/drawingml/2006/picture">
                      <pic:pic xmlns:pic="http://schemas.openxmlformats.org/drawingml/2006/picture">
                        <pic:nvPicPr>
                          <pic:cNvPr id="50" name="图片 7"/>
                          <pic:cNvPicPr/>
                        </pic:nvPicPr>
                        <pic:blipFill>
                          <a:blip r:embed="rId35"/>
                          <a:stretch>
                            <a:fillRect/>
                          </a:stretch>
                        </pic:blipFill>
                        <pic:spPr>
                          <a:xfrm>
                            <a:off x="0" y="0"/>
                            <a:ext cx="2520315" cy="18973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声光报警器、泡沫箱、消防箱及管道</w:t>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管廊下方围坎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hint="eastAsia" w:ascii="Calibri" w:hAnsi="Calibri"/>
                <w:kern w:val="2"/>
                <w:sz w:val="21"/>
                <w:szCs w:val="22"/>
              </w:rPr>
            </w:pPr>
            <w:r>
              <w:drawing>
                <wp:inline distT="0" distB="0" distL="114300" distR="114300">
                  <wp:extent cx="2520315" cy="1897380"/>
                  <wp:effectExtent l="0" t="0" r="6985" b="7620"/>
                  <wp:docPr id="46" name="图片 8"/>
                  <wp:cNvGraphicFramePr/>
                  <a:graphic xmlns:a="http://schemas.openxmlformats.org/drawingml/2006/main">
                    <a:graphicData uri="http://schemas.openxmlformats.org/drawingml/2006/picture">
                      <pic:pic xmlns:pic="http://schemas.openxmlformats.org/drawingml/2006/picture">
                        <pic:nvPicPr>
                          <pic:cNvPr id="46" name="图片 8"/>
                          <pic:cNvPicPr/>
                        </pic:nvPicPr>
                        <pic:blipFill>
                          <a:blip r:embed="rId36"/>
                          <a:stretch>
                            <a:fillRect/>
                          </a:stretch>
                        </pic:blipFill>
                        <pic:spPr>
                          <a:xfrm>
                            <a:off x="0" y="0"/>
                            <a:ext cx="2520315" cy="1897380"/>
                          </a:xfrm>
                          <a:prstGeom prst="rect">
                            <a:avLst/>
                          </a:prstGeom>
                          <a:noFill/>
                          <a:ln>
                            <a:noFill/>
                          </a:ln>
                        </pic:spPr>
                      </pic:pic>
                    </a:graphicData>
                  </a:graphic>
                </wp:inline>
              </w:drawing>
            </w:r>
          </w:p>
        </w:tc>
        <w:tc>
          <w:tcPr>
            <w:tcW w:w="4261" w:type="dxa"/>
            <w:noWrap w:val="0"/>
            <w:vAlign w:val="center"/>
          </w:tcPr>
          <w:p>
            <w:pPr>
              <w:adjustRightInd/>
              <w:snapToGrid/>
              <w:spacing w:line="240" w:lineRule="auto"/>
              <w:ind w:firstLine="0" w:firstLineChars="0"/>
              <w:jc w:val="center"/>
              <w:rPr>
                <w:rFonts w:hint="eastAsia" w:ascii="Calibri" w:hAnsi="Calibri"/>
                <w:kern w:val="2"/>
                <w:sz w:val="21"/>
                <w:szCs w:val="22"/>
              </w:rPr>
            </w:pPr>
            <w:r>
              <w:rPr>
                <w:rFonts w:ascii="Calibri" w:hAnsi="Calibri"/>
                <w:kern w:val="2"/>
                <w:sz w:val="21"/>
                <w:szCs w:val="22"/>
              </w:rPr>
              <w:drawing>
                <wp:inline distT="0" distB="0" distL="114300" distR="114300">
                  <wp:extent cx="2520315" cy="1897380"/>
                  <wp:effectExtent l="0" t="0" r="6985" b="7620"/>
                  <wp:docPr id="52" name="图片 9"/>
                  <wp:cNvGraphicFramePr/>
                  <a:graphic xmlns:a="http://schemas.openxmlformats.org/drawingml/2006/main">
                    <a:graphicData uri="http://schemas.openxmlformats.org/drawingml/2006/picture">
                      <pic:pic xmlns:pic="http://schemas.openxmlformats.org/drawingml/2006/picture">
                        <pic:nvPicPr>
                          <pic:cNvPr id="52" name="图片 9"/>
                          <pic:cNvPicPr/>
                        </pic:nvPicPr>
                        <pic:blipFill>
                          <a:blip r:embed="rId37"/>
                          <a:stretch>
                            <a:fillRect/>
                          </a:stretch>
                        </pic:blipFill>
                        <pic:spPr>
                          <a:xfrm>
                            <a:off x="0" y="0"/>
                            <a:ext cx="2520315" cy="18973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pPr>
            <w:r>
              <w:rPr>
                <w:rFonts w:hint="eastAsia" w:ascii="Calibri" w:hAnsi="Calibri"/>
                <w:kern w:val="2"/>
                <w:sz w:val="21"/>
                <w:szCs w:val="22"/>
              </w:rPr>
              <w:t>码头污水管、管廊围坎内事故污水收集管</w:t>
            </w:r>
          </w:p>
        </w:tc>
        <w:tc>
          <w:tcPr>
            <w:tcW w:w="4261" w:type="dxa"/>
            <w:noWrap w:val="0"/>
            <w:vAlign w:val="center"/>
          </w:tcPr>
          <w:p>
            <w:pPr>
              <w:adjustRightInd/>
              <w:snapToGrid/>
              <w:spacing w:line="240" w:lineRule="auto"/>
              <w:ind w:firstLine="0" w:firstLineChars="0"/>
              <w:jc w:val="center"/>
              <w:rPr>
                <w:rFonts w:hint="eastAsia" w:ascii="Calibri" w:hAnsi="Calibri"/>
                <w:kern w:val="2"/>
                <w:sz w:val="21"/>
                <w:szCs w:val="22"/>
              </w:rPr>
            </w:pPr>
            <w:r>
              <w:rPr>
                <w:rFonts w:hint="eastAsia" w:ascii="Calibri" w:hAnsi="Calibri"/>
                <w:kern w:val="2"/>
                <w:sz w:val="21"/>
                <w:szCs w:val="22"/>
              </w:rPr>
              <w:t>码头围油栏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315" cy="1897380"/>
                  <wp:effectExtent l="0" t="0" r="6985" b="7620"/>
                  <wp:docPr id="61" name="图片 10"/>
                  <wp:cNvGraphicFramePr/>
                  <a:graphic xmlns:a="http://schemas.openxmlformats.org/drawingml/2006/main">
                    <a:graphicData uri="http://schemas.openxmlformats.org/drawingml/2006/picture">
                      <pic:pic xmlns:pic="http://schemas.openxmlformats.org/drawingml/2006/picture">
                        <pic:nvPicPr>
                          <pic:cNvPr id="61" name="图片 10"/>
                          <pic:cNvPicPr/>
                        </pic:nvPicPr>
                        <pic:blipFill>
                          <a:blip r:embed="rId38"/>
                          <a:stretch>
                            <a:fillRect/>
                          </a:stretch>
                        </pic:blipFill>
                        <pic:spPr>
                          <a:xfrm>
                            <a:off x="0" y="0"/>
                            <a:ext cx="2520315" cy="1897380"/>
                          </a:xfrm>
                          <a:prstGeom prst="rect">
                            <a:avLst/>
                          </a:prstGeom>
                          <a:noFill/>
                          <a:ln>
                            <a:noFill/>
                          </a:ln>
                        </pic:spPr>
                      </pic:pic>
                    </a:graphicData>
                  </a:graphic>
                </wp:inline>
              </w:drawing>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315" cy="1897380"/>
                  <wp:effectExtent l="0" t="0" r="6985" b="7620"/>
                  <wp:docPr id="34" name="图片 11"/>
                  <wp:cNvGraphicFramePr/>
                  <a:graphic xmlns:a="http://schemas.openxmlformats.org/drawingml/2006/main">
                    <a:graphicData uri="http://schemas.openxmlformats.org/drawingml/2006/picture">
                      <pic:pic xmlns:pic="http://schemas.openxmlformats.org/drawingml/2006/picture">
                        <pic:nvPicPr>
                          <pic:cNvPr id="34" name="图片 11"/>
                          <pic:cNvPicPr/>
                        </pic:nvPicPr>
                        <pic:blipFill>
                          <a:blip r:embed="rId39"/>
                          <a:stretch>
                            <a:fillRect/>
                          </a:stretch>
                        </pic:blipFill>
                        <pic:spPr>
                          <a:xfrm>
                            <a:off x="0" y="0"/>
                            <a:ext cx="2520315" cy="18973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收油机、吸油毡等应急物资</w:t>
            </w:r>
          </w:p>
        </w:tc>
        <w:tc>
          <w:tcPr>
            <w:tcW w:w="4261" w:type="dxa"/>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储罐围堰及初期雨水池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tcBorders>
              <w:top w:val="single" w:color="auto" w:sz="4" w:space="0"/>
              <w:left w:val="single" w:color="auto" w:sz="4" w:space="0"/>
              <w:bottom w:val="single" w:color="auto" w:sz="4" w:space="0"/>
              <w:right w:val="single" w:color="auto" w:sz="4" w:space="0"/>
            </w:tcBorders>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315" cy="1897380"/>
                  <wp:effectExtent l="0" t="0" r="6985" b="7620"/>
                  <wp:docPr id="53" name="图片 12"/>
                  <wp:cNvGraphicFramePr/>
                  <a:graphic xmlns:a="http://schemas.openxmlformats.org/drawingml/2006/main">
                    <a:graphicData uri="http://schemas.openxmlformats.org/drawingml/2006/picture">
                      <pic:pic xmlns:pic="http://schemas.openxmlformats.org/drawingml/2006/picture">
                        <pic:nvPicPr>
                          <pic:cNvPr id="53" name="图片 12"/>
                          <pic:cNvPicPr/>
                        </pic:nvPicPr>
                        <pic:blipFill>
                          <a:blip r:embed="rId40"/>
                          <a:stretch>
                            <a:fillRect/>
                          </a:stretch>
                        </pic:blipFill>
                        <pic:spPr>
                          <a:xfrm>
                            <a:off x="0" y="0"/>
                            <a:ext cx="2520315" cy="1897380"/>
                          </a:xfrm>
                          <a:prstGeom prst="rect">
                            <a:avLst/>
                          </a:prstGeom>
                          <a:noFill/>
                          <a:ln>
                            <a:noFill/>
                          </a:ln>
                        </pic:spPr>
                      </pic:pic>
                    </a:graphicData>
                  </a:graphic>
                </wp:inline>
              </w:drawing>
            </w:r>
          </w:p>
        </w:tc>
        <w:tc>
          <w:tcPr>
            <w:tcW w:w="4261" w:type="dxa"/>
            <w:tcBorders>
              <w:top w:val="single" w:color="auto" w:sz="4" w:space="0"/>
              <w:left w:val="single" w:color="auto" w:sz="4" w:space="0"/>
              <w:bottom w:val="single" w:color="auto" w:sz="4" w:space="0"/>
              <w:right w:val="single" w:color="auto" w:sz="4" w:space="0"/>
            </w:tcBorders>
            <w:noWrap w:val="0"/>
            <w:vAlign w:val="center"/>
          </w:tcPr>
          <w:p>
            <w:pPr>
              <w:adjustRightInd/>
              <w:snapToGrid/>
              <w:spacing w:line="240" w:lineRule="auto"/>
              <w:ind w:firstLine="0" w:firstLineChars="0"/>
              <w:jc w:val="center"/>
              <w:rPr>
                <w:rFonts w:ascii="Calibri" w:hAnsi="Calibri"/>
                <w:kern w:val="2"/>
                <w:sz w:val="21"/>
                <w:szCs w:val="22"/>
              </w:rPr>
            </w:pPr>
            <w:r>
              <w:rPr>
                <w:rFonts w:ascii="Calibri" w:hAnsi="Calibri"/>
                <w:kern w:val="2"/>
                <w:sz w:val="21"/>
                <w:szCs w:val="22"/>
              </w:rPr>
              <w:drawing>
                <wp:inline distT="0" distB="0" distL="114300" distR="114300">
                  <wp:extent cx="2520315" cy="1897380"/>
                  <wp:effectExtent l="0" t="0" r="6985" b="7620"/>
                  <wp:docPr id="45" name="图片 13"/>
                  <wp:cNvGraphicFramePr/>
                  <a:graphic xmlns:a="http://schemas.openxmlformats.org/drawingml/2006/main">
                    <a:graphicData uri="http://schemas.openxmlformats.org/drawingml/2006/picture">
                      <pic:pic xmlns:pic="http://schemas.openxmlformats.org/drawingml/2006/picture">
                        <pic:nvPicPr>
                          <pic:cNvPr id="45" name="图片 13"/>
                          <pic:cNvPicPr/>
                        </pic:nvPicPr>
                        <pic:blipFill>
                          <a:blip r:embed="rId41"/>
                          <a:stretch>
                            <a:fillRect/>
                          </a:stretch>
                        </pic:blipFill>
                        <pic:spPr>
                          <a:xfrm>
                            <a:off x="0" y="0"/>
                            <a:ext cx="2520315" cy="18973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61" w:type="dxa"/>
            <w:tcBorders>
              <w:top w:val="single" w:color="auto" w:sz="4" w:space="0"/>
              <w:left w:val="single" w:color="auto" w:sz="4" w:space="0"/>
              <w:bottom w:val="single" w:color="auto" w:sz="4" w:space="0"/>
              <w:right w:val="single" w:color="auto" w:sz="4" w:space="0"/>
            </w:tcBorders>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事故应急池</w:t>
            </w:r>
            <w:r>
              <w:rPr>
                <w:rFonts w:hint="eastAsia"/>
                <w:kern w:val="2"/>
                <w:sz w:val="21"/>
                <w:szCs w:val="22"/>
                <w:lang w:eastAsia="zh-CN"/>
              </w:rPr>
              <w:t>（地下式）</w:t>
            </w:r>
            <w:r>
              <w:rPr>
                <w:rFonts w:hint="eastAsia" w:ascii="Calibri" w:hAnsi="Calibri"/>
                <w:kern w:val="2"/>
                <w:sz w:val="21"/>
                <w:szCs w:val="22"/>
              </w:rPr>
              <w:t>及库区实体围墙</w:t>
            </w:r>
          </w:p>
        </w:tc>
        <w:tc>
          <w:tcPr>
            <w:tcW w:w="4261" w:type="dxa"/>
            <w:tcBorders>
              <w:top w:val="single" w:color="auto" w:sz="4" w:space="0"/>
              <w:left w:val="single" w:color="auto" w:sz="4" w:space="0"/>
              <w:bottom w:val="single" w:color="auto" w:sz="4" w:space="0"/>
              <w:right w:val="single" w:color="auto" w:sz="4" w:space="0"/>
            </w:tcBorders>
            <w:noWrap w:val="0"/>
            <w:vAlign w:val="center"/>
          </w:tcPr>
          <w:p>
            <w:pPr>
              <w:adjustRightInd/>
              <w:snapToGrid/>
              <w:spacing w:line="240" w:lineRule="auto"/>
              <w:ind w:firstLine="0" w:firstLineChars="0"/>
              <w:jc w:val="center"/>
              <w:rPr>
                <w:rFonts w:ascii="Calibri" w:hAnsi="Calibri"/>
                <w:kern w:val="2"/>
                <w:sz w:val="21"/>
                <w:szCs w:val="22"/>
              </w:rPr>
            </w:pPr>
            <w:r>
              <w:rPr>
                <w:rFonts w:hint="eastAsia" w:ascii="Calibri" w:hAnsi="Calibri"/>
                <w:kern w:val="2"/>
                <w:sz w:val="21"/>
                <w:szCs w:val="22"/>
              </w:rPr>
              <w:t>雨水排放口阀门</w:t>
            </w:r>
          </w:p>
        </w:tc>
      </w:tr>
    </w:tbl>
    <w:p>
      <w:pPr>
        <w:pStyle w:val="23"/>
        <w:bidi w:val="0"/>
      </w:pPr>
      <w:r>
        <w:rPr>
          <w:rFonts w:hint="eastAsia"/>
          <w:lang w:val="en-US" w:eastAsia="zh-CN"/>
        </w:rPr>
        <w:t xml:space="preserve">图4.2-1 </w:t>
      </w:r>
      <w:r>
        <w:rPr>
          <w:rFonts w:hint="eastAsia"/>
        </w:rPr>
        <w:t>码头、库区风险防范措施照片</w:t>
      </w:r>
    </w:p>
    <w:p>
      <w:pPr>
        <w:pStyle w:val="19"/>
        <w:bidi w:val="0"/>
      </w:pPr>
      <w:r>
        <w:rPr>
          <w:rFonts w:hint="eastAsia"/>
          <w:lang w:eastAsia="zh-CN"/>
        </w:rPr>
        <w:t>（</w:t>
      </w:r>
      <w:r>
        <w:rPr>
          <w:rFonts w:hint="eastAsia"/>
          <w:lang w:val="en-US" w:eastAsia="zh-CN"/>
        </w:rPr>
        <w:t>4</w:t>
      </w:r>
      <w:r>
        <w:rPr>
          <w:rFonts w:hint="eastAsia"/>
          <w:lang w:eastAsia="zh-CN"/>
        </w:rPr>
        <w:t>）</w:t>
      </w:r>
      <w:r>
        <w:rPr>
          <w:rFonts w:hint="eastAsia"/>
        </w:rPr>
        <w:t>仓储区风险防范措施</w:t>
      </w:r>
    </w:p>
    <w:p>
      <w:pPr>
        <w:pStyle w:val="19"/>
        <w:bidi w:val="0"/>
      </w:pPr>
      <w:r>
        <w:rPr>
          <w:rFonts w:hint="eastAsia"/>
        </w:rPr>
        <w:t>①</w:t>
      </w:r>
      <w:r>
        <w:t>环境风险场所配备可燃气体报警仪</w:t>
      </w:r>
      <w:r>
        <w:rPr>
          <w:lang w:val="en-GB"/>
        </w:rPr>
        <w:t>，并配备灭火器</w:t>
      </w:r>
      <w:r>
        <w:rPr>
          <w:rFonts w:hint="eastAsia"/>
          <w:lang w:val="en-GB"/>
        </w:rPr>
        <w:t>等消防器材</w:t>
      </w:r>
      <w:r>
        <w:rPr>
          <w:rFonts w:hint="eastAsia"/>
        </w:rPr>
        <w:t>。</w:t>
      </w:r>
    </w:p>
    <w:p>
      <w:pPr>
        <w:pStyle w:val="19"/>
        <w:bidi w:val="0"/>
        <w:rPr>
          <w:lang w:val="en-GB"/>
        </w:rPr>
      </w:pPr>
      <w:r>
        <w:rPr>
          <w:rFonts w:hint="eastAsia"/>
        </w:rPr>
        <w:t>②</w:t>
      </w:r>
      <w:r>
        <w:rPr>
          <w:rFonts w:hint="eastAsia"/>
          <w:lang w:val="en-GB"/>
        </w:rPr>
        <w:t>厂区</w:t>
      </w:r>
      <w:r>
        <w:rPr>
          <w:lang w:val="en-GB"/>
        </w:rPr>
        <w:t>内设容积4000m</w:t>
      </w:r>
      <w:r>
        <w:rPr>
          <w:vertAlign w:val="superscript"/>
          <w:lang w:val="en-GB"/>
        </w:rPr>
        <w:t>3</w:t>
      </w:r>
      <w:r>
        <w:rPr>
          <w:lang w:val="en-GB"/>
        </w:rPr>
        <w:t>的事故池及事故废水收集、导流系统及截断阀设施</w:t>
      </w:r>
      <w:r>
        <w:rPr>
          <w:rFonts w:hint="eastAsia"/>
          <w:lang w:val="en-GB"/>
        </w:rPr>
        <w:t>。</w:t>
      </w:r>
    </w:p>
    <w:p>
      <w:pPr>
        <w:pStyle w:val="19"/>
        <w:bidi w:val="0"/>
      </w:pPr>
      <w:r>
        <w:rPr>
          <w:rFonts w:hint="eastAsia"/>
        </w:rPr>
        <w:t>③</w:t>
      </w:r>
      <w:r>
        <w:t>项目设不燃烧材料实体围墙，其中临海侧围墙实体部分相对高度为2m</w:t>
      </w:r>
      <w:r>
        <w:rPr>
          <w:rFonts w:hint="eastAsia"/>
        </w:rPr>
        <w:t>，其他三面厂界实体围墙高2.5m</w:t>
      </w:r>
      <w:r>
        <w:t>。</w:t>
      </w:r>
    </w:p>
    <w:p>
      <w:pPr>
        <w:pStyle w:val="18"/>
        <w:bidi w:val="0"/>
      </w:pPr>
      <w:bookmarkStart w:id="108" w:name="_Toc26199501"/>
      <w:bookmarkStart w:id="109" w:name="_Toc13069_WPSOffice_Level1"/>
      <w:r>
        <w:t>4.</w:t>
      </w:r>
      <w:r>
        <w:rPr>
          <w:rFonts w:hint="eastAsia"/>
          <w:lang w:val="en-US" w:eastAsia="zh-CN"/>
        </w:rPr>
        <w:t xml:space="preserve">2.2 </w:t>
      </w:r>
      <w:r>
        <w:t>突发环境事件应急预案</w:t>
      </w:r>
    </w:p>
    <w:p>
      <w:pPr>
        <w:pStyle w:val="19"/>
        <w:spacing w:after="156" w:afterLines="50"/>
        <w:ind w:firstLine="480"/>
        <w:rPr>
          <w:color w:val="000000" w:themeColor="text1"/>
          <w14:textFill>
            <w14:solidFill>
              <w14:schemeClr w14:val="tx1"/>
            </w14:solidFill>
          </w14:textFill>
        </w:rPr>
      </w:pPr>
      <w:r>
        <w:rPr>
          <w:color w:val="000000" w:themeColor="text1"/>
          <w14:textFill>
            <w14:solidFill>
              <w14:schemeClr w14:val="tx1"/>
            </w14:solidFill>
          </w14:textFill>
        </w:rPr>
        <w:t>福建港丰能源有限公司</w:t>
      </w:r>
      <w:r>
        <w:rPr>
          <w:rFonts w:hint="eastAsia"/>
          <w:color w:val="000000" w:themeColor="text1"/>
          <w:lang w:val="en-US" w:eastAsia="zh-Hans"/>
          <w14:textFill>
            <w14:solidFill>
              <w14:schemeClr w14:val="tx1"/>
            </w14:solidFill>
          </w14:textFill>
        </w:rPr>
        <w:t>已于</w:t>
      </w:r>
      <w:r>
        <w:rPr>
          <w:rFonts w:hint="default"/>
          <w:color w:val="000000" w:themeColor="text1"/>
          <w:lang w:eastAsia="zh-Hans"/>
          <w14:textFill>
            <w14:solidFill>
              <w14:schemeClr w14:val="tx1"/>
            </w14:solidFill>
          </w14:textFill>
        </w:rPr>
        <w:t>2022</w:t>
      </w:r>
      <w:r>
        <w:rPr>
          <w:rFonts w:hint="eastAsia"/>
          <w:color w:val="000000" w:themeColor="text1"/>
          <w:lang w:val="en-US" w:eastAsia="zh-Hans"/>
          <w14:textFill>
            <w14:solidFill>
              <w14:schemeClr w14:val="tx1"/>
            </w14:solidFill>
          </w14:textFill>
        </w:rPr>
        <w:t>年</w:t>
      </w:r>
      <w:r>
        <w:rPr>
          <w:rFonts w:hint="default"/>
          <w:color w:val="000000" w:themeColor="text1"/>
          <w:lang w:eastAsia="zh-Hans"/>
          <w14:textFill>
            <w14:solidFill>
              <w14:schemeClr w14:val="tx1"/>
            </w14:solidFill>
          </w14:textFill>
        </w:rPr>
        <w:t>4</w:t>
      </w:r>
      <w:r>
        <w:rPr>
          <w:rFonts w:hint="eastAsia"/>
          <w:color w:val="000000" w:themeColor="text1"/>
          <w:lang w:val="en-US" w:eastAsia="zh-Hans"/>
          <w14:textFill>
            <w14:solidFill>
              <w14:schemeClr w14:val="tx1"/>
            </w14:solidFill>
          </w14:textFill>
        </w:rPr>
        <w:t>月对原应急预案进行修编</w:t>
      </w:r>
      <w:r>
        <w:rPr>
          <w:rFonts w:hint="default"/>
          <w:color w:val="000000" w:themeColor="text1"/>
          <w:lang w:eastAsia="zh-Hans"/>
          <w14:textFill>
            <w14:solidFill>
              <w14:schemeClr w14:val="tx1"/>
            </w14:solidFill>
          </w14:textFill>
        </w:rPr>
        <w:t>，</w:t>
      </w:r>
      <w:r>
        <w:rPr>
          <w:rFonts w:hint="eastAsia"/>
          <w:color w:val="000000" w:themeColor="text1"/>
          <w:lang w:val="en-US" w:eastAsia="zh-Hans"/>
          <w14:textFill>
            <w14:solidFill>
              <w14:schemeClr w14:val="tx1"/>
            </w14:solidFill>
          </w14:textFill>
        </w:rPr>
        <w:t>形成</w:t>
      </w:r>
      <w:r>
        <w:rPr>
          <w:rFonts w:hint="default"/>
          <w:color w:val="000000" w:themeColor="text1"/>
          <w:lang w:eastAsia="zh-Hans"/>
          <w14:textFill>
            <w14:solidFill>
              <w14:schemeClr w14:val="tx1"/>
            </w14:solidFill>
          </w14:textFill>
        </w:rPr>
        <w:t>《福建港丰能源有限公司突发环境事件应急预案》（GFSHCCYA-2022修订版），</w:t>
      </w:r>
      <w:r>
        <w:rPr>
          <w:color w:val="000000" w:themeColor="text1"/>
          <w:lang w:val="en-US"/>
          <w14:textFill>
            <w14:solidFill>
              <w14:schemeClr w14:val="tx1"/>
            </w14:solidFill>
          </w14:textFill>
        </w:rPr>
        <w:t>该应急预案</w:t>
      </w:r>
      <w:r>
        <w:rPr>
          <w:color w:val="000000" w:themeColor="text1"/>
          <w14:textFill>
            <w14:solidFill>
              <w14:schemeClr w14:val="tx1"/>
            </w14:solidFill>
          </w14:textFill>
        </w:rPr>
        <w:t>于202</w:t>
      </w:r>
      <w:r>
        <w:rPr>
          <w:rFonts w:hint="default"/>
          <w:color w:val="000000" w:themeColor="text1"/>
          <w14:textFill>
            <w14:solidFill>
              <w14:schemeClr w14:val="tx1"/>
            </w14:solidFill>
          </w14:textFill>
        </w:rPr>
        <w:t>2</w:t>
      </w:r>
      <w:r>
        <w:rPr>
          <w:color w:val="000000" w:themeColor="text1"/>
          <w14:textFill>
            <w14:solidFill>
              <w14:schemeClr w14:val="tx1"/>
            </w14:solidFill>
          </w14:textFill>
        </w:rPr>
        <w:t>年5月在</w:t>
      </w:r>
      <w:r>
        <w:rPr>
          <w:color w:val="000000" w:themeColor="text1"/>
          <w:lang w:val="en-US"/>
          <w14:textFill>
            <w14:solidFill>
              <w14:schemeClr w14:val="tx1"/>
            </w14:solidFill>
          </w14:textFill>
        </w:rPr>
        <w:t>泉州市惠安生态环境</w:t>
      </w:r>
      <w:r>
        <w:rPr>
          <w:color w:val="000000" w:themeColor="text1"/>
          <w14:textFill>
            <w14:solidFill>
              <w14:schemeClr w14:val="tx1"/>
            </w14:solidFill>
          </w14:textFill>
        </w:rPr>
        <w:t>局完成备案（备案编号：350521-202</w:t>
      </w:r>
      <w:r>
        <w:rPr>
          <w:rFonts w:hint="default"/>
          <w:color w:val="000000" w:themeColor="text1"/>
          <w14:textFill>
            <w14:solidFill>
              <w14:schemeClr w14:val="tx1"/>
            </w14:solidFill>
          </w14:textFill>
        </w:rPr>
        <w:t>2</w:t>
      </w:r>
      <w:r>
        <w:rPr>
          <w:color w:val="000000" w:themeColor="text1"/>
          <w14:textFill>
            <w14:solidFill>
              <w14:schemeClr w14:val="tx1"/>
            </w14:solidFill>
          </w14:textFill>
        </w:rPr>
        <w:t>-0</w:t>
      </w:r>
      <w:r>
        <w:rPr>
          <w:rFonts w:hint="default"/>
          <w:color w:val="000000" w:themeColor="text1"/>
          <w14:textFill>
            <w14:solidFill>
              <w14:schemeClr w14:val="tx1"/>
            </w14:solidFill>
          </w14:textFill>
        </w:rPr>
        <w:t>03</w:t>
      </w:r>
      <w:r>
        <w:rPr>
          <w:color w:val="000000" w:themeColor="text1"/>
          <w14:textFill>
            <w14:solidFill>
              <w14:schemeClr w14:val="tx1"/>
            </w14:solidFill>
          </w14:textFill>
        </w:rPr>
        <w:t>-</w:t>
      </w:r>
      <w:r>
        <w:rPr>
          <w:color w:val="000000" w:themeColor="text1"/>
          <w:lang w:val="en-US"/>
          <w14:textFill>
            <w14:solidFill>
              <w14:schemeClr w14:val="tx1"/>
            </w14:solidFill>
          </w14:textFill>
        </w:rPr>
        <w:t>H</w:t>
      </w:r>
      <w:r>
        <w:rPr>
          <w:color w:val="000000" w:themeColor="text1"/>
          <w14:textFill>
            <w14:solidFill>
              <w14:schemeClr w14:val="tx1"/>
            </w14:solidFill>
          </w14:textFill>
        </w:rPr>
        <w:t>）。</w:t>
      </w:r>
    </w:p>
    <w:p>
      <w:pPr>
        <w:pStyle w:val="19"/>
        <w:spacing w:after="156" w:afterLines="50"/>
        <w:ind w:firstLine="0" w:firstLineChars="0"/>
        <w:jc w:val="center"/>
        <w:rPr>
          <w:rFonts w:hint="default" w:eastAsia="宋体"/>
          <w:color w:val="FF0000"/>
          <w:lang w:val="en-US" w:eastAsia="zh-CN"/>
        </w:rPr>
      </w:pPr>
      <w:r>
        <w:drawing>
          <wp:inline distT="0" distB="0" distL="114300" distR="114300">
            <wp:extent cx="4318635" cy="5427980"/>
            <wp:effectExtent l="9525" t="9525" r="15240" b="1079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42"/>
                    <a:srcRect t="1085" b="1986"/>
                    <a:stretch>
                      <a:fillRect/>
                    </a:stretch>
                  </pic:blipFill>
                  <pic:spPr>
                    <a:xfrm>
                      <a:off x="0" y="0"/>
                      <a:ext cx="4318635" cy="5427980"/>
                    </a:xfrm>
                    <a:prstGeom prst="rect">
                      <a:avLst/>
                    </a:prstGeom>
                    <a:noFill/>
                    <a:ln>
                      <a:solidFill>
                        <a:schemeClr val="tx1"/>
                      </a:solidFill>
                    </a:ln>
                  </pic:spPr>
                </pic:pic>
              </a:graphicData>
            </a:graphic>
          </wp:inline>
        </w:drawing>
      </w:r>
    </w:p>
    <w:p>
      <w:pPr>
        <w:pStyle w:val="23"/>
        <w:spacing w:before="0"/>
      </w:pPr>
      <w:r>
        <w:t>图4.</w:t>
      </w:r>
      <w:r>
        <w:rPr>
          <w:rFonts w:hint="eastAsia"/>
          <w:lang w:val="en-US" w:eastAsia="zh-CN"/>
        </w:rPr>
        <w:t>2</w:t>
      </w:r>
      <w:r>
        <w:t>-</w:t>
      </w:r>
      <w:r>
        <w:rPr>
          <w:rFonts w:hint="eastAsia"/>
          <w:lang w:val="en-US" w:eastAsia="zh-CN"/>
        </w:rPr>
        <w:t>2</w:t>
      </w:r>
      <w:r>
        <w:t xml:space="preserve"> 应急预案备案登记表</w:t>
      </w:r>
    </w:p>
    <w:p>
      <w:pPr>
        <w:pStyle w:val="19"/>
        <w:spacing w:before="156" w:beforeLines="50"/>
        <w:ind w:firstLine="480"/>
      </w:pPr>
      <w:r>
        <w:rPr>
          <w:lang w:val="en-US"/>
        </w:rPr>
        <w:t>为应对突发环境事件</w:t>
      </w:r>
      <w:r>
        <w:t>，</w:t>
      </w:r>
      <w:r>
        <w:rPr>
          <w:lang w:val="en-US"/>
        </w:rPr>
        <w:t>福建港丰能源有限公司</w:t>
      </w:r>
      <w:r>
        <w:t>已成立应急指挥中心（日常办事机构为应急指挥中心办公室），建立应急组织机构，对突发环境事件的预警和处置等进行统一的指挥协调。</w:t>
      </w:r>
      <w:r>
        <w:rPr>
          <w:lang w:val="en-US"/>
        </w:rPr>
        <w:t>应急办公室下设警戒疏散组</w:t>
      </w:r>
      <w:r>
        <w:t>、</w:t>
      </w:r>
      <w:r>
        <w:rPr>
          <w:lang w:val="en-US"/>
        </w:rPr>
        <w:t>医疗救护组</w:t>
      </w:r>
      <w:r>
        <w:t>、</w:t>
      </w:r>
      <w:r>
        <w:rPr>
          <w:lang w:val="en-US"/>
        </w:rPr>
        <w:t>通信联络组</w:t>
      </w:r>
      <w:r>
        <w:t>、</w:t>
      </w:r>
      <w:r>
        <w:rPr>
          <w:lang w:val="en-US"/>
        </w:rPr>
        <w:t>物资供应组</w:t>
      </w:r>
      <w:r>
        <w:t>、</w:t>
      </w:r>
      <w:r>
        <w:rPr>
          <w:lang w:val="en-US"/>
        </w:rPr>
        <w:t>环境安全监测组</w:t>
      </w:r>
      <w:r>
        <w:t>、</w:t>
      </w:r>
      <w:r>
        <w:rPr>
          <w:lang w:val="en-US"/>
        </w:rPr>
        <w:t>抢险救援组等</w:t>
      </w:r>
      <w:r>
        <w:t>6</w:t>
      </w:r>
      <w:r>
        <w:rPr>
          <w:lang w:val="en-US"/>
        </w:rPr>
        <w:t>个小组</w:t>
      </w:r>
      <w:r>
        <w:t>。</w:t>
      </w:r>
    </w:p>
    <w:p>
      <w:pPr>
        <w:pStyle w:val="19"/>
        <w:ind w:firstLine="480"/>
        <w:rPr>
          <w:lang w:val="en-US"/>
        </w:rPr>
      </w:pPr>
      <w:r>
        <w:t>应急指挥中心统一指挥、组织协调应急工作，具体负责指挥现场应急工作，应急响应工作组开展在突发环境事件中的应急救援、处置工作，各小组根据各自的专业和职责分工具体实施救援、处置事项。当突发环境事件发生时，由发生事件的所在部门负责人做好先期处置，根据事件可能的影响程度等实际情况决定是否报告应急指挥中心，或由预警装置发出预警信号。应急指挥中心接到报告或预警信号后，根据事件可能造成的危害程度、影响范围和港区对事件的可控能力，结合事件分级，启动相应级别的应急响应，成立现场应急指挥中心、召集应急响应工作组、带领需要的应急工作小组赶赴现场救援和处置。应急终止后，通知危险解除，开展后期处置工作，现场恢复。</w:t>
      </w:r>
      <w:r>
        <w:rPr>
          <w:lang w:val="en-US"/>
        </w:rPr>
        <w:t>同时</w:t>
      </w:r>
      <w:r>
        <w:t>，</w:t>
      </w:r>
      <w:r>
        <w:rPr>
          <w:lang w:val="en-US"/>
        </w:rPr>
        <w:t>港区还建立了</w:t>
      </w:r>
      <w:r>
        <w:t>应急专家组，事故时为应急指挥中心和现场应急处置提供技术支持。</w:t>
      </w:r>
    </w:p>
    <w:p>
      <w:pPr>
        <w:pStyle w:val="19"/>
        <w:ind w:firstLine="480"/>
      </w:pPr>
      <w:r>
        <w:rPr>
          <w:lang w:val="en-US"/>
        </w:rPr>
        <w:t>福建港丰能源有限公司</w:t>
      </w:r>
      <w:r>
        <w:t>应急组织机构关系见图4.</w:t>
      </w:r>
      <w:r>
        <w:rPr>
          <w:rFonts w:hint="eastAsia"/>
          <w:lang w:val="en-US" w:eastAsia="zh-CN"/>
        </w:rPr>
        <w:t>2</w:t>
      </w:r>
      <w:r>
        <w:t>-</w:t>
      </w:r>
      <w:r>
        <w:rPr>
          <w:rFonts w:hint="eastAsia"/>
          <w:lang w:val="en-US" w:eastAsia="zh-CN"/>
        </w:rPr>
        <w:t>3</w:t>
      </w:r>
      <w:r>
        <w:t>，应急物资储备情况见表4.</w:t>
      </w:r>
      <w:r>
        <w:rPr>
          <w:rFonts w:hint="eastAsia"/>
          <w:lang w:val="en-US" w:eastAsia="zh-CN"/>
        </w:rPr>
        <w:t>2</w:t>
      </w:r>
      <w:r>
        <w:t>.1</w:t>
      </w:r>
      <w:r>
        <w:rPr>
          <w:lang w:val="en-US"/>
        </w:rPr>
        <w:t>及图</w:t>
      </w:r>
      <w:r>
        <w:t>4</w:t>
      </w:r>
      <w:r>
        <w:rPr>
          <w:lang w:val="en-US"/>
        </w:rPr>
        <w:t>.</w:t>
      </w:r>
      <w:r>
        <w:rPr>
          <w:rFonts w:hint="eastAsia"/>
          <w:lang w:val="en-US" w:eastAsia="zh-CN"/>
        </w:rPr>
        <w:t>2</w:t>
      </w:r>
      <w:r>
        <w:t>-</w:t>
      </w:r>
      <w:r>
        <w:rPr>
          <w:rFonts w:hint="eastAsia"/>
          <w:lang w:val="en-US" w:eastAsia="zh-CN"/>
        </w:rPr>
        <w:t>4</w:t>
      </w:r>
      <w:r>
        <w:t>，</w:t>
      </w:r>
      <w:bookmarkStart w:id="110" w:name="_Toc22711"/>
      <w:bookmarkStart w:id="111" w:name="_Toc5371"/>
      <w:bookmarkStart w:id="112" w:name="_Toc17352"/>
      <w:bookmarkStart w:id="113" w:name="_Toc28767"/>
      <w:bookmarkStart w:id="114" w:name="_Toc6856"/>
      <w:bookmarkStart w:id="115" w:name="_Toc19520"/>
      <w:bookmarkStart w:id="116" w:name="_Toc7175"/>
      <w:bookmarkStart w:id="117" w:name="_Toc20886"/>
      <w:bookmarkStart w:id="118" w:name="_Toc8460"/>
      <w:bookmarkStart w:id="119" w:name="_Toc21384"/>
      <w:r>
        <w:t>泉州市政府专职石化消防特勤大队应急物资</w:t>
      </w:r>
      <w:bookmarkEnd w:id="110"/>
      <w:bookmarkEnd w:id="111"/>
      <w:bookmarkEnd w:id="112"/>
      <w:bookmarkEnd w:id="113"/>
      <w:bookmarkEnd w:id="114"/>
      <w:bookmarkEnd w:id="115"/>
      <w:bookmarkEnd w:id="116"/>
      <w:bookmarkEnd w:id="117"/>
      <w:bookmarkEnd w:id="118"/>
      <w:bookmarkEnd w:id="119"/>
      <w:r>
        <w:t>见表4.</w:t>
      </w:r>
      <w:r>
        <w:rPr>
          <w:rFonts w:hint="eastAsia"/>
          <w:lang w:val="en-US" w:eastAsia="zh-CN"/>
        </w:rPr>
        <w:t>3</w:t>
      </w:r>
      <w:r>
        <w:t>.2。福建港丰能源有限公司</w:t>
      </w:r>
      <w:r>
        <w:rPr>
          <w:lang w:val="en-US"/>
        </w:rPr>
        <w:t>现有的</w:t>
      </w:r>
      <w:r>
        <w:t>应急物资储备和应急组织机构能够满足本项目的突发环境事件应急需求。</w:t>
      </w:r>
    </w:p>
    <w:p>
      <w:pPr>
        <w:pStyle w:val="19"/>
        <w:ind w:firstLine="0" w:firstLineChars="0"/>
        <w:jc w:val="center"/>
      </w:pPr>
      <w:r>
        <w:rPr>
          <w:lang w:val="en-US"/>
        </w:rPr>
        <w:drawing>
          <wp:inline distT="0" distB="0" distL="114300" distR="114300">
            <wp:extent cx="4820285" cy="3079115"/>
            <wp:effectExtent l="9525" t="9525" r="21590" b="10160"/>
            <wp:docPr id="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8"/>
                    <pic:cNvPicPr>
                      <a:picLocks noChangeAspect="1"/>
                    </pic:cNvPicPr>
                  </pic:nvPicPr>
                  <pic:blipFill>
                    <a:blip r:embed="rId43" cstate="print"/>
                    <a:stretch>
                      <a:fillRect/>
                    </a:stretch>
                  </pic:blipFill>
                  <pic:spPr>
                    <a:xfrm>
                      <a:off x="0" y="0"/>
                      <a:ext cx="4820285" cy="3088832"/>
                    </a:xfrm>
                    <a:prstGeom prst="rect">
                      <a:avLst/>
                    </a:prstGeom>
                    <a:noFill/>
                    <a:ln w="9525">
                      <a:solidFill>
                        <a:schemeClr val="tx1"/>
                      </a:solidFill>
                    </a:ln>
                  </pic:spPr>
                </pic:pic>
              </a:graphicData>
            </a:graphic>
          </wp:inline>
        </w:drawing>
      </w:r>
    </w:p>
    <w:p>
      <w:pPr>
        <w:pStyle w:val="23"/>
        <w:spacing w:after="312" w:afterLines="10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t>图4.</w:t>
      </w:r>
      <w:r>
        <w:rPr>
          <w:rFonts w:hint="eastAsia"/>
          <w:lang w:val="en-US" w:eastAsia="zh-CN"/>
        </w:rPr>
        <w:t>2</w:t>
      </w:r>
      <w:r>
        <w:t>-</w:t>
      </w:r>
      <w:r>
        <w:rPr>
          <w:rFonts w:hint="eastAsia"/>
          <w:lang w:val="en-US" w:eastAsia="zh-CN"/>
        </w:rPr>
        <w:t>3</w:t>
      </w:r>
      <w:r>
        <w:t xml:space="preserve"> 福建港丰能源有限公司应急组织机构体系图</w:t>
      </w:r>
    </w:p>
    <w:p>
      <w:pPr>
        <w:pStyle w:val="23"/>
      </w:pPr>
      <w:r>
        <w:t>表4</w:t>
      </w:r>
      <w:r>
        <w:rPr>
          <w:rFonts w:hint="eastAsia"/>
          <w:lang w:val="en-US" w:eastAsia="zh-CN"/>
        </w:rPr>
        <w:t>.2</w:t>
      </w:r>
      <w:r>
        <w:t>.1 福建港丰能源有限公司应急物资表</w:t>
      </w:r>
    </w:p>
    <w:tbl>
      <w:tblPr>
        <w:tblStyle w:val="14"/>
        <w:tblW w:w="13982" w:type="dxa"/>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649"/>
        <w:gridCol w:w="2406"/>
        <w:gridCol w:w="2804"/>
        <w:gridCol w:w="915"/>
        <w:gridCol w:w="3621"/>
        <w:gridCol w:w="1105"/>
        <w:gridCol w:w="248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23" w:hRule="atLeast"/>
          <w:tblHeader/>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序号</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名称</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型号</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数量</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生产厂家</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技术状况</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备注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应急卸载泵</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总效率不低于25m</w:t>
            </w:r>
            <w:r>
              <w:rPr>
                <w:vertAlign w:val="superscript"/>
              </w:rPr>
              <w:t>3</w:t>
            </w:r>
            <w:r>
              <w:t>/h</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温州市海洋环保</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收油机</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回收能力30m</w:t>
            </w:r>
            <w:r>
              <w:rPr>
                <w:vertAlign w:val="superscript"/>
              </w:rPr>
              <w:t>3</w:t>
            </w:r>
            <w:r>
              <w:t>/h</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温州市海洋环保</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离心泵、防腐蚀、防爆/</w:t>
            </w:r>
            <w:r>
              <w:br w:type="textWrapping"/>
            </w:r>
            <w:r>
              <w:t>总效率不低于25m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吸附材料</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PP-2型吸油毡1t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50个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温州市海洋环保</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溢油分散剂</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生物降解环保型分散剂</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4.6t</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温州市海洋环保</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2021年1月入库4.1吨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溢油分散剂喷洒装置</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总效率不低于0.25t/h</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温州市海洋环保</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6</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临时存储设备</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1套轻便储油罐、</w:t>
            </w:r>
            <w:r>
              <w:br w:type="textWrapping"/>
            </w:r>
            <w:r>
              <w:t>2套浮动油囊</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30m</w:t>
            </w:r>
            <w:r>
              <w:rPr>
                <w:vertAlign w:val="superscript"/>
              </w:rPr>
              <w:t>3</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温州市海洋环保</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7</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清洗机</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温州市海洋环保</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vMerge w:val="restart"/>
            <w:tcBorders>
              <w:top w:val="single" w:color="000000" w:sz="4" w:space="0"/>
              <w:bottom w:val="single" w:color="000000" w:sz="4" w:space="0"/>
              <w:right w:val="single" w:color="000000" w:sz="4" w:space="0"/>
            </w:tcBorders>
            <w:shd w:val="clear" w:color="auto" w:fill="auto"/>
            <w:vAlign w:val="center"/>
          </w:tcPr>
          <w:p>
            <w:pPr>
              <w:pStyle w:val="24"/>
            </w:pPr>
            <w:r>
              <w:t>8</w:t>
            </w:r>
          </w:p>
        </w:tc>
        <w:tc>
          <w:tcPr>
            <w:tcW w:w="240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液体检测仪</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便携式pH计</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3台</w:t>
            </w:r>
          </w:p>
        </w:tc>
        <w:tc>
          <w:tcPr>
            <w:tcW w:w="36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青岛聚创</w:t>
            </w:r>
          </w:p>
        </w:tc>
        <w:tc>
          <w:tcPr>
            <w:tcW w:w="11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240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便携式多功能水质采样器</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3台</w:t>
            </w:r>
          </w:p>
        </w:tc>
        <w:tc>
          <w:tcPr>
            <w:tcW w:w="36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1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9</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活性炭</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2t</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如皋市裕荣</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10</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吸附棉</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6.32t</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徐州赛弗安防有限公司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2021年1月入库6吨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11</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泄露应急桶</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太仓安轩消防有限公司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12</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救生衣</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38套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东台市兴盾船舶设备公司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13</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内置式重型防化服</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FHLWS-002-A</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5套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青岛劳力士防护用品厂</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14</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封闭式防化服</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FHLWS-001-D</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青岛劳力士防护用品厂</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15</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全棉防静电外衣</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50套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上海上和服装</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12月3新到28套</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16</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正压式空气呼吸器</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RH2k6.8/C</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浙江恒泰安全设备有限公司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17</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全面式防毒面具</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唐山普达防护厂</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18</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防毒口罩</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KN95</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厦门中科贝思达环保有限公司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19</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护目镜</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20副</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上海明尼苏达</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20</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化学防化靴（防静电）</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20双</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苏州安防实业有限公司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21</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隔冷防护手套</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16双</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上海多给力防护用品有限公司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22</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软梯</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滨州梯业公司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23</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消防隔热服</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LWS-001</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青岛劳力士防护用品厂</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24</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消防员灭火服</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AFAA.07.72322</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8套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泰州华通消防厂</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25</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过滤式消防自救呼吸器</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5个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广州兴安消防科技</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26</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强光防爆型电筒</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WFL-502</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9支</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中山市华升电子有限公司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27</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灭火毯</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1.5*1.5</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18个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江西穗华玻纤公司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28</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自吸过滤式防毒面具</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3M6800</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4个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唐山普达防护厂</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29</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应急处置工具</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苏州安防实业有限公司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30</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立式油压千斤顶</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科城旗舰店</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31</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3C多工能消防腰斧</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AFAC.15.15092-4</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2把</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山东金斧工具</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32</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风向袋</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8个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苏州安防实业有限公司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33</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担架</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1副</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苏州安防实业有限公司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34</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快速堵漏木楔</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JS-31</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江苏淮安消防公司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35</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铜制扳手</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QA15</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苏州安防实业有限公司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36</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急救药箱</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4个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杭州爱贝护医疗科技有限公司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37</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应急盘</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10个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苏州安防实业有限公司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38</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洗眼器</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24个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江苏启安</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39</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消防炮塔</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PT15</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4座</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江西荣和特种消防设备制造有限公司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40</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移动式消防炮</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PLY48</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4个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江西荣和特种消防设备制造有限公司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41</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固定式消防炮</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PL32</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12个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江西荣和特种消防设备制造有限公司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42</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救生圈</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33个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东台市海舟救生用品厂</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2021.11购进25个</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43</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灭火器</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ABC5</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32个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鸣宇消防设备</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44</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防爆毯</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BG-F100</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1.6米双围栏</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45</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阻车路障</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4米，铸铁烤漆</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46</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防暴棍</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1.6米</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2根</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47</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防爆钢叉</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BG-FB101C</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2根</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48</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防刺背心</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BG-FB101F</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2件</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49</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防刺手套</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BG-G101</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2双</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50</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橡胶棒</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0.6米</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3根</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51</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防爆盾牌</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BG-FB101D</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3面</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PC</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52</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防暴头盔</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BG-FB101K</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6个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53</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隔离警戒带</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125米/卷</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2盘</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54</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车底检查镜</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BG-CD11</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镜尺寸30cm；长度130cm</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55</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催泪瓦斯</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中性</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56</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防爆罐</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BG-FB110</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1个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57</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阻车钉</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BG-LZSZ01</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r>
              <w:t>手动、8米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58</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金属探测仪</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BG-S140V</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4只</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59</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执行仪</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BG-ZHS01</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2套</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东莞市神探安检排爆装备有限公司</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649" w:type="dxa"/>
            <w:tcBorders>
              <w:top w:val="single" w:color="000000" w:sz="4" w:space="0"/>
              <w:bottom w:val="single" w:color="000000" w:sz="4" w:space="0"/>
              <w:right w:val="single" w:color="000000" w:sz="4" w:space="0"/>
            </w:tcBorders>
            <w:shd w:val="clear" w:color="auto" w:fill="auto"/>
            <w:vAlign w:val="center"/>
          </w:tcPr>
          <w:p>
            <w:pPr>
              <w:pStyle w:val="24"/>
            </w:pPr>
            <w:r>
              <w:t>60</w:t>
            </w:r>
          </w:p>
        </w:tc>
        <w:tc>
          <w:tcPr>
            <w:tcW w:w="240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封堵沙袋</w:t>
            </w:r>
          </w:p>
        </w:tc>
        <w:tc>
          <w:tcPr>
            <w:tcW w:w="280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30袋</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正常</w:t>
            </w:r>
          </w:p>
        </w:tc>
        <w:tc>
          <w:tcPr>
            <w:tcW w:w="2482" w:type="dxa"/>
            <w:tcBorders>
              <w:top w:val="single" w:color="000000" w:sz="4" w:space="0"/>
              <w:left w:val="single" w:color="000000" w:sz="4" w:space="0"/>
              <w:bottom w:val="single" w:color="000000" w:sz="4" w:space="0"/>
            </w:tcBorders>
            <w:shd w:val="clear" w:color="auto" w:fill="auto"/>
            <w:vAlign w:val="center"/>
          </w:tcPr>
          <w:p>
            <w:pPr>
              <w:pStyle w:val="24"/>
            </w:pPr>
          </w:p>
        </w:tc>
      </w:tr>
    </w:tbl>
    <w:p>
      <w:pPr>
        <w:pStyle w:val="23"/>
        <w:spacing w:before="24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9"/>
        <w:ind w:firstLine="0" w:firstLineChars="0"/>
        <w:jc w:val="center"/>
      </w:pPr>
      <w:r>
        <w:rPr>
          <w:lang w:val="en-US"/>
        </w:rPr>
        <w:drawing>
          <wp:inline distT="0" distB="0" distL="114300" distR="114300">
            <wp:extent cx="7825740" cy="4810125"/>
            <wp:effectExtent l="9525" t="9525" r="13335" b="1905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44" cstate="print"/>
                    <a:srcRect l="1698" t="1815"/>
                    <a:stretch>
                      <a:fillRect/>
                    </a:stretch>
                  </pic:blipFill>
                  <pic:spPr>
                    <a:xfrm>
                      <a:off x="0" y="0"/>
                      <a:ext cx="7825740" cy="4810125"/>
                    </a:xfrm>
                    <a:prstGeom prst="rect">
                      <a:avLst/>
                    </a:prstGeom>
                    <a:noFill/>
                    <a:ln w="9525">
                      <a:solidFill>
                        <a:schemeClr val="tx1"/>
                      </a:solidFill>
                    </a:ln>
                  </pic:spPr>
                </pic:pic>
              </a:graphicData>
            </a:graphic>
          </wp:inline>
        </w:drawing>
      </w:r>
    </w:p>
    <w:p>
      <w:pPr>
        <w:pStyle w:val="23"/>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t>图4.</w:t>
      </w:r>
      <w:r>
        <w:rPr>
          <w:rFonts w:hint="eastAsia"/>
          <w:lang w:val="en-US" w:eastAsia="zh-CN"/>
        </w:rPr>
        <w:t>2</w:t>
      </w:r>
      <w:r>
        <w:t>-</w:t>
      </w:r>
      <w:r>
        <w:rPr>
          <w:rFonts w:hint="eastAsia"/>
          <w:lang w:val="en-US" w:eastAsia="zh-CN"/>
        </w:rPr>
        <w:t>4</w:t>
      </w:r>
      <w:r>
        <w:t xml:space="preserve"> 项目应急物资存放点</w:t>
      </w:r>
    </w:p>
    <w:p>
      <w:pPr>
        <w:pStyle w:val="23"/>
        <w:spacing w:before="240"/>
      </w:pPr>
      <w:r>
        <w:t>表4.</w:t>
      </w:r>
      <w:r>
        <w:rPr>
          <w:rFonts w:hint="eastAsia"/>
          <w:lang w:val="en-US" w:eastAsia="zh-CN"/>
        </w:rPr>
        <w:t>2</w:t>
      </w:r>
      <w:r>
        <w:t>.2 泉州市政府专职石化消防特勤大队应急设备配备情况</w:t>
      </w:r>
    </w:p>
    <w:tbl>
      <w:tblPr>
        <w:tblStyle w:val="14"/>
        <w:tblW w:w="13982" w:type="dxa"/>
        <w:tblInd w:w="0" w:type="dxa"/>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1013"/>
        <w:gridCol w:w="1665"/>
        <w:gridCol w:w="3730"/>
        <w:gridCol w:w="1550"/>
        <w:gridCol w:w="3002"/>
        <w:gridCol w:w="3022"/>
      </w:tblGrid>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blHeader/>
        </w:trPr>
        <w:tc>
          <w:tcPr>
            <w:tcW w:w="1013" w:type="dxa"/>
            <w:tcBorders>
              <w:bottom w:val="single" w:color="000000" w:sz="4" w:space="0"/>
              <w:right w:val="single" w:color="000000" w:sz="4" w:space="0"/>
            </w:tcBorders>
            <w:vAlign w:val="center"/>
          </w:tcPr>
          <w:p>
            <w:pPr>
              <w:pStyle w:val="24"/>
            </w:pPr>
            <w:r>
              <w:t>序号</w:t>
            </w:r>
          </w:p>
        </w:tc>
        <w:tc>
          <w:tcPr>
            <w:tcW w:w="1665" w:type="dxa"/>
            <w:tcBorders>
              <w:left w:val="single" w:color="000000" w:sz="4" w:space="0"/>
              <w:bottom w:val="single" w:color="000000" w:sz="4" w:space="0"/>
              <w:right w:val="single" w:color="000000" w:sz="4" w:space="0"/>
            </w:tcBorders>
            <w:vAlign w:val="center"/>
          </w:tcPr>
          <w:p>
            <w:pPr>
              <w:pStyle w:val="24"/>
            </w:pPr>
            <w:r>
              <w:t>类别</w:t>
            </w:r>
          </w:p>
        </w:tc>
        <w:tc>
          <w:tcPr>
            <w:tcW w:w="3730" w:type="dxa"/>
            <w:tcBorders>
              <w:left w:val="single" w:color="000000" w:sz="4" w:space="0"/>
              <w:bottom w:val="single" w:color="000000" w:sz="4" w:space="0"/>
              <w:right w:val="single" w:color="000000" w:sz="4" w:space="0"/>
            </w:tcBorders>
            <w:vAlign w:val="center"/>
          </w:tcPr>
          <w:p>
            <w:pPr>
              <w:pStyle w:val="24"/>
            </w:pPr>
            <w:r>
              <w:t>配备设备型号</w:t>
            </w:r>
          </w:p>
        </w:tc>
        <w:tc>
          <w:tcPr>
            <w:tcW w:w="1550" w:type="dxa"/>
            <w:tcBorders>
              <w:left w:val="single" w:color="000000" w:sz="4" w:space="0"/>
              <w:bottom w:val="single" w:color="000000" w:sz="4" w:space="0"/>
              <w:right w:val="single" w:color="000000" w:sz="4" w:space="0"/>
            </w:tcBorders>
            <w:vAlign w:val="center"/>
          </w:tcPr>
          <w:p>
            <w:pPr>
              <w:pStyle w:val="24"/>
            </w:pPr>
            <w:r>
              <w:t>配备数量</w:t>
            </w:r>
          </w:p>
        </w:tc>
        <w:tc>
          <w:tcPr>
            <w:tcW w:w="3002" w:type="dxa"/>
            <w:tcBorders>
              <w:left w:val="single" w:color="000000" w:sz="4" w:space="0"/>
              <w:bottom w:val="single" w:color="000000" w:sz="4" w:space="0"/>
              <w:right w:val="single" w:color="000000" w:sz="4" w:space="0"/>
            </w:tcBorders>
            <w:vAlign w:val="center"/>
          </w:tcPr>
          <w:p>
            <w:pPr>
              <w:pStyle w:val="24"/>
            </w:pPr>
            <w:r>
              <w:t>存储仓库</w:t>
            </w:r>
          </w:p>
        </w:tc>
        <w:tc>
          <w:tcPr>
            <w:tcW w:w="3022" w:type="dxa"/>
            <w:tcBorders>
              <w:left w:val="single" w:color="000000" w:sz="4" w:space="0"/>
              <w:bottom w:val="single" w:color="000000" w:sz="4" w:space="0"/>
            </w:tcBorders>
            <w:vAlign w:val="center"/>
          </w:tcPr>
          <w:p>
            <w:pPr>
              <w:pStyle w:val="24"/>
            </w:pPr>
            <w:r>
              <w:t>所属机构</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restart"/>
            <w:tcBorders>
              <w:top w:val="single" w:color="000000" w:sz="4" w:space="0"/>
              <w:bottom w:val="single" w:color="000000" w:sz="4" w:space="0"/>
              <w:right w:val="single" w:color="000000" w:sz="4" w:space="0"/>
            </w:tcBorders>
            <w:vAlign w:val="center"/>
          </w:tcPr>
          <w:p>
            <w:pPr>
              <w:pStyle w:val="24"/>
            </w:pPr>
            <w:r>
              <w:t>1</w:t>
            </w:r>
          </w:p>
        </w:tc>
        <w:tc>
          <w:tcPr>
            <w:tcW w:w="1665" w:type="dxa"/>
            <w:vMerge w:val="restart"/>
            <w:tcBorders>
              <w:top w:val="single" w:color="000000" w:sz="4" w:space="0"/>
              <w:left w:val="single" w:color="000000" w:sz="4" w:space="0"/>
              <w:bottom w:val="single" w:color="000000" w:sz="4" w:space="0"/>
              <w:right w:val="single" w:color="000000" w:sz="4" w:space="0"/>
            </w:tcBorders>
            <w:vAlign w:val="center"/>
          </w:tcPr>
          <w:p>
            <w:pPr>
              <w:pStyle w:val="24"/>
            </w:pPr>
            <w:r>
              <w:t>人员防护装备</w:t>
            </w: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消防头盔</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87个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消防员灭火防护服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88套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消防手套</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170双</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消防安全腰带</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110条</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消防员灭火防护靴</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60双</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佩戴式防爆照明灯</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55个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消防轻型安全绳</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39</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消防腰斧</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140个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半盔式抢险救援头盔</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85个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阻燃头套</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28个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消防护目镜</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140个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抢险救援服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330套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消防防化服（二级防化服）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17套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重型防化服（一级防化服）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耐高温手套</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10双</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消防防化手套</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4双</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抢险救援手套</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144双</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抢险救援靴</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100双</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化学防护靴</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3双</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正压式消防氧气呼吸器</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8个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消防用荧光棒</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40个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逃生面罩</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52个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救生照明线</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伤员固定抬板</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6个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缓降器</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4个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其他类消防装备器材</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33个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防蜂服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消防员隔热防护服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5套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防静电内衣</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50套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消防通用安全绳</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2套</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消防防坠落辅助部件</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1个</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消防员避火防护服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7</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消防III类安全吊带</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福建总队-泉州支队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消防手套</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100</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防蜂服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一级化学防护服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8</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消防员隔热防护服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5</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防化手套</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10</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防静电内衣</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50</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消防通用安全绳</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200</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消防员避火防护服</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8</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消防III类安全吊带</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3</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消防护目镜</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60</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restart"/>
            <w:tcBorders>
              <w:top w:val="single" w:color="000000" w:sz="4" w:space="0"/>
              <w:bottom w:val="single" w:color="000000" w:sz="4" w:space="0"/>
              <w:right w:val="single" w:color="000000" w:sz="4" w:space="0"/>
            </w:tcBorders>
            <w:vAlign w:val="center"/>
          </w:tcPr>
          <w:p>
            <w:pPr>
              <w:pStyle w:val="24"/>
            </w:pPr>
            <w:r>
              <w:t>2</w:t>
            </w:r>
          </w:p>
        </w:tc>
        <w:tc>
          <w:tcPr>
            <w:tcW w:w="1665" w:type="dxa"/>
            <w:vMerge w:val="restart"/>
            <w:tcBorders>
              <w:top w:val="single" w:color="000000" w:sz="4" w:space="0"/>
              <w:left w:val="single" w:color="000000" w:sz="4" w:space="0"/>
              <w:bottom w:val="single" w:color="000000" w:sz="4" w:space="0"/>
              <w:right w:val="single" w:color="000000" w:sz="4" w:space="0"/>
            </w:tcBorders>
            <w:vAlign w:val="center"/>
          </w:tcPr>
          <w:p>
            <w:pPr>
              <w:pStyle w:val="24"/>
            </w:pPr>
            <w:r>
              <w:t>气体检测装备</w:t>
            </w: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有毒气体探测仪</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bottom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bottom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bottom w:val="single" w:color="000000" w:sz="4" w:space="0"/>
              <w:right w:val="single" w:color="000000" w:sz="4" w:space="0"/>
            </w:tcBorders>
            <w:vAlign w:val="center"/>
          </w:tcPr>
          <w:p>
            <w:pPr>
              <w:pStyle w:val="24"/>
            </w:pPr>
            <w:r>
              <w:t>可燃气体探测仪</w:t>
            </w:r>
          </w:p>
        </w:tc>
        <w:tc>
          <w:tcPr>
            <w:tcW w:w="1550" w:type="dxa"/>
            <w:tcBorders>
              <w:top w:val="single" w:color="000000" w:sz="4" w:space="0"/>
              <w:left w:val="single" w:color="000000" w:sz="4" w:space="0"/>
              <w:bottom w:val="single" w:color="000000" w:sz="4" w:space="0"/>
              <w:right w:val="single" w:color="000000" w:sz="4" w:space="0"/>
            </w:tcBorders>
            <w:vAlign w:val="center"/>
          </w:tcPr>
          <w:p>
            <w:pPr>
              <w:pStyle w:val="24"/>
            </w:pPr>
            <w:r>
              <w:t>1</w:t>
            </w:r>
          </w:p>
        </w:tc>
        <w:tc>
          <w:tcPr>
            <w:tcW w:w="3002" w:type="dxa"/>
            <w:tcBorders>
              <w:top w:val="single" w:color="000000" w:sz="4" w:space="0"/>
              <w:left w:val="single" w:color="000000" w:sz="4" w:space="0"/>
              <w:bottom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bottom w:val="single" w:color="000000" w:sz="4" w:space="0"/>
            </w:tcBorders>
            <w:vAlign w:val="center"/>
          </w:tcPr>
          <w:p>
            <w:pPr>
              <w:pStyle w:val="24"/>
            </w:pPr>
            <w:r>
              <w:t>石化消防特勤大队</w:t>
            </w:r>
          </w:p>
        </w:tc>
      </w:tr>
      <w:tr>
        <w:tblPrEx>
          <w:tblBorders>
            <w:top w:val="single" w:color="auto" w:sz="4" w:space="0"/>
            <w:left w:val="none" w:color="auto" w:sz="0" w:space="0"/>
            <w:bottom w:val="singl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90" w:hRule="atLeast"/>
        </w:trPr>
        <w:tc>
          <w:tcPr>
            <w:tcW w:w="1013" w:type="dxa"/>
            <w:vMerge w:val="continue"/>
            <w:tcBorders>
              <w:top w:val="single" w:color="000000" w:sz="4" w:space="0"/>
              <w:right w:val="single" w:color="000000" w:sz="4" w:space="0"/>
            </w:tcBorders>
            <w:vAlign w:val="center"/>
          </w:tcPr>
          <w:p>
            <w:pPr>
              <w:pStyle w:val="24"/>
            </w:pPr>
          </w:p>
        </w:tc>
        <w:tc>
          <w:tcPr>
            <w:tcW w:w="1665" w:type="dxa"/>
            <w:vMerge w:val="continue"/>
            <w:tcBorders>
              <w:top w:val="single" w:color="000000" w:sz="4" w:space="0"/>
              <w:left w:val="single" w:color="000000" w:sz="4" w:space="0"/>
              <w:right w:val="single" w:color="000000" w:sz="4" w:space="0"/>
            </w:tcBorders>
            <w:vAlign w:val="center"/>
          </w:tcPr>
          <w:p>
            <w:pPr>
              <w:pStyle w:val="24"/>
            </w:pPr>
          </w:p>
        </w:tc>
        <w:tc>
          <w:tcPr>
            <w:tcW w:w="3730" w:type="dxa"/>
            <w:tcBorders>
              <w:top w:val="single" w:color="000000" w:sz="4" w:space="0"/>
              <w:left w:val="single" w:color="000000" w:sz="4" w:space="0"/>
              <w:right w:val="single" w:color="000000" w:sz="4" w:space="0"/>
            </w:tcBorders>
            <w:vAlign w:val="center"/>
          </w:tcPr>
          <w:p>
            <w:pPr>
              <w:pStyle w:val="24"/>
            </w:pPr>
            <w:r>
              <w:t>测温仪</w:t>
            </w:r>
          </w:p>
        </w:tc>
        <w:tc>
          <w:tcPr>
            <w:tcW w:w="1550" w:type="dxa"/>
            <w:tcBorders>
              <w:top w:val="single" w:color="000000" w:sz="4" w:space="0"/>
              <w:left w:val="single" w:color="000000" w:sz="4" w:space="0"/>
              <w:right w:val="single" w:color="000000" w:sz="4" w:space="0"/>
            </w:tcBorders>
            <w:vAlign w:val="center"/>
          </w:tcPr>
          <w:p>
            <w:pPr>
              <w:pStyle w:val="24"/>
            </w:pPr>
            <w:r>
              <w:t>1</w:t>
            </w:r>
          </w:p>
        </w:tc>
        <w:tc>
          <w:tcPr>
            <w:tcW w:w="3002" w:type="dxa"/>
            <w:tcBorders>
              <w:top w:val="single" w:color="000000" w:sz="4" w:space="0"/>
              <w:left w:val="single" w:color="000000" w:sz="4" w:space="0"/>
              <w:right w:val="single" w:color="000000" w:sz="4" w:space="0"/>
            </w:tcBorders>
            <w:vAlign w:val="center"/>
          </w:tcPr>
          <w:p>
            <w:pPr>
              <w:pStyle w:val="24"/>
            </w:pPr>
            <w:r>
              <w:t>石化消防特勤大队</w:t>
            </w:r>
          </w:p>
        </w:tc>
        <w:tc>
          <w:tcPr>
            <w:tcW w:w="3022" w:type="dxa"/>
            <w:tcBorders>
              <w:top w:val="single" w:color="000000" w:sz="4" w:space="0"/>
              <w:left w:val="single" w:color="000000" w:sz="4" w:space="0"/>
            </w:tcBorders>
            <w:vAlign w:val="center"/>
          </w:tcPr>
          <w:p>
            <w:pPr>
              <w:pStyle w:val="24"/>
            </w:pPr>
            <w:r>
              <w:t>石化消防特勤大队</w:t>
            </w:r>
          </w:p>
        </w:tc>
      </w:tr>
    </w:tbl>
    <w:p>
      <w:pPr>
        <w:pStyle w:val="23"/>
        <w:spacing w:after="312" w:afterLines="10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8"/>
        <w:bidi w:val="0"/>
        <w:rPr>
          <w:rFonts w:hint="eastAsia"/>
          <w:lang w:val="en-US" w:eastAsia="zh-CN"/>
        </w:rPr>
      </w:pPr>
      <w:r>
        <w:rPr>
          <w:rFonts w:hint="eastAsia"/>
          <w:lang w:val="en-US" w:eastAsia="zh-CN"/>
        </w:rPr>
        <w:t>4.2.3其他设施</w:t>
      </w:r>
    </w:p>
    <w:p>
      <w:pPr>
        <w:pStyle w:val="19"/>
        <w:bidi w:val="0"/>
        <w:rPr>
          <w:rFonts w:hint="eastAsia"/>
          <w:lang w:val="en-US" w:eastAsia="zh-CN"/>
        </w:rPr>
      </w:pPr>
      <w:r>
        <w:rPr>
          <w:rFonts w:hint="eastAsia"/>
          <w:lang w:val="en-US" w:eastAsia="zh-CN"/>
        </w:rPr>
        <w:t>环评报告书及其批复中要求的“以新带老”改造工程情况：</w:t>
      </w:r>
    </w:p>
    <w:p>
      <w:pPr>
        <w:pStyle w:val="19"/>
        <w:numPr>
          <w:ilvl w:val="0"/>
          <w:numId w:val="0"/>
        </w:numPr>
        <w:bidi w:val="0"/>
        <w:ind w:firstLine="200"/>
        <w:rPr>
          <w:rFonts w:hint="eastAsia"/>
          <w:lang w:val="en-US" w:eastAsia="zh-CN"/>
        </w:rPr>
      </w:pPr>
      <w:r>
        <w:rPr>
          <w:rFonts w:hint="eastAsia"/>
          <w:lang w:val="en-US" w:eastAsia="zh-CN"/>
        </w:rPr>
        <w:t>（1）已根据实际运营储存的货种要求对储罐进行改造，包括新增内浮盘、保温、伴热等设施设备。储罐改造情况见第三章节表3.3.2。</w:t>
      </w:r>
    </w:p>
    <w:p>
      <w:pPr>
        <w:pStyle w:val="19"/>
        <w:numPr>
          <w:ilvl w:val="0"/>
          <w:numId w:val="0"/>
        </w:numPr>
        <w:bidi w:val="0"/>
        <w:ind w:firstLine="200"/>
        <w:rPr>
          <w:rFonts w:hint="eastAsia" w:eastAsia="宋体"/>
          <w:lang w:val="en-US" w:eastAsia="zh-CN"/>
        </w:rPr>
      </w:pPr>
      <w:r>
        <w:rPr>
          <w:rFonts w:hint="eastAsia"/>
          <w:lang w:val="en-US" w:eastAsia="zh-CN"/>
        </w:rPr>
        <w:t>（2）在油气回收装置前端增加联通管线，根据废气种类按油品废气和非水溶性废气分别进入油气回收装置1和废气净化装置2进行处理，</w:t>
      </w:r>
      <w:r>
        <w:rPr>
          <w:rFonts w:hint="eastAsia"/>
        </w:rPr>
        <w:t>油气回收装置回收的冷凝液</w:t>
      </w:r>
      <w:r>
        <w:rPr>
          <w:rFonts w:hint="eastAsia"/>
          <w:lang w:eastAsia="zh-CN"/>
        </w:rPr>
        <w:t>可回收作为次品油外售</w:t>
      </w:r>
      <w:r>
        <w:rPr>
          <w:rFonts w:hint="eastAsia"/>
        </w:rPr>
        <w:t>，减少</w:t>
      </w:r>
      <w:r>
        <w:rPr>
          <w:rFonts w:hint="eastAsia"/>
          <w:lang w:val="en-US" w:eastAsia="zh-CN"/>
        </w:rPr>
        <w:t>了</w:t>
      </w:r>
      <w:r>
        <w:rPr>
          <w:rFonts w:hint="eastAsia"/>
        </w:rPr>
        <w:t>危险废物外运处置量。</w:t>
      </w:r>
      <w:r>
        <w:rPr>
          <w:rFonts w:hint="eastAsia"/>
          <w:lang w:eastAsia="zh-CN"/>
        </w:rPr>
        <w:t>已通过库区仓储项目二期竣工环保验收。</w:t>
      </w:r>
    </w:p>
    <w:tbl>
      <w:tblPr>
        <w:tblStyle w:val="1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11" w:hRule="atLeast"/>
        </w:trPr>
        <w:tc>
          <w:tcPr>
            <w:tcW w:w="4261" w:type="dxa"/>
          </w:tcPr>
          <w:p>
            <w:pPr>
              <w:pStyle w:val="19"/>
              <w:numPr>
                <w:ilvl w:val="0"/>
                <w:numId w:val="0"/>
              </w:numPr>
              <w:bidi w:val="0"/>
              <w:jc w:val="center"/>
              <w:rPr>
                <w:rFonts w:hint="eastAsia" w:eastAsia="宋体"/>
                <w:vertAlign w:val="baseline"/>
                <w:lang w:eastAsia="zh-CN"/>
              </w:rPr>
            </w:pPr>
            <w:r>
              <w:rPr>
                <w:rFonts w:hint="eastAsia"/>
                <w:vertAlign w:val="baseline"/>
                <w:lang w:eastAsia="zh-CN"/>
              </w:rPr>
              <w:drawing>
                <wp:inline distT="0" distB="0" distL="114300" distR="114300">
                  <wp:extent cx="2549525" cy="2404745"/>
                  <wp:effectExtent l="0" t="0" r="3175" b="14605"/>
                  <wp:docPr id="1" name="图片 1" descr="dc49e1c91fa1b5c76733ac74c14a8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c49e1c91fa1b5c76733ac74c14a8cb"/>
                          <pic:cNvPicPr>
                            <a:picLocks noChangeAspect="1"/>
                          </pic:cNvPicPr>
                        </pic:nvPicPr>
                        <pic:blipFill>
                          <a:blip r:embed="rId45"/>
                          <a:stretch>
                            <a:fillRect/>
                          </a:stretch>
                        </pic:blipFill>
                        <pic:spPr>
                          <a:xfrm>
                            <a:off x="0" y="0"/>
                            <a:ext cx="2549525" cy="2404745"/>
                          </a:xfrm>
                          <a:prstGeom prst="rect">
                            <a:avLst/>
                          </a:prstGeom>
                        </pic:spPr>
                      </pic:pic>
                    </a:graphicData>
                  </a:graphic>
                </wp:inline>
              </w:drawing>
            </w:r>
          </w:p>
        </w:tc>
        <w:tc>
          <w:tcPr>
            <w:tcW w:w="4261" w:type="dxa"/>
          </w:tcPr>
          <w:p>
            <w:pPr>
              <w:pStyle w:val="19"/>
              <w:numPr>
                <w:ilvl w:val="0"/>
                <w:numId w:val="0"/>
              </w:numPr>
              <w:bidi w:val="0"/>
              <w:jc w:val="center"/>
              <w:rPr>
                <w:rFonts w:hint="eastAsia" w:eastAsia="宋体"/>
                <w:vertAlign w:val="baseline"/>
                <w:lang w:eastAsia="zh-CN"/>
              </w:rPr>
            </w:pPr>
            <w:r>
              <w:rPr>
                <w:rFonts w:hint="eastAsia"/>
                <w:vertAlign w:val="baseline"/>
                <w:lang w:eastAsia="zh-CN"/>
              </w:rPr>
              <w:drawing>
                <wp:inline distT="0" distB="0" distL="114300" distR="114300">
                  <wp:extent cx="2549525" cy="2442845"/>
                  <wp:effectExtent l="0" t="0" r="3175" b="14605"/>
                  <wp:docPr id="4" name="图片 4" descr="62df3f319f0d37bbf18b0729af468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2df3f319f0d37bbf18b0729af468ae"/>
                          <pic:cNvPicPr>
                            <a:picLocks noChangeAspect="1"/>
                          </pic:cNvPicPr>
                        </pic:nvPicPr>
                        <pic:blipFill>
                          <a:blip r:embed="rId46"/>
                          <a:stretch>
                            <a:fillRect/>
                          </a:stretch>
                        </pic:blipFill>
                        <pic:spPr>
                          <a:xfrm>
                            <a:off x="0" y="0"/>
                            <a:ext cx="2549525" cy="2442845"/>
                          </a:xfrm>
                          <a:prstGeom prst="rect">
                            <a:avLst/>
                          </a:prstGeom>
                        </pic:spPr>
                      </pic:pic>
                    </a:graphicData>
                  </a:graphic>
                </wp:inline>
              </w:drawing>
            </w:r>
          </w:p>
        </w:tc>
      </w:tr>
    </w:tbl>
    <w:p>
      <w:pPr>
        <w:pStyle w:val="23"/>
        <w:bidi w:val="0"/>
        <w:rPr>
          <w:rFonts w:hint="default"/>
          <w:lang w:val="en-US" w:eastAsia="zh-CN"/>
        </w:rPr>
      </w:pPr>
      <w:r>
        <w:rPr>
          <w:rFonts w:hint="eastAsia"/>
          <w:lang w:val="en-US" w:eastAsia="zh-CN"/>
        </w:rPr>
        <w:t>图4.2-5 油气回收装置前端增设联通管线</w:t>
      </w:r>
    </w:p>
    <w:p>
      <w:pPr>
        <w:pStyle w:val="17"/>
        <w:spacing w:before="156" w:beforeLines="50"/>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bidi w:val="0"/>
        <w:rPr>
          <w:rFonts w:hint="eastAsia"/>
          <w:lang w:eastAsia="zh-CN"/>
        </w:rPr>
      </w:pPr>
      <w:r>
        <w:rPr>
          <w:rFonts w:hint="eastAsia"/>
          <w:lang w:eastAsia="zh-CN"/>
        </w:rPr>
        <w:t>表</w:t>
      </w:r>
      <w:r>
        <w:rPr>
          <w:rFonts w:hint="eastAsia"/>
          <w:lang w:val="en-US" w:eastAsia="zh-CN"/>
        </w:rPr>
        <w:t xml:space="preserve">4.2.3 </w:t>
      </w:r>
      <w:r>
        <w:rPr>
          <w:rFonts w:hint="eastAsia"/>
          <w:lang w:eastAsia="zh-CN"/>
        </w:rPr>
        <w:t>项目环保设施一览表</w:t>
      </w:r>
    </w:p>
    <w:tbl>
      <w:tblPr>
        <w:tblStyle w:val="14"/>
        <w:tblW w:w="14163"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1402"/>
        <w:gridCol w:w="8882"/>
        <w:gridCol w:w="28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2479" w:type="dxa"/>
            <w:gridSpan w:val="2"/>
            <w:shd w:val="clear" w:color="auto" w:fill="auto"/>
            <w:vAlign w:val="center"/>
          </w:tcPr>
          <w:p>
            <w:pPr>
              <w:pStyle w:val="24"/>
              <w:bidi w:val="0"/>
              <w:jc w:val="center"/>
              <w:rPr>
                <w:rFonts w:hint="eastAsia" w:eastAsia="宋体"/>
                <w:lang w:val="en-US" w:eastAsia="zh-CN"/>
              </w:rPr>
            </w:pPr>
            <w:r>
              <w:rPr>
                <w:rFonts w:hint="eastAsia"/>
                <w:lang w:val="en-US" w:eastAsia="zh-CN"/>
              </w:rPr>
              <w:t>环保设施</w:t>
            </w:r>
          </w:p>
        </w:tc>
        <w:tc>
          <w:tcPr>
            <w:tcW w:w="8882" w:type="dxa"/>
            <w:shd w:val="clear" w:color="auto" w:fill="auto"/>
            <w:vAlign w:val="center"/>
          </w:tcPr>
          <w:p>
            <w:pPr>
              <w:pStyle w:val="24"/>
              <w:bidi w:val="0"/>
              <w:jc w:val="center"/>
              <w:rPr>
                <w:rFonts w:hint="default" w:eastAsia="宋体"/>
                <w:lang w:val="en-US" w:eastAsia="zh-CN"/>
              </w:rPr>
            </w:pPr>
            <w:r>
              <w:rPr>
                <w:rFonts w:hint="eastAsia"/>
                <w:lang w:val="en-US" w:eastAsia="zh-CN"/>
              </w:rPr>
              <w:t>建设情况</w:t>
            </w:r>
          </w:p>
        </w:tc>
        <w:tc>
          <w:tcPr>
            <w:tcW w:w="2802" w:type="dxa"/>
            <w:shd w:val="clear" w:color="auto" w:fill="auto"/>
            <w:vAlign w:val="center"/>
          </w:tcPr>
          <w:p>
            <w:pPr>
              <w:pStyle w:val="24"/>
              <w:bidi w:val="0"/>
              <w:jc w:val="center"/>
              <w:rPr>
                <w:rFonts w:hint="eastAsia" w:eastAsia="宋体"/>
                <w:lang w:val="en-US" w:eastAsia="zh-CN"/>
              </w:rPr>
            </w:pPr>
            <w:r>
              <w:rPr>
                <w:rFonts w:hint="eastAsia"/>
                <w:lang w:val="en-US"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restart"/>
            <w:shd w:val="clear" w:color="auto" w:fill="auto"/>
            <w:vAlign w:val="center"/>
          </w:tcPr>
          <w:p>
            <w:pPr>
              <w:pStyle w:val="24"/>
              <w:bidi w:val="0"/>
              <w:jc w:val="center"/>
              <w:rPr>
                <w:lang w:val="en-US"/>
              </w:rPr>
            </w:pPr>
            <w:r>
              <w:rPr>
                <w:rFonts w:hint="eastAsia"/>
                <w:lang w:val="en-US"/>
              </w:rPr>
              <w:t>1</w:t>
            </w:r>
          </w:p>
        </w:tc>
        <w:tc>
          <w:tcPr>
            <w:tcW w:w="1402" w:type="dxa"/>
            <w:vMerge w:val="restart"/>
            <w:shd w:val="clear" w:color="auto" w:fill="auto"/>
            <w:vAlign w:val="center"/>
          </w:tcPr>
          <w:p>
            <w:pPr>
              <w:pStyle w:val="24"/>
              <w:bidi w:val="0"/>
              <w:jc w:val="center"/>
              <w:rPr>
                <w:lang w:val="en-US"/>
              </w:rPr>
            </w:pPr>
            <w:r>
              <w:rPr>
                <w:rFonts w:hint="eastAsia"/>
                <w:lang w:val="en-US"/>
              </w:rPr>
              <w:t>废水</w:t>
            </w:r>
          </w:p>
        </w:tc>
        <w:tc>
          <w:tcPr>
            <w:tcW w:w="8882" w:type="dxa"/>
            <w:shd w:val="clear" w:color="auto" w:fill="auto"/>
            <w:vAlign w:val="center"/>
          </w:tcPr>
          <w:p>
            <w:pPr>
              <w:pStyle w:val="24"/>
              <w:bidi w:val="0"/>
              <w:jc w:val="center"/>
              <w:rPr>
                <w:lang w:val="en-US"/>
              </w:rPr>
            </w:pPr>
            <w:r>
              <w:rPr>
                <w:rFonts w:hint="eastAsia"/>
                <w:lang w:val="en-US"/>
              </w:rPr>
              <w:t>厂区建设了分质分流的废水收集系统，实现雨污、污污分流。</w:t>
            </w:r>
          </w:p>
        </w:tc>
        <w:tc>
          <w:tcPr>
            <w:tcW w:w="2802" w:type="dxa"/>
            <w:shd w:val="clear" w:color="auto" w:fill="auto"/>
            <w:vAlign w:val="center"/>
          </w:tcPr>
          <w:p>
            <w:pPr>
              <w:pStyle w:val="24"/>
              <w:bidi w:val="0"/>
              <w:jc w:val="center"/>
              <w:rPr>
                <w:rFonts w:hint="eastAsia" w:eastAsia="宋体"/>
                <w:lang w:val="en-US" w:eastAsia="zh-CN"/>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rFonts w:hint="eastAsia"/>
                <w:lang w:val="en-US"/>
              </w:rPr>
            </w:pPr>
            <w:r>
              <w:rPr>
                <w:rFonts w:hint="eastAsia"/>
                <w:lang w:val="en-US"/>
              </w:rPr>
              <w:t>码头设置3个57m</w:t>
            </w:r>
            <w:r>
              <w:rPr>
                <w:rFonts w:hint="eastAsia"/>
                <w:vertAlign w:val="superscript"/>
                <w:lang w:val="en-US"/>
              </w:rPr>
              <w:t>3</w:t>
            </w:r>
            <w:r>
              <w:rPr>
                <w:rFonts w:hint="eastAsia"/>
                <w:lang w:val="en-US"/>
              </w:rPr>
              <w:t>的集污池</w:t>
            </w:r>
            <w:r>
              <w:rPr>
                <w:rFonts w:hint="eastAsia"/>
                <w:lang w:val="en-US" w:eastAsia="zh-CN"/>
              </w:rPr>
              <w:t>；</w:t>
            </w:r>
            <w:r>
              <w:rPr>
                <w:rFonts w:hint="eastAsia"/>
                <w:lang w:val="en-US"/>
              </w:rPr>
              <w:t>污水收集处理</w:t>
            </w:r>
            <w:r>
              <w:rPr>
                <w:rFonts w:hint="eastAsia"/>
                <w:lang w:val="en-US" w:eastAsia="zh-Hans"/>
              </w:rPr>
              <w:t>设置</w:t>
            </w:r>
            <w:r>
              <w:rPr>
                <w:rFonts w:hint="eastAsia"/>
                <w:lang w:val="en-US"/>
              </w:rPr>
              <w:t>600m</w:t>
            </w:r>
            <w:r>
              <w:rPr>
                <w:rFonts w:hint="eastAsia"/>
                <w:vertAlign w:val="superscript"/>
                <w:lang w:val="en-US"/>
              </w:rPr>
              <w:t>3</w:t>
            </w:r>
            <w:r>
              <w:rPr>
                <w:rFonts w:hint="eastAsia"/>
                <w:lang w:val="en-US"/>
              </w:rPr>
              <w:t>含油污水池、800m</w:t>
            </w:r>
            <w:r>
              <w:rPr>
                <w:rFonts w:hint="eastAsia"/>
                <w:vertAlign w:val="superscript"/>
                <w:lang w:val="en-US"/>
              </w:rPr>
              <w:t>3</w:t>
            </w:r>
            <w:r>
              <w:rPr>
                <w:rFonts w:hint="eastAsia"/>
                <w:lang w:val="en-US"/>
              </w:rPr>
              <w:t>化工品废水调节池</w:t>
            </w:r>
            <w:r>
              <w:rPr>
                <w:rFonts w:hint="default"/>
                <w:lang w:val="en-US"/>
              </w:rPr>
              <w:t>、</w:t>
            </w:r>
            <w:r>
              <w:rPr>
                <w:rFonts w:hint="eastAsia"/>
                <w:lang w:val="en-US" w:eastAsia="zh-CN"/>
              </w:rPr>
              <w:t>合计</w:t>
            </w:r>
            <w:r>
              <w:rPr>
                <w:rFonts w:hint="default"/>
                <w:lang w:val="en-US"/>
              </w:rPr>
              <w:t>65</w:t>
            </w:r>
            <w:r>
              <w:rPr>
                <w:lang w:val="en-US"/>
              </w:rPr>
              <w:t>m</w:t>
            </w:r>
            <w:r>
              <w:rPr>
                <w:vertAlign w:val="superscript"/>
                <w:lang w:val="en-US"/>
              </w:rPr>
              <w:t>3</w:t>
            </w:r>
            <w:r>
              <w:rPr>
                <w:lang w:val="en-US"/>
              </w:rPr>
              <w:t>生活污水集水池</w:t>
            </w:r>
            <w:r>
              <w:rPr>
                <w:rFonts w:hint="eastAsia"/>
                <w:lang w:val="en-US"/>
              </w:rPr>
              <w:t>及360t/d污水处理站。</w:t>
            </w:r>
          </w:p>
        </w:tc>
        <w:tc>
          <w:tcPr>
            <w:tcW w:w="2802" w:type="dxa"/>
            <w:shd w:val="clear" w:color="auto" w:fill="auto"/>
            <w:vAlign w:val="center"/>
          </w:tcPr>
          <w:p>
            <w:pPr>
              <w:pStyle w:val="24"/>
              <w:bidi w:val="0"/>
              <w:jc w:val="center"/>
              <w:rPr>
                <w:rFonts w:hint="eastAsia"/>
                <w:lang w:val="en-US" w:eastAsia="zh-Hans"/>
              </w:rPr>
            </w:pPr>
            <w:r>
              <w:rPr>
                <w:rFonts w:hint="eastAsia"/>
                <w:lang w:val="en-US" w:eastAsia="zh-Hans"/>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lang w:val="en-US"/>
              </w:rPr>
            </w:pPr>
            <w:r>
              <w:rPr>
                <w:lang w:val="en-US" w:eastAsia="zh-Hans"/>
              </w:rPr>
              <w:t>污水</w:t>
            </w:r>
            <w:r>
              <w:rPr>
                <w:lang w:val="en-US"/>
              </w:rPr>
              <w:t>处理工艺为“分类预处理+生化处理+过滤处理”，规模360t/d，含油废水经隔油后、含化学品废水经fenton处理后汇入化学除油沉淀池，再经气浮预处理后生化处理，生化</w:t>
            </w:r>
            <w:r>
              <w:rPr>
                <w:lang w:val="en-US" w:eastAsia="zh-Hans"/>
              </w:rPr>
              <w:t>单元采用“水解酸化+3段接触氧化”工艺，</w:t>
            </w:r>
            <w:r>
              <w:rPr>
                <w:lang w:val="en-US"/>
              </w:rPr>
              <w:t>生化</w:t>
            </w:r>
            <w:r>
              <w:rPr>
                <w:lang w:val="en-US" w:eastAsia="zh-Hans"/>
              </w:rPr>
              <w:t>出水</w:t>
            </w:r>
            <w:r>
              <w:rPr>
                <w:lang w:val="en-US"/>
              </w:rPr>
              <w:t>后设置果壳过滤。本项目废水预处理Fenton装置规模10m3/h、化学除油分离器规模20m</w:t>
            </w:r>
            <w:r>
              <w:rPr>
                <w:vertAlign w:val="superscript"/>
                <w:lang w:val="en-US"/>
              </w:rPr>
              <w:t>3</w:t>
            </w:r>
            <w:r>
              <w:rPr>
                <w:lang w:val="en-US"/>
              </w:rPr>
              <w:t>/h、高效气浮装置规模20m</w:t>
            </w:r>
            <w:r>
              <w:rPr>
                <w:vertAlign w:val="superscript"/>
                <w:lang w:val="en-US"/>
              </w:rPr>
              <w:t>3</w:t>
            </w:r>
            <w:r>
              <w:rPr>
                <w:lang w:val="en-US"/>
              </w:rPr>
              <w:t>/h，后续生化及深度处理装置规模15m3/h。</w:t>
            </w:r>
          </w:p>
        </w:tc>
        <w:tc>
          <w:tcPr>
            <w:tcW w:w="2802" w:type="dxa"/>
            <w:shd w:val="clear" w:color="auto" w:fill="auto"/>
            <w:vAlign w:val="center"/>
          </w:tcPr>
          <w:p>
            <w:pPr>
              <w:pStyle w:val="24"/>
              <w:bidi w:val="0"/>
              <w:jc w:val="center"/>
              <w:rPr>
                <w:lang w:val="en-US" w:eastAsia="zh-Hans"/>
              </w:rPr>
            </w:pPr>
            <w:r>
              <w:rPr>
                <w:rFonts w:hint="eastAsia"/>
                <w:lang w:val="en-US" w:eastAsia="zh-Hans"/>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rFonts w:hint="default"/>
                <w:lang w:val="en-US" w:eastAsia="zh-CN"/>
              </w:rPr>
            </w:pPr>
            <w:r>
              <w:rPr>
                <w:rFonts w:hint="eastAsia"/>
                <w:lang w:val="en-US"/>
              </w:rPr>
              <w:t>设置初期雨水池</w:t>
            </w:r>
            <w:r>
              <w:rPr>
                <w:rFonts w:hint="default"/>
                <w:lang w:val="en-US"/>
              </w:rPr>
              <w:t>6</w:t>
            </w:r>
            <w:r>
              <w:rPr>
                <w:rFonts w:hint="eastAsia"/>
                <w:lang w:val="en-US"/>
              </w:rPr>
              <w:t>座，有效容积共</w:t>
            </w:r>
            <w:r>
              <w:rPr>
                <w:rFonts w:hint="default"/>
                <w:lang w:val="en-US"/>
              </w:rPr>
              <w:t>1882.6</w:t>
            </w:r>
            <w:r>
              <w:rPr>
                <w:rFonts w:hint="eastAsia"/>
                <w:lang w:val="en-US"/>
              </w:rPr>
              <w:t>m</w:t>
            </w:r>
            <w:r>
              <w:rPr>
                <w:rFonts w:hint="eastAsia"/>
                <w:vertAlign w:val="superscript"/>
                <w:lang w:val="en-US"/>
              </w:rPr>
              <w:t>3</w:t>
            </w:r>
            <w:r>
              <w:rPr>
                <w:lang w:val="en-US"/>
              </w:rPr>
              <w:t>，</w:t>
            </w:r>
            <w:r>
              <w:rPr>
                <w:rFonts w:hint="eastAsia"/>
                <w:lang w:val="en-US" w:eastAsia="zh-Hans"/>
              </w:rPr>
              <w:t>并铺设联通管道</w:t>
            </w:r>
            <w:r>
              <w:rPr>
                <w:rFonts w:hint="default"/>
                <w:lang w:val="en-US" w:eastAsia="zh-Hans"/>
              </w:rPr>
              <w:t>，</w:t>
            </w:r>
            <w:r>
              <w:rPr>
                <w:rFonts w:hint="eastAsia"/>
                <w:lang w:val="en-US" w:eastAsia="zh-Hans"/>
              </w:rPr>
              <w:t>依托化学品调节池富余容积作为初期雨水池容积的补充</w:t>
            </w:r>
            <w:r>
              <w:rPr>
                <w:lang w:val="en-US" w:eastAsia="zh-Hans"/>
              </w:rPr>
              <w:t>。</w:t>
            </w:r>
          </w:p>
        </w:tc>
        <w:tc>
          <w:tcPr>
            <w:tcW w:w="2802" w:type="dxa"/>
            <w:shd w:val="clear" w:color="auto" w:fill="auto"/>
            <w:vAlign w:val="center"/>
          </w:tcPr>
          <w:p>
            <w:pPr>
              <w:pStyle w:val="24"/>
              <w:bidi w:val="0"/>
              <w:jc w:val="center"/>
              <w:rPr>
                <w:rFonts w:hint="default"/>
                <w:lang w:val="en-US" w:eastAsia="zh-CN"/>
              </w:rPr>
            </w:pPr>
            <w:r>
              <w:rPr>
                <w:rFonts w:hint="default"/>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rFonts w:hint="eastAsia"/>
                <w:lang w:val="en-US" w:eastAsia="zh-CN"/>
              </w:rPr>
            </w:pPr>
            <w:r>
              <w:rPr>
                <w:lang w:val="en-US"/>
              </w:rPr>
              <w:t>污水处理站排口已规范化建设并设置在线监控，监控流量、浊度</w:t>
            </w:r>
            <w:r>
              <w:rPr>
                <w:rFonts w:hint="eastAsia"/>
                <w:lang w:val="en-US" w:eastAsia="zh-CN"/>
              </w:rPr>
              <w:t>、</w:t>
            </w:r>
            <w:r>
              <w:rPr>
                <w:lang w:val="en-US"/>
              </w:rPr>
              <w:t>COD、氨氮、</w:t>
            </w:r>
            <w:r>
              <w:rPr>
                <w:rFonts w:hint="eastAsia"/>
                <w:lang w:val="en-US" w:eastAsia="zh-Hans"/>
              </w:rPr>
              <w:t>pH</w:t>
            </w:r>
            <w:r>
              <w:rPr>
                <w:lang w:val="en-US"/>
              </w:rPr>
              <w:t>数据。</w:t>
            </w:r>
          </w:p>
        </w:tc>
        <w:tc>
          <w:tcPr>
            <w:tcW w:w="2802" w:type="dxa"/>
            <w:shd w:val="clear" w:color="auto" w:fill="auto"/>
            <w:vAlign w:val="center"/>
          </w:tcPr>
          <w:p>
            <w:pPr>
              <w:pStyle w:val="24"/>
              <w:bidi w:val="0"/>
              <w:jc w:val="center"/>
              <w:rPr>
                <w:rFonts w:hint="eastAsia"/>
                <w:lang w:val="en-US" w:eastAsia="zh-Hans"/>
              </w:rPr>
            </w:pPr>
            <w:r>
              <w:rPr>
                <w:rFonts w:hint="eastAsia"/>
                <w:lang w:val="en-US" w:eastAsia="zh-Hans"/>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rFonts w:hint="eastAsia"/>
                <w:lang w:val="en-US" w:eastAsia="zh-CN"/>
              </w:rPr>
            </w:pPr>
            <w:r>
              <w:rPr>
                <w:lang w:val="en-US"/>
              </w:rPr>
              <w:t>本项目排海管道沿引桥铺设，排放口位置设于栈桥与码头平台结合处，并潜入低潮位线以下1m。</w:t>
            </w:r>
          </w:p>
        </w:tc>
        <w:tc>
          <w:tcPr>
            <w:tcW w:w="2802" w:type="dxa"/>
            <w:shd w:val="clear" w:color="auto" w:fill="auto"/>
            <w:vAlign w:val="center"/>
          </w:tcPr>
          <w:p>
            <w:pPr>
              <w:pStyle w:val="24"/>
              <w:bidi w:val="0"/>
              <w:jc w:val="center"/>
              <w:rPr>
                <w:rFonts w:hint="eastAsia"/>
                <w:lang w:val="en-US" w:eastAsia="zh-Hans"/>
              </w:rPr>
            </w:pPr>
            <w:r>
              <w:rPr>
                <w:rFonts w:hint="eastAsia"/>
                <w:lang w:val="en-US" w:eastAsia="zh-Hans"/>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restart"/>
            <w:shd w:val="clear" w:color="auto" w:fill="auto"/>
            <w:vAlign w:val="center"/>
          </w:tcPr>
          <w:p>
            <w:pPr>
              <w:pStyle w:val="24"/>
              <w:bidi w:val="0"/>
              <w:jc w:val="center"/>
              <w:rPr>
                <w:lang w:val="en-US"/>
              </w:rPr>
            </w:pPr>
            <w:r>
              <w:rPr>
                <w:rFonts w:hint="eastAsia"/>
                <w:lang w:val="en-US"/>
              </w:rPr>
              <w:t>2</w:t>
            </w:r>
          </w:p>
        </w:tc>
        <w:tc>
          <w:tcPr>
            <w:tcW w:w="1402" w:type="dxa"/>
            <w:vMerge w:val="restart"/>
            <w:shd w:val="clear" w:color="auto" w:fill="auto"/>
            <w:vAlign w:val="center"/>
          </w:tcPr>
          <w:p>
            <w:pPr>
              <w:pStyle w:val="24"/>
              <w:bidi w:val="0"/>
              <w:jc w:val="center"/>
              <w:rPr>
                <w:lang w:val="en-US"/>
              </w:rPr>
            </w:pPr>
            <w:r>
              <w:rPr>
                <w:rFonts w:hint="eastAsia"/>
                <w:lang w:val="en-US"/>
              </w:rPr>
              <w:t>废气</w:t>
            </w:r>
          </w:p>
        </w:tc>
        <w:tc>
          <w:tcPr>
            <w:tcW w:w="8882" w:type="dxa"/>
            <w:shd w:val="clear" w:color="auto" w:fill="auto"/>
            <w:vAlign w:val="center"/>
          </w:tcPr>
          <w:p>
            <w:pPr>
              <w:pStyle w:val="24"/>
              <w:bidi w:val="0"/>
              <w:jc w:val="center"/>
              <w:rPr>
                <w:rFonts w:hint="eastAsia"/>
                <w:lang w:val="en-US"/>
              </w:rPr>
            </w:pPr>
            <w:r>
              <w:rPr>
                <w:rFonts w:hint="eastAsia"/>
                <w:lang w:val="en-US"/>
              </w:rPr>
              <w:t>①有机废气固定顶罐和内浮顶储罐都设置了氮气密封保护系统，罐顶设氮封阀（自力式调节阀）和带接管的呼吸阀，可自动补气和密闭回收罐内排出的废气去废气处理装置处理。</w:t>
            </w:r>
          </w:p>
          <w:p>
            <w:pPr>
              <w:pStyle w:val="24"/>
              <w:bidi w:val="0"/>
              <w:jc w:val="center"/>
              <w:rPr>
                <w:rFonts w:hint="eastAsia"/>
                <w:lang w:val="en-US"/>
              </w:rPr>
            </w:pPr>
            <w:r>
              <w:rPr>
                <w:rFonts w:hint="eastAsia"/>
                <w:lang w:val="en-US"/>
              </w:rPr>
              <w:t>②装车鹤管选用撬装式密闭装车鹤管成套设备，并带有气相回收管，气相回收气体去废气处理装置处理。</w:t>
            </w:r>
          </w:p>
          <w:p>
            <w:pPr>
              <w:pStyle w:val="24"/>
              <w:bidi w:val="0"/>
              <w:jc w:val="center"/>
              <w:rPr>
                <w:rFonts w:hint="eastAsia"/>
                <w:lang w:val="en-US" w:eastAsia="zh-CN"/>
              </w:rPr>
            </w:pPr>
            <w:r>
              <w:rPr>
                <w:rFonts w:hint="eastAsia"/>
                <w:lang w:val="en-US"/>
              </w:rPr>
              <w:t>③储存三苯、挥发性大、毒性高物料的大小呼吸废气和装卸废气均接至废气处理装置处理；其中油品废气经收集后采用油气回收装置1处理后15m高排气筒(D</w:t>
            </w:r>
            <w:r>
              <w:rPr>
                <w:lang w:val="en-US"/>
              </w:rPr>
              <w:t>A001</w:t>
            </w:r>
            <w:r>
              <w:rPr>
                <w:rFonts w:hint="eastAsia"/>
                <w:lang w:val="en-US"/>
              </w:rPr>
              <w:t>)排放；水溶性的化工品废气经收集后采用水喷淋装置处理15m高排气筒(D</w:t>
            </w:r>
            <w:r>
              <w:rPr>
                <w:lang w:val="en-US"/>
              </w:rPr>
              <w:t>A002</w:t>
            </w:r>
            <w:r>
              <w:rPr>
                <w:rFonts w:hint="eastAsia"/>
                <w:lang w:val="en-US"/>
              </w:rPr>
              <w:t>)排放；非水溶性化工品废气经收集后采用废气净化装置2处理后15m高排气筒(D</w:t>
            </w:r>
            <w:r>
              <w:rPr>
                <w:lang w:val="en-US"/>
              </w:rPr>
              <w:t>A004</w:t>
            </w:r>
            <w:r>
              <w:rPr>
                <w:rFonts w:hint="eastAsia"/>
                <w:lang w:val="en-US"/>
              </w:rPr>
              <w:t>)排放</w:t>
            </w:r>
            <w:r>
              <w:rPr>
                <w:rFonts w:hint="eastAsia"/>
                <w:lang w:val="en-US" w:eastAsia="zh-CN"/>
              </w:rPr>
              <w:t>。</w:t>
            </w:r>
          </w:p>
        </w:tc>
        <w:tc>
          <w:tcPr>
            <w:tcW w:w="2802" w:type="dxa"/>
            <w:shd w:val="clear" w:color="auto" w:fill="auto"/>
            <w:vAlign w:val="center"/>
          </w:tcPr>
          <w:p>
            <w:pPr>
              <w:pStyle w:val="24"/>
              <w:bidi w:val="0"/>
              <w:jc w:val="center"/>
              <w:rPr>
                <w:rFonts w:hint="eastAsia" w:eastAsia="宋体"/>
                <w:lang w:val="en-US" w:eastAsia="zh-CN"/>
              </w:rPr>
            </w:pPr>
            <w:r>
              <w:rPr>
                <w:rFonts w:hint="eastAsia"/>
                <w:lang w:val="en-US" w:eastAsia="zh-CN"/>
              </w:rPr>
              <w:t>部分依托现有。按照储存货种，对部分储罐进行改造，增设内浮盘、保温、伴热等设施；在油气回收装置前端增加联通管线，根据废气种类按油品废气和非水溶性废气分别进入油气回收装置和废气净化装置进行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lang w:val="en-US"/>
              </w:rPr>
            </w:pPr>
            <w:r>
              <w:rPr>
                <w:rFonts w:hint="eastAsia"/>
                <w:lang w:val="en-US" w:eastAsia="zh-CN"/>
              </w:rPr>
              <w:t>污水站调节池、厌氧池等采取加盖封闭措施，</w:t>
            </w:r>
            <w:r>
              <w:rPr>
                <w:rFonts w:hint="eastAsia"/>
                <w:lang w:val="en-US"/>
              </w:rPr>
              <w:t>污水站废气和危废间抽排废气</w:t>
            </w:r>
            <w:r>
              <w:rPr>
                <w:rFonts w:hint="eastAsia"/>
                <w:lang w:val="en-US" w:eastAsia="zh-Hans"/>
              </w:rPr>
              <w:t>采用</w:t>
            </w:r>
            <w:r>
              <w:rPr>
                <w:rFonts w:hint="eastAsia"/>
                <w:lang w:val="en-US"/>
              </w:rPr>
              <w:t>碱液喷淋+活性炭吸收系统处理</w:t>
            </w:r>
            <w:r>
              <w:rPr>
                <w:rFonts w:hint="eastAsia"/>
                <w:lang w:val="en-US" w:eastAsia="zh-CN"/>
              </w:rPr>
              <w:t>后排气筒（DA003）排放</w:t>
            </w:r>
            <w:r>
              <w:rPr>
                <w:rFonts w:hint="eastAsia"/>
                <w:lang w:val="en-US"/>
              </w:rPr>
              <w:t>。</w:t>
            </w:r>
          </w:p>
        </w:tc>
        <w:tc>
          <w:tcPr>
            <w:tcW w:w="2802" w:type="dxa"/>
            <w:shd w:val="clear" w:color="auto" w:fill="auto"/>
            <w:vAlign w:val="center"/>
          </w:tcPr>
          <w:p>
            <w:pPr>
              <w:pStyle w:val="24"/>
              <w:bidi w:val="0"/>
              <w:jc w:val="center"/>
              <w:rPr>
                <w:rFonts w:hint="eastAsia"/>
                <w:lang w:val="en-US" w:eastAsia="zh-CN"/>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rFonts w:hint="default"/>
                <w:lang w:val="en-US" w:eastAsia="zh-CN"/>
              </w:rPr>
            </w:pPr>
            <w:r>
              <w:rPr>
                <w:rFonts w:hint="eastAsia"/>
                <w:lang w:val="en-US"/>
              </w:rPr>
              <w:t>已</w:t>
            </w:r>
            <w:r>
              <w:rPr>
                <w:rFonts w:hint="eastAsia"/>
                <w:lang w:val="en-US" w:eastAsia="zh-CN"/>
              </w:rPr>
              <w:t>委托福建绿佳检测技术有限公司</w:t>
            </w:r>
            <w:r>
              <w:rPr>
                <w:rFonts w:hint="eastAsia"/>
                <w:lang w:val="en-US" w:eastAsia="zh-Hans"/>
              </w:rPr>
              <w:t>于</w:t>
            </w:r>
            <w:r>
              <w:rPr>
                <w:rFonts w:hint="default"/>
                <w:lang w:val="en-US" w:eastAsia="zh-Hans"/>
              </w:rPr>
              <w:t>2022</w:t>
            </w:r>
            <w:r>
              <w:rPr>
                <w:rFonts w:hint="eastAsia"/>
                <w:lang w:val="en-US" w:eastAsia="zh-Hans"/>
              </w:rPr>
              <w:t>年</w:t>
            </w:r>
            <w:r>
              <w:rPr>
                <w:rFonts w:hint="default"/>
                <w:lang w:val="en-US" w:eastAsia="zh-Hans"/>
              </w:rPr>
              <w:t>9</w:t>
            </w:r>
            <w:r>
              <w:rPr>
                <w:rFonts w:hint="eastAsia"/>
                <w:lang w:val="en-US" w:eastAsia="zh-Hans"/>
              </w:rPr>
              <w:t>月</w:t>
            </w:r>
            <w:r>
              <w:rPr>
                <w:rFonts w:hint="eastAsia"/>
                <w:lang w:val="en-US"/>
              </w:rPr>
              <w:t>开展泄漏检测与修复工作（LDAR）。</w:t>
            </w:r>
            <w:r>
              <w:rPr>
                <w:rFonts w:hint="eastAsia"/>
                <w:lang w:val="en-US" w:eastAsia="zh-CN"/>
              </w:rPr>
              <w:t>港丰公司日常对设备与管线组件进行定期巡查，及时维护保养。</w:t>
            </w:r>
          </w:p>
        </w:tc>
        <w:tc>
          <w:tcPr>
            <w:tcW w:w="2802" w:type="dxa"/>
            <w:shd w:val="clear" w:color="auto" w:fill="auto"/>
            <w:vAlign w:val="center"/>
          </w:tcPr>
          <w:p>
            <w:pPr>
              <w:pStyle w:val="24"/>
              <w:bidi w:val="0"/>
              <w:jc w:val="center"/>
              <w:rPr>
                <w:lang w:val="en-US"/>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rFonts w:hint="eastAsia"/>
                <w:lang w:val="en-US" w:eastAsia="zh-CN"/>
              </w:rPr>
            </w:pPr>
            <w:r>
              <w:rPr>
                <w:rFonts w:hint="eastAsia"/>
                <w:lang w:val="en-US" w:eastAsia="zh-CN"/>
              </w:rPr>
              <w:t>暂未建设燃油锅炉</w:t>
            </w:r>
          </w:p>
        </w:tc>
        <w:tc>
          <w:tcPr>
            <w:tcW w:w="2802" w:type="dxa"/>
            <w:shd w:val="clear" w:color="auto" w:fill="auto"/>
            <w:vAlign w:val="center"/>
          </w:tcPr>
          <w:p>
            <w:pPr>
              <w:pStyle w:val="24"/>
              <w:bidi w:val="0"/>
              <w:jc w:val="center"/>
              <w:rPr>
                <w:rFonts w:hint="eastAsia"/>
                <w:lang w:val="en-US" w:eastAsia="zh-CN"/>
              </w:rPr>
            </w:pPr>
            <w:r>
              <w:rPr>
                <w:rFonts w:hint="eastAsia"/>
                <w:lang w:val="en-US" w:eastAsia="zh-CN"/>
              </w:rPr>
              <w:t>未建设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shd w:val="clear" w:color="auto" w:fill="auto"/>
            <w:vAlign w:val="center"/>
          </w:tcPr>
          <w:p>
            <w:pPr>
              <w:pStyle w:val="24"/>
              <w:bidi w:val="0"/>
              <w:jc w:val="center"/>
              <w:rPr>
                <w:lang w:val="en-US"/>
              </w:rPr>
            </w:pPr>
            <w:r>
              <w:rPr>
                <w:rFonts w:hint="eastAsia"/>
                <w:lang w:val="en-US"/>
              </w:rPr>
              <w:t>3</w:t>
            </w:r>
          </w:p>
        </w:tc>
        <w:tc>
          <w:tcPr>
            <w:tcW w:w="1402" w:type="dxa"/>
            <w:shd w:val="clear" w:color="auto" w:fill="auto"/>
            <w:vAlign w:val="center"/>
          </w:tcPr>
          <w:p>
            <w:pPr>
              <w:pStyle w:val="24"/>
              <w:bidi w:val="0"/>
              <w:jc w:val="center"/>
              <w:rPr>
                <w:lang w:val="en-US"/>
              </w:rPr>
            </w:pPr>
            <w:r>
              <w:rPr>
                <w:rFonts w:hint="eastAsia"/>
                <w:lang w:val="en-US"/>
              </w:rPr>
              <w:t>噪声</w:t>
            </w:r>
          </w:p>
        </w:tc>
        <w:tc>
          <w:tcPr>
            <w:tcW w:w="8882" w:type="dxa"/>
            <w:shd w:val="clear" w:color="auto" w:fill="auto"/>
            <w:vAlign w:val="center"/>
          </w:tcPr>
          <w:p>
            <w:pPr>
              <w:pStyle w:val="24"/>
              <w:bidi w:val="0"/>
              <w:jc w:val="center"/>
              <w:rPr>
                <w:lang w:val="en-US"/>
              </w:rPr>
            </w:pPr>
            <w:r>
              <w:rPr>
                <w:rFonts w:hint="eastAsia"/>
                <w:lang w:val="en-US"/>
              </w:rPr>
              <w:t>本项目高噪设备均设置隔声减震</w:t>
            </w:r>
            <w:r>
              <w:rPr>
                <w:rFonts w:hint="eastAsia"/>
                <w:lang w:val="en-US" w:eastAsia="zh-CN"/>
              </w:rPr>
              <w:t>措施，厂区四周设置绿化</w:t>
            </w:r>
            <w:r>
              <w:rPr>
                <w:rFonts w:hint="eastAsia"/>
                <w:lang w:val="en-US"/>
              </w:rPr>
              <w:t>。</w:t>
            </w:r>
          </w:p>
        </w:tc>
        <w:tc>
          <w:tcPr>
            <w:tcW w:w="2802" w:type="dxa"/>
            <w:shd w:val="clear" w:color="auto" w:fill="auto"/>
            <w:vAlign w:val="center"/>
          </w:tcPr>
          <w:p>
            <w:pPr>
              <w:pStyle w:val="24"/>
              <w:bidi w:val="0"/>
              <w:jc w:val="center"/>
              <w:rPr>
                <w:lang w:val="en-US"/>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shd w:val="clear" w:color="auto" w:fill="auto"/>
            <w:vAlign w:val="center"/>
          </w:tcPr>
          <w:p>
            <w:pPr>
              <w:pStyle w:val="24"/>
              <w:bidi w:val="0"/>
              <w:jc w:val="center"/>
              <w:rPr>
                <w:lang w:val="en-US"/>
              </w:rPr>
            </w:pPr>
            <w:r>
              <w:rPr>
                <w:rFonts w:hint="eastAsia"/>
                <w:lang w:val="en-US"/>
              </w:rPr>
              <w:t>4</w:t>
            </w:r>
          </w:p>
        </w:tc>
        <w:tc>
          <w:tcPr>
            <w:tcW w:w="1402" w:type="dxa"/>
            <w:shd w:val="clear" w:color="auto" w:fill="auto"/>
            <w:vAlign w:val="center"/>
          </w:tcPr>
          <w:p>
            <w:pPr>
              <w:pStyle w:val="24"/>
              <w:bidi w:val="0"/>
              <w:jc w:val="center"/>
              <w:rPr>
                <w:lang w:val="en-US"/>
              </w:rPr>
            </w:pPr>
            <w:r>
              <w:rPr>
                <w:rFonts w:hint="eastAsia"/>
                <w:lang w:val="en-US"/>
              </w:rPr>
              <w:t>固废</w:t>
            </w:r>
          </w:p>
        </w:tc>
        <w:tc>
          <w:tcPr>
            <w:tcW w:w="8882" w:type="dxa"/>
            <w:shd w:val="clear" w:color="auto" w:fill="auto"/>
            <w:vAlign w:val="center"/>
          </w:tcPr>
          <w:p>
            <w:pPr>
              <w:pStyle w:val="24"/>
              <w:bidi w:val="0"/>
              <w:jc w:val="center"/>
              <w:rPr>
                <w:lang w:val="en-US"/>
              </w:rPr>
            </w:pPr>
            <w:r>
              <w:rPr>
                <w:rFonts w:hint="eastAsia"/>
                <w:lang w:val="en-US"/>
              </w:rPr>
              <w:t>生活垃圾委托环卫部门处理。已建设危废暂存间（171m</w:t>
            </w:r>
            <w:r>
              <w:rPr>
                <w:rFonts w:hint="eastAsia"/>
                <w:vertAlign w:val="superscript"/>
                <w:lang w:val="en-US" w:eastAsia="zh-CN"/>
              </w:rPr>
              <w:t>2</w:t>
            </w:r>
            <w:r>
              <w:rPr>
                <w:rFonts w:hint="eastAsia"/>
                <w:lang w:val="en-US"/>
              </w:rPr>
              <w:t>），危险废物委托福建兴业东江环保科技有限公司进行处置。</w:t>
            </w:r>
          </w:p>
        </w:tc>
        <w:tc>
          <w:tcPr>
            <w:tcW w:w="2802" w:type="dxa"/>
            <w:shd w:val="clear" w:color="auto" w:fill="auto"/>
            <w:vAlign w:val="center"/>
          </w:tcPr>
          <w:p>
            <w:pPr>
              <w:pStyle w:val="24"/>
              <w:bidi w:val="0"/>
              <w:jc w:val="center"/>
              <w:rPr>
                <w:lang w:val="en-US"/>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shd w:val="clear" w:color="auto" w:fill="auto"/>
            <w:vAlign w:val="center"/>
          </w:tcPr>
          <w:p>
            <w:pPr>
              <w:pStyle w:val="24"/>
              <w:bidi w:val="0"/>
              <w:jc w:val="center"/>
              <w:rPr>
                <w:lang w:val="en-US"/>
              </w:rPr>
            </w:pPr>
            <w:r>
              <w:rPr>
                <w:rFonts w:hint="eastAsia"/>
                <w:lang w:val="en-US"/>
              </w:rPr>
              <w:t>5</w:t>
            </w:r>
          </w:p>
        </w:tc>
        <w:tc>
          <w:tcPr>
            <w:tcW w:w="1402" w:type="dxa"/>
            <w:shd w:val="clear" w:color="auto" w:fill="auto"/>
            <w:vAlign w:val="center"/>
          </w:tcPr>
          <w:p>
            <w:pPr>
              <w:pStyle w:val="24"/>
              <w:bidi w:val="0"/>
              <w:jc w:val="center"/>
              <w:rPr>
                <w:lang w:val="en-US"/>
              </w:rPr>
            </w:pPr>
            <w:r>
              <w:rPr>
                <w:rFonts w:hint="eastAsia"/>
                <w:lang w:val="en-US"/>
              </w:rPr>
              <w:t>地下水</w:t>
            </w:r>
          </w:p>
        </w:tc>
        <w:tc>
          <w:tcPr>
            <w:tcW w:w="8882" w:type="dxa"/>
            <w:shd w:val="clear" w:color="auto" w:fill="auto"/>
            <w:vAlign w:val="center"/>
          </w:tcPr>
          <w:p>
            <w:pPr>
              <w:pStyle w:val="24"/>
              <w:bidi w:val="0"/>
              <w:jc w:val="center"/>
              <w:rPr>
                <w:lang w:val="en-US"/>
              </w:rPr>
            </w:pPr>
            <w:r>
              <w:rPr>
                <w:rFonts w:hint="eastAsia"/>
                <w:lang w:val="en-US"/>
              </w:rPr>
              <w:t>本项目将</w:t>
            </w:r>
            <w:r>
              <w:rPr>
                <w:lang w:val="en-US"/>
              </w:rPr>
              <w:t>危废间设置为特殊防渗区，</w:t>
            </w:r>
            <w:r>
              <w:rPr>
                <w:rFonts w:hint="eastAsia"/>
                <w:lang w:val="en-US" w:eastAsia="zh-Hans"/>
              </w:rPr>
              <w:t>污水站</w:t>
            </w:r>
            <w:r>
              <w:rPr>
                <w:rFonts w:hint="default"/>
                <w:lang w:val="en-US" w:eastAsia="zh-Hans"/>
              </w:rPr>
              <w:t>、</w:t>
            </w:r>
            <w:r>
              <w:rPr>
                <w:rFonts w:hint="eastAsia"/>
                <w:lang w:val="en-US"/>
              </w:rPr>
              <w:t>初期雨水池设置为重点防渗区，承台式储罐基础和除储罐基础的地面基础、汽车装卸区、泵棚</w:t>
            </w:r>
            <w:r>
              <w:rPr>
                <w:rFonts w:hint="default"/>
                <w:lang w:val="en-US"/>
              </w:rPr>
              <w:t>、</w:t>
            </w:r>
            <w:r>
              <w:rPr>
                <w:lang w:val="en-US"/>
              </w:rPr>
              <w:t>桶装车间、事故池</w:t>
            </w:r>
            <w:r>
              <w:rPr>
                <w:rFonts w:hint="eastAsia"/>
                <w:lang w:val="en-US"/>
              </w:rPr>
              <w:t>设置为一般防渗区，采取了分区防渗措施。厂区上下游设置5个地下水监测井。</w:t>
            </w:r>
          </w:p>
        </w:tc>
        <w:tc>
          <w:tcPr>
            <w:tcW w:w="2802" w:type="dxa"/>
            <w:shd w:val="clear" w:color="auto" w:fill="auto"/>
            <w:vAlign w:val="center"/>
          </w:tcPr>
          <w:p>
            <w:pPr>
              <w:pStyle w:val="24"/>
              <w:bidi w:val="0"/>
              <w:jc w:val="center"/>
              <w:rPr>
                <w:lang w:val="en-US"/>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restart"/>
            <w:shd w:val="clear" w:color="auto" w:fill="auto"/>
            <w:vAlign w:val="center"/>
          </w:tcPr>
          <w:p>
            <w:pPr>
              <w:pStyle w:val="24"/>
              <w:bidi w:val="0"/>
              <w:jc w:val="center"/>
              <w:rPr>
                <w:lang w:val="en-US"/>
              </w:rPr>
            </w:pPr>
            <w:r>
              <w:rPr>
                <w:rFonts w:hint="eastAsia"/>
                <w:lang w:val="en-US"/>
              </w:rPr>
              <w:t>6</w:t>
            </w:r>
          </w:p>
        </w:tc>
        <w:tc>
          <w:tcPr>
            <w:tcW w:w="1402" w:type="dxa"/>
            <w:vMerge w:val="restart"/>
            <w:shd w:val="clear" w:color="auto" w:fill="auto"/>
            <w:vAlign w:val="center"/>
          </w:tcPr>
          <w:p>
            <w:pPr>
              <w:pStyle w:val="24"/>
              <w:bidi w:val="0"/>
              <w:jc w:val="center"/>
              <w:rPr>
                <w:lang w:val="en-US"/>
              </w:rPr>
            </w:pPr>
            <w:r>
              <w:rPr>
                <w:rFonts w:hint="eastAsia"/>
                <w:lang w:val="en-US"/>
              </w:rPr>
              <w:t>环境风险</w:t>
            </w:r>
          </w:p>
        </w:tc>
        <w:tc>
          <w:tcPr>
            <w:tcW w:w="8882" w:type="dxa"/>
            <w:shd w:val="clear" w:color="auto" w:fill="auto"/>
            <w:vAlign w:val="center"/>
          </w:tcPr>
          <w:p>
            <w:pPr>
              <w:pStyle w:val="24"/>
              <w:bidi w:val="0"/>
              <w:jc w:val="center"/>
              <w:rPr>
                <w:lang w:val="en-US"/>
              </w:rPr>
            </w:pPr>
            <w:r>
              <w:rPr>
                <w:rFonts w:hint="eastAsia"/>
                <w:lang w:val="en-US" w:eastAsia="zh-Hans"/>
              </w:rPr>
              <w:t>①库区已建设容积4000m</w:t>
            </w:r>
            <w:r>
              <w:rPr>
                <w:rFonts w:hint="eastAsia"/>
                <w:vertAlign w:val="superscript"/>
                <w:lang w:val="en-US" w:eastAsia="zh-Hans"/>
              </w:rPr>
              <w:t>3</w:t>
            </w:r>
            <w:r>
              <w:rPr>
                <w:rFonts w:hint="eastAsia"/>
                <w:lang w:val="en-US" w:eastAsia="zh-Hans"/>
              </w:rPr>
              <w:t>地下消防事故废水收集池一座，并且设置电动阀（电磁阀）。②</w:t>
            </w:r>
            <w:r>
              <w:rPr>
                <w:rFonts w:hint="eastAsia"/>
                <w:lang w:val="en-US" w:eastAsia="zh-CN"/>
              </w:rPr>
              <w:t>码头、库区</w:t>
            </w:r>
            <w:r>
              <w:rPr>
                <w:rFonts w:hint="eastAsia"/>
                <w:lang w:val="en-US"/>
              </w:rPr>
              <w:t>已设置可燃气体检测报警器</w:t>
            </w:r>
            <w:r>
              <w:rPr>
                <w:lang w:val="en-US"/>
              </w:rPr>
              <w:t>、有毒有害气体探测器</w:t>
            </w:r>
            <w:r>
              <w:rPr>
                <w:rFonts w:hint="eastAsia"/>
                <w:lang w:val="en-US"/>
              </w:rPr>
              <w:t>，数量约</w:t>
            </w:r>
            <w:r>
              <w:rPr>
                <w:rFonts w:hint="default"/>
                <w:lang w:val="en-US"/>
              </w:rPr>
              <w:t>196</w:t>
            </w:r>
            <w:r>
              <w:rPr>
                <w:rFonts w:hint="eastAsia"/>
                <w:lang w:val="en-US"/>
              </w:rPr>
              <w:t>个，主要分布于</w:t>
            </w:r>
            <w:r>
              <w:rPr>
                <w:rFonts w:hint="default"/>
                <w:lang w:val="en-US"/>
              </w:rPr>
              <w:t>1</w:t>
            </w:r>
            <w:r>
              <w:rPr>
                <w:rFonts w:hint="eastAsia"/>
                <w:lang w:val="en-US"/>
              </w:rPr>
              <w:t>#～8#罐组、管道交换站、</w:t>
            </w:r>
            <w:r>
              <w:rPr>
                <w:lang w:val="en-US"/>
              </w:rPr>
              <w:t>泵棚、油污桶棚、污水处理站、</w:t>
            </w:r>
            <w:r>
              <w:rPr>
                <w:rFonts w:hint="eastAsia"/>
                <w:lang w:val="en-US"/>
              </w:rPr>
              <w:t>废气</w:t>
            </w:r>
            <w:r>
              <w:rPr>
                <w:rFonts w:hint="eastAsia"/>
                <w:lang w:val="en-US" w:eastAsia="zh-Hans"/>
              </w:rPr>
              <w:t>处理</w:t>
            </w:r>
            <w:r>
              <w:rPr>
                <w:rFonts w:hint="eastAsia"/>
                <w:lang w:val="en-US"/>
              </w:rPr>
              <w:t>装置</w:t>
            </w:r>
            <w:r>
              <w:rPr>
                <w:rFonts w:hint="eastAsia"/>
                <w:lang w:val="en-US" w:eastAsia="zh-Hans"/>
              </w:rPr>
              <w:t>处</w:t>
            </w:r>
            <w:r>
              <w:rPr>
                <w:rFonts w:hint="eastAsia"/>
                <w:lang w:val="en-US"/>
              </w:rPr>
              <w:t>。</w:t>
            </w:r>
            <w:r>
              <w:rPr>
                <w:rFonts w:hint="eastAsia"/>
                <w:lang w:val="en-US"/>
              </w:rPr>
              <w:fldChar w:fldCharType="begin"/>
            </w:r>
            <w:r>
              <w:rPr>
                <w:rFonts w:hint="eastAsia"/>
                <w:lang w:val="en-US"/>
              </w:rPr>
              <w:instrText xml:space="preserve"> = 3 \* GB3 \* MERGEFORMAT </w:instrText>
            </w:r>
            <w:r>
              <w:rPr>
                <w:rFonts w:hint="eastAsia"/>
                <w:lang w:val="en-US"/>
              </w:rPr>
              <w:fldChar w:fldCharType="separate"/>
            </w:r>
            <w:r>
              <w:rPr>
                <w:rFonts w:hint="eastAsia"/>
                <w:lang w:val="en-US"/>
              </w:rPr>
              <w:t>③</w:t>
            </w:r>
            <w:r>
              <w:rPr>
                <w:rFonts w:hint="eastAsia"/>
                <w:lang w:val="en-US"/>
              </w:rPr>
              <w:fldChar w:fldCharType="end"/>
            </w:r>
            <w:r>
              <w:rPr>
                <w:rFonts w:hint="eastAsia"/>
                <w:lang w:val="en-US"/>
              </w:rPr>
              <w:t>已</w:t>
            </w:r>
            <w:r>
              <w:rPr>
                <w:rFonts w:hint="eastAsia"/>
                <w:lang w:val="en-US" w:eastAsia="zh-Hans"/>
              </w:rPr>
              <w:t>修订</w:t>
            </w:r>
            <w:r>
              <w:rPr>
                <w:rFonts w:hint="eastAsia"/>
                <w:lang w:val="en-US"/>
              </w:rPr>
              <w:t>《福建港丰能源有限公司突发环境事件应急预案》，并于2022年5月在泉州市惠安生态环境局完成备案（备案编号：350521-2022-003-H）。④项目已落实三级防控体系。⑤项目已落实环评中的各项风险防控措施，具体分析见本报告4.2.</w:t>
            </w:r>
            <w:r>
              <w:rPr>
                <w:rFonts w:hint="eastAsia"/>
                <w:lang w:val="en-US" w:eastAsia="zh-CN"/>
              </w:rPr>
              <w:t>1</w:t>
            </w:r>
            <w:r>
              <w:rPr>
                <w:rFonts w:hint="eastAsia"/>
                <w:lang w:val="en-US"/>
              </w:rPr>
              <w:t>章节。</w:t>
            </w:r>
          </w:p>
        </w:tc>
        <w:tc>
          <w:tcPr>
            <w:tcW w:w="2802" w:type="dxa"/>
            <w:shd w:val="clear" w:color="auto" w:fill="auto"/>
            <w:vAlign w:val="center"/>
          </w:tcPr>
          <w:p>
            <w:pPr>
              <w:pStyle w:val="24"/>
              <w:bidi w:val="0"/>
              <w:jc w:val="center"/>
              <w:rPr>
                <w:lang w:val="en-US"/>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vMerge w:val="continue"/>
            <w:shd w:val="clear" w:color="auto" w:fill="auto"/>
            <w:vAlign w:val="center"/>
          </w:tcPr>
          <w:p>
            <w:pPr>
              <w:pStyle w:val="24"/>
              <w:bidi w:val="0"/>
              <w:jc w:val="center"/>
              <w:rPr>
                <w:lang w:val="en-US"/>
              </w:rPr>
            </w:pPr>
          </w:p>
        </w:tc>
        <w:tc>
          <w:tcPr>
            <w:tcW w:w="1402" w:type="dxa"/>
            <w:vMerge w:val="continue"/>
            <w:shd w:val="clear" w:color="auto" w:fill="auto"/>
            <w:vAlign w:val="center"/>
          </w:tcPr>
          <w:p>
            <w:pPr>
              <w:pStyle w:val="24"/>
              <w:bidi w:val="0"/>
              <w:jc w:val="center"/>
              <w:rPr>
                <w:lang w:val="en-US"/>
              </w:rPr>
            </w:pPr>
          </w:p>
        </w:tc>
        <w:tc>
          <w:tcPr>
            <w:tcW w:w="8882" w:type="dxa"/>
            <w:shd w:val="clear" w:color="auto" w:fill="auto"/>
            <w:vAlign w:val="center"/>
          </w:tcPr>
          <w:p>
            <w:pPr>
              <w:pStyle w:val="24"/>
              <w:bidi w:val="0"/>
              <w:jc w:val="center"/>
              <w:rPr>
                <w:rFonts w:hint="eastAsia"/>
                <w:lang w:val="en-US" w:eastAsia="zh-CN"/>
              </w:rPr>
            </w:pPr>
            <w:r>
              <w:rPr>
                <w:rFonts w:hint="eastAsia"/>
                <w:lang w:val="en-US" w:eastAsia="zh-CN"/>
              </w:rPr>
              <w:t>已按照要求配备应急物资，见本报告4.2.2章节。并与泉州兴通港口服务发展有限公司签订委托协议。</w:t>
            </w:r>
          </w:p>
        </w:tc>
        <w:tc>
          <w:tcPr>
            <w:tcW w:w="2802" w:type="dxa"/>
            <w:shd w:val="clear" w:color="auto" w:fill="auto"/>
            <w:vAlign w:val="center"/>
          </w:tcPr>
          <w:p>
            <w:pPr>
              <w:pStyle w:val="24"/>
              <w:bidi w:val="0"/>
              <w:jc w:val="center"/>
              <w:rPr>
                <w:lang w:val="en-US"/>
              </w:rPr>
            </w:pPr>
            <w:r>
              <w:rPr>
                <w:rFonts w:hint="eastAsia"/>
                <w:lang w:val="en-US" w:eastAsia="zh-CN"/>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1077" w:type="dxa"/>
            <w:shd w:val="clear" w:color="auto" w:fill="auto"/>
            <w:vAlign w:val="center"/>
          </w:tcPr>
          <w:p>
            <w:pPr>
              <w:pStyle w:val="24"/>
              <w:bidi w:val="0"/>
              <w:jc w:val="center"/>
              <w:rPr>
                <w:lang w:val="en-US"/>
              </w:rPr>
            </w:pPr>
            <w:r>
              <w:rPr>
                <w:rFonts w:hint="eastAsia"/>
                <w:lang w:val="en-US"/>
              </w:rPr>
              <w:t>7</w:t>
            </w:r>
          </w:p>
        </w:tc>
        <w:tc>
          <w:tcPr>
            <w:tcW w:w="1402" w:type="dxa"/>
            <w:shd w:val="clear" w:color="auto" w:fill="auto"/>
            <w:vAlign w:val="center"/>
          </w:tcPr>
          <w:p>
            <w:pPr>
              <w:pStyle w:val="24"/>
              <w:bidi w:val="0"/>
              <w:jc w:val="center"/>
              <w:rPr>
                <w:lang w:val="en-US"/>
              </w:rPr>
            </w:pPr>
            <w:r>
              <w:rPr>
                <w:rFonts w:hint="eastAsia"/>
                <w:lang w:val="en-US"/>
              </w:rPr>
              <w:t>环境管理</w:t>
            </w:r>
          </w:p>
        </w:tc>
        <w:tc>
          <w:tcPr>
            <w:tcW w:w="8882" w:type="dxa"/>
            <w:shd w:val="clear" w:color="auto" w:fill="auto"/>
            <w:vAlign w:val="center"/>
          </w:tcPr>
          <w:p>
            <w:pPr>
              <w:pStyle w:val="24"/>
              <w:bidi w:val="0"/>
              <w:jc w:val="center"/>
              <w:rPr>
                <w:rFonts w:hint="eastAsia"/>
                <w:lang w:val="en-US" w:eastAsia="zh-CN"/>
              </w:rPr>
            </w:pPr>
            <w:r>
              <w:rPr>
                <w:rFonts w:hint="eastAsia"/>
                <w:lang w:val="en-US"/>
              </w:rPr>
              <w:t>福建港丰能源有限公司已设立专门的</w:t>
            </w:r>
            <w:r>
              <w:rPr>
                <w:rFonts w:hint="eastAsia"/>
                <w:lang w:val="en-US" w:eastAsia="zh-CN"/>
              </w:rPr>
              <w:t>HSE</w:t>
            </w:r>
            <w:r>
              <w:rPr>
                <w:rFonts w:hint="eastAsia"/>
                <w:lang w:val="en-US"/>
              </w:rPr>
              <w:t>部</w:t>
            </w:r>
            <w:r>
              <w:rPr>
                <w:rFonts w:hint="eastAsia"/>
                <w:lang w:val="en-US" w:eastAsia="zh-CN"/>
              </w:rPr>
              <w:t>门</w:t>
            </w:r>
            <w:r>
              <w:rPr>
                <w:rFonts w:hint="eastAsia"/>
                <w:lang w:val="en-US"/>
              </w:rPr>
              <w:t>，配备专职人员和设备，建立环保管理制度及运行制度</w:t>
            </w:r>
            <w:r>
              <w:rPr>
                <w:rFonts w:hint="eastAsia"/>
                <w:lang w:val="en-US" w:eastAsia="zh-CN"/>
              </w:rPr>
              <w:t>，并委托福建绿佳检测有限公司开展环境跟踪监测计划。</w:t>
            </w:r>
          </w:p>
        </w:tc>
        <w:tc>
          <w:tcPr>
            <w:tcW w:w="2802" w:type="dxa"/>
            <w:shd w:val="clear" w:color="auto" w:fill="auto"/>
            <w:vAlign w:val="center"/>
          </w:tcPr>
          <w:p>
            <w:pPr>
              <w:pStyle w:val="24"/>
              <w:bidi w:val="0"/>
              <w:jc w:val="center"/>
              <w:rPr>
                <w:lang w:val="en-US"/>
              </w:rPr>
            </w:pPr>
            <w:r>
              <w:rPr>
                <w:rFonts w:hint="eastAsia"/>
                <w:lang w:val="en-US" w:eastAsia="zh-Hans"/>
              </w:rPr>
              <w:t>依托现有</w:t>
            </w:r>
          </w:p>
        </w:tc>
      </w:tr>
    </w:tbl>
    <w:p>
      <w:pPr>
        <w:pStyle w:val="17"/>
        <w:spacing w:before="156" w:beforeLines="5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7"/>
        <w:spacing w:before="156" w:beforeLines="50"/>
      </w:pPr>
      <w:bookmarkStart w:id="120" w:name="_Toc31803"/>
      <w:r>
        <w:t>4.</w:t>
      </w:r>
      <w:r>
        <w:rPr>
          <w:rFonts w:hint="eastAsia"/>
          <w:lang w:val="en-US" w:eastAsia="zh-CN"/>
        </w:rPr>
        <w:t>3</w:t>
      </w:r>
      <w:r>
        <w:t xml:space="preserve"> 环保设施投资及</w:t>
      </w:r>
      <w:r>
        <w:rPr>
          <w:rFonts w:hint="eastAsia"/>
          <w:lang w:eastAsia="zh-Hans"/>
        </w:rPr>
        <w:t>“</w:t>
      </w:r>
      <w:r>
        <w:t>三同时</w:t>
      </w:r>
      <w:r>
        <w:rPr>
          <w:rFonts w:hint="eastAsia"/>
          <w:lang w:eastAsia="zh-Hans"/>
        </w:rPr>
        <w:t>”</w:t>
      </w:r>
      <w:r>
        <w:t>落实情况</w:t>
      </w:r>
      <w:bookmarkEnd w:id="108"/>
      <w:bookmarkEnd w:id="109"/>
      <w:bookmarkEnd w:id="120"/>
    </w:p>
    <w:p>
      <w:pPr>
        <w:pStyle w:val="18"/>
        <w:rPr>
          <w:rFonts w:eastAsia="宋体"/>
        </w:rPr>
      </w:pPr>
      <w:r>
        <w:t>4.</w:t>
      </w:r>
      <w:r>
        <w:rPr>
          <w:rFonts w:hint="eastAsia"/>
          <w:lang w:val="en-US" w:eastAsia="zh-CN"/>
        </w:rPr>
        <w:t>3</w:t>
      </w:r>
      <w:r>
        <w:t>.1 环保设施投资情况</w:t>
      </w:r>
    </w:p>
    <w:p>
      <w:pPr>
        <w:pStyle w:val="19"/>
        <w:ind w:firstLine="480"/>
      </w:pPr>
      <w:bookmarkStart w:id="121" w:name="_Hlk25093519"/>
      <w:r>
        <w:rPr>
          <w:rFonts w:hint="eastAsia" w:eastAsiaTheme="minorEastAsia"/>
          <w:color w:val="000000" w:themeColor="text1"/>
          <w:lang w:val="en-US" w:eastAsia="zh-Hans"/>
          <w14:textFill>
            <w14:solidFill>
              <w14:schemeClr w14:val="tx1"/>
            </w14:solidFill>
          </w14:textFill>
        </w:rPr>
        <w:t>依据环境监理报告及项目竣工验收报告</w:t>
      </w:r>
      <w:r>
        <w:rPr>
          <w:rFonts w:eastAsiaTheme="minorEastAsia"/>
          <w:color w:val="000000" w:themeColor="text1"/>
          <w:lang w:eastAsia="zh-Hans"/>
          <w14:textFill>
            <w14:solidFill>
              <w14:schemeClr w14:val="tx1"/>
            </w14:solidFill>
          </w14:textFill>
        </w:rPr>
        <w:t>，</w:t>
      </w:r>
      <w:r>
        <w:rPr>
          <w:rFonts w:hint="eastAsia" w:eastAsiaTheme="minorEastAsia"/>
          <w:color w:val="000000" w:themeColor="text1"/>
          <w:lang w:val="en-US" w:eastAsia="zh-Hans"/>
          <w14:textFill>
            <w14:solidFill>
              <w14:schemeClr w14:val="tx1"/>
            </w14:solidFill>
          </w14:textFill>
        </w:rPr>
        <w:t>本项目</w:t>
      </w:r>
      <w:r>
        <w:rPr>
          <w:rFonts w:eastAsiaTheme="minorEastAsia"/>
          <w:color w:val="000000" w:themeColor="text1"/>
          <w:lang w:val="en-US"/>
          <w14:textFill>
            <w14:solidFill>
              <w14:schemeClr w14:val="tx1"/>
            </w14:solidFill>
          </w14:textFill>
        </w:rPr>
        <w:t>总投资</w:t>
      </w:r>
      <w:r>
        <w:rPr>
          <w:rFonts w:hint="eastAsia" w:eastAsiaTheme="minorEastAsia"/>
          <w:color w:val="000000" w:themeColor="text1"/>
          <w:lang w:val="en-US" w:eastAsia="zh-CN"/>
          <w14:textFill>
            <w14:solidFill>
              <w14:schemeClr w14:val="tx1"/>
            </w14:solidFill>
          </w14:textFill>
        </w:rPr>
        <w:t>104716.33</w:t>
      </w:r>
      <w:r>
        <w:rPr>
          <w:rFonts w:hint="eastAsia" w:eastAsiaTheme="minorEastAsia"/>
          <w:color w:val="000000" w:themeColor="text1"/>
          <w:lang w:val="en-US"/>
          <w14:textFill>
            <w14:solidFill>
              <w14:schemeClr w14:val="tx1"/>
            </w14:solidFill>
          </w14:textFill>
        </w:rPr>
        <w:t>万元</w:t>
      </w:r>
      <w:r>
        <w:t>，环保投资</w:t>
      </w:r>
      <w:r>
        <w:rPr>
          <w:lang w:val="en-US"/>
        </w:rPr>
        <w:t>约为</w:t>
      </w:r>
      <w:r>
        <w:rPr>
          <w:rFonts w:hint="default"/>
        </w:rPr>
        <w:t>1</w:t>
      </w:r>
      <w:r>
        <w:rPr>
          <w:rFonts w:hint="eastAsia"/>
          <w:lang w:val="en-US" w:eastAsia="zh-CN"/>
        </w:rPr>
        <w:t>369.3</w:t>
      </w:r>
      <w:r>
        <w:t>万元，</w:t>
      </w:r>
      <w:r>
        <w:rPr>
          <w:lang w:val="en-US"/>
        </w:rPr>
        <w:t>约</w:t>
      </w:r>
      <w:r>
        <w:t>占</w:t>
      </w:r>
      <w:r>
        <w:rPr>
          <w:rFonts w:hint="eastAsia"/>
          <w:lang w:val="en-US" w:eastAsia="zh-Hans"/>
        </w:rPr>
        <w:t>项目</w:t>
      </w:r>
      <w:r>
        <w:t>总投资的</w:t>
      </w:r>
      <w:r>
        <w:rPr>
          <w:rFonts w:hint="eastAsia"/>
          <w:lang w:val="en-US" w:eastAsia="zh-CN"/>
        </w:rPr>
        <w:t>1.3</w:t>
      </w:r>
      <w:r>
        <w:t>%，建设单位按</w:t>
      </w:r>
      <w:r>
        <w:rPr>
          <w:lang w:val="en-US"/>
        </w:rPr>
        <w:t>环评</w:t>
      </w:r>
      <w:r>
        <w:t>报告书提出的环保措施要求落实环保投资概算，</w:t>
      </w:r>
      <w:bookmarkEnd w:id="121"/>
      <w:r>
        <w:rPr>
          <w:rFonts w:hint="eastAsia"/>
          <w:lang w:eastAsia="zh-CN"/>
        </w:rPr>
        <w:t>项目新增</w:t>
      </w:r>
      <w:r>
        <w:t>环保投资情况见表4.</w:t>
      </w:r>
      <w:r>
        <w:rPr>
          <w:rFonts w:hint="eastAsia"/>
          <w:lang w:val="en-US" w:eastAsia="zh-CN"/>
        </w:rPr>
        <w:t>3</w:t>
      </w:r>
      <w:r>
        <w:rPr>
          <w:lang w:val="en-US"/>
        </w:rPr>
        <w:t>.</w:t>
      </w:r>
      <w:r>
        <w:t>1。</w:t>
      </w:r>
    </w:p>
    <w:p>
      <w:pPr>
        <w:pStyle w:val="23"/>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pPr>
      <w:r>
        <w:t>表4.</w:t>
      </w:r>
      <w:r>
        <w:rPr>
          <w:rFonts w:hint="eastAsia"/>
          <w:lang w:val="en-US" w:eastAsia="zh-CN"/>
        </w:rPr>
        <w:t>3</w:t>
      </w:r>
      <w:r>
        <w:t>.1 项目环保投资情况一览表</w:t>
      </w:r>
    </w:p>
    <w:tbl>
      <w:tblPr>
        <w:tblStyle w:val="14"/>
        <w:tblW w:w="8519" w:type="dxa"/>
        <w:tblInd w:w="0" w:type="dxa"/>
        <w:tblLayout w:type="fixed"/>
        <w:tblCellMar>
          <w:top w:w="0" w:type="dxa"/>
          <w:left w:w="108" w:type="dxa"/>
          <w:bottom w:w="0" w:type="dxa"/>
          <w:right w:w="108" w:type="dxa"/>
        </w:tblCellMar>
      </w:tblPr>
      <w:tblGrid>
        <w:gridCol w:w="481"/>
        <w:gridCol w:w="845"/>
        <w:gridCol w:w="1333"/>
        <w:gridCol w:w="4737"/>
        <w:gridCol w:w="1123"/>
      </w:tblGrid>
      <w:tr>
        <w:tblPrEx>
          <w:tblLayout w:type="fixed"/>
          <w:tblCellMar>
            <w:top w:w="0" w:type="dxa"/>
            <w:left w:w="108" w:type="dxa"/>
            <w:bottom w:w="0" w:type="dxa"/>
            <w:right w:w="108" w:type="dxa"/>
          </w:tblCellMar>
        </w:tblPrEx>
        <w:trPr>
          <w:trHeight w:val="340" w:hRule="atLeast"/>
        </w:trPr>
        <w:tc>
          <w:tcPr>
            <w:tcW w:w="481" w:type="dxa"/>
            <w:tcBorders>
              <w:top w:val="single" w:color="000000" w:sz="4" w:space="0"/>
              <w:bottom w:val="single" w:color="000000" w:sz="4" w:space="0"/>
              <w:right w:val="single" w:color="000000" w:sz="4" w:space="0"/>
            </w:tcBorders>
            <w:shd w:val="clear" w:color="auto" w:fill="auto"/>
            <w:noWrap/>
            <w:vAlign w:val="center"/>
          </w:tcPr>
          <w:p>
            <w:pPr>
              <w:pStyle w:val="24"/>
              <w:jc w:val="center"/>
            </w:pPr>
            <w:r>
              <w:t>序号</w:t>
            </w:r>
          </w:p>
        </w:tc>
        <w:tc>
          <w:tcPr>
            <w:tcW w:w="217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pPr>
            <w:r>
              <w:t>环保设施</w:t>
            </w: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pPr>
            <w:r>
              <w:t>具体设施</w:t>
            </w:r>
          </w:p>
        </w:tc>
        <w:tc>
          <w:tcPr>
            <w:tcW w:w="1123" w:type="dxa"/>
            <w:tcBorders>
              <w:top w:val="single" w:color="000000" w:sz="4" w:space="0"/>
              <w:left w:val="single" w:color="000000" w:sz="4" w:space="0"/>
              <w:bottom w:val="single" w:color="000000" w:sz="4" w:space="0"/>
            </w:tcBorders>
            <w:shd w:val="clear" w:color="auto" w:fill="auto"/>
            <w:vAlign w:val="center"/>
          </w:tcPr>
          <w:p>
            <w:pPr>
              <w:pStyle w:val="24"/>
              <w:jc w:val="center"/>
            </w:pPr>
            <w:r>
              <w:t>固定投资</w:t>
            </w:r>
          </w:p>
          <w:p>
            <w:pPr>
              <w:pStyle w:val="24"/>
              <w:jc w:val="center"/>
            </w:pPr>
            <w:r>
              <w:t>（万元）</w:t>
            </w:r>
          </w:p>
        </w:tc>
      </w:tr>
      <w:tr>
        <w:tblPrEx>
          <w:tblLayout w:type="fixed"/>
          <w:tblCellMar>
            <w:top w:w="0" w:type="dxa"/>
            <w:left w:w="108" w:type="dxa"/>
            <w:bottom w:w="0" w:type="dxa"/>
            <w:right w:w="108" w:type="dxa"/>
          </w:tblCellMar>
        </w:tblPrEx>
        <w:trPr>
          <w:trHeight w:val="340" w:hRule="atLeast"/>
        </w:trPr>
        <w:tc>
          <w:tcPr>
            <w:tcW w:w="481" w:type="dxa"/>
            <w:tcBorders>
              <w:top w:val="single" w:color="000000" w:sz="4" w:space="0"/>
              <w:bottom w:val="single" w:color="000000" w:sz="4" w:space="0"/>
              <w:right w:val="single" w:color="000000" w:sz="4" w:space="0"/>
            </w:tcBorders>
            <w:shd w:val="clear" w:color="auto" w:fill="auto"/>
            <w:noWrap/>
            <w:vAlign w:val="center"/>
          </w:tcPr>
          <w:p>
            <w:pPr>
              <w:pStyle w:val="24"/>
              <w:jc w:val="center"/>
            </w:pPr>
            <w:r>
              <w:t>I</w:t>
            </w:r>
          </w:p>
        </w:tc>
        <w:tc>
          <w:tcPr>
            <w:tcW w:w="217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施工期环保措施</w:t>
            </w:r>
          </w:p>
        </w:tc>
        <w:tc>
          <w:tcPr>
            <w:tcW w:w="473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jc w:val="both"/>
            </w:pPr>
            <w:r>
              <w:t>施工扬尘抑制，喷洒路面；</w:t>
            </w:r>
          </w:p>
          <w:p>
            <w:pPr>
              <w:pStyle w:val="24"/>
              <w:jc w:val="both"/>
            </w:pPr>
            <w:r>
              <w:t>对施工机械进行降噪、隔声处理；</w:t>
            </w:r>
          </w:p>
          <w:p>
            <w:pPr>
              <w:pStyle w:val="24"/>
              <w:jc w:val="both"/>
            </w:pPr>
            <w:r>
              <w:t>施工期固废处置。</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50</w:t>
            </w:r>
          </w:p>
        </w:tc>
      </w:tr>
      <w:tr>
        <w:tblPrEx>
          <w:tblLayout w:type="fixed"/>
          <w:tblCellMar>
            <w:top w:w="0" w:type="dxa"/>
            <w:left w:w="108" w:type="dxa"/>
            <w:bottom w:w="0" w:type="dxa"/>
            <w:right w:w="108" w:type="dxa"/>
          </w:tblCellMar>
        </w:tblPrEx>
        <w:trPr>
          <w:trHeight w:val="2390" w:hRule="atLeast"/>
        </w:trPr>
        <w:tc>
          <w:tcPr>
            <w:tcW w:w="481" w:type="dxa"/>
            <w:vMerge w:val="restart"/>
            <w:tcBorders>
              <w:top w:val="single" w:color="000000" w:sz="4" w:space="0"/>
              <w:right w:val="single" w:color="000000" w:sz="4" w:space="0"/>
            </w:tcBorders>
            <w:shd w:val="clear" w:color="auto" w:fill="auto"/>
            <w:noWrap/>
            <w:vAlign w:val="center"/>
          </w:tcPr>
          <w:p>
            <w:pPr>
              <w:pStyle w:val="24"/>
              <w:jc w:val="center"/>
            </w:pPr>
            <w:r>
              <w:t>2</w:t>
            </w:r>
          </w:p>
        </w:tc>
        <w:tc>
          <w:tcPr>
            <w:tcW w:w="845" w:type="dxa"/>
            <w:vMerge w:val="restart"/>
            <w:tcBorders>
              <w:top w:val="single" w:color="000000" w:sz="4" w:space="0"/>
              <w:left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废气</w:t>
            </w:r>
          </w:p>
        </w:tc>
        <w:tc>
          <w:tcPr>
            <w:tcW w:w="1333" w:type="dxa"/>
            <w:vMerge w:val="restart"/>
            <w:tcBorders>
              <w:top w:val="single" w:color="000000" w:sz="4" w:space="0"/>
              <w:left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储罐及装卸区</w:t>
            </w:r>
          </w:p>
        </w:tc>
        <w:tc>
          <w:tcPr>
            <w:tcW w:w="473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jc w:val="both"/>
              <w:rPr>
                <w:rFonts w:hint="default"/>
              </w:rPr>
            </w:pPr>
            <w:r>
              <w:t>（</w:t>
            </w:r>
            <w:r>
              <w:rPr>
                <w:rFonts w:hint="default"/>
              </w:rPr>
              <w:t>1</w:t>
            </w:r>
            <w:r>
              <w:t>）储罐设置氮气密封保护系统；</w:t>
            </w:r>
          </w:p>
          <w:p>
            <w:pPr>
              <w:pStyle w:val="24"/>
              <w:jc w:val="both"/>
            </w:pPr>
            <w:r>
              <w:t>（</w:t>
            </w:r>
            <w:r>
              <w:rPr>
                <w:rFonts w:hint="default"/>
              </w:rPr>
              <w:t>2</w:t>
            </w:r>
            <w:r>
              <w:t>）装车鹤管选用撬装式密闭装车鹤管成套设备，并带有气相回收管；</w:t>
            </w:r>
          </w:p>
          <w:p>
            <w:pPr>
              <w:pStyle w:val="24"/>
              <w:jc w:val="both"/>
              <w:rPr>
                <w:rFonts w:hint="default"/>
              </w:rPr>
            </w:pPr>
            <w:r>
              <w:t>（</w:t>
            </w:r>
            <w:r>
              <w:rPr>
                <w:rFonts w:hint="eastAsia"/>
                <w:lang w:val="en-US" w:eastAsia="zh-CN"/>
              </w:rPr>
              <w:t>3</w:t>
            </w:r>
            <w:r>
              <w:t>）油品采用油气回收装置+</w:t>
            </w:r>
            <w:r>
              <w:rPr>
                <w:rFonts w:hint="eastAsia"/>
                <w:lang w:val="en-US" w:eastAsia="zh-CN"/>
              </w:rPr>
              <w:t>15m高</w:t>
            </w:r>
            <w:r>
              <w:t>排气筒（</w:t>
            </w:r>
            <w:r>
              <w:rPr>
                <w:rFonts w:hint="eastAsia"/>
                <w:lang w:val="en-US" w:eastAsia="zh-CN"/>
              </w:rPr>
              <w:t>DA001</w:t>
            </w:r>
            <w:r>
              <w:t>）；</w:t>
            </w:r>
          </w:p>
          <w:p>
            <w:pPr>
              <w:pStyle w:val="24"/>
              <w:jc w:val="both"/>
            </w:pPr>
            <w:r>
              <w:t>（</w:t>
            </w:r>
            <w:r>
              <w:rPr>
                <w:rFonts w:hint="eastAsia"/>
                <w:lang w:val="en-US" w:eastAsia="zh-CN"/>
              </w:rPr>
              <w:t>4</w:t>
            </w:r>
            <w:r>
              <w:t>）水溶性有机物采用一套水喷淋装置处理+</w:t>
            </w:r>
            <w:r>
              <w:rPr>
                <w:rFonts w:hint="eastAsia"/>
                <w:lang w:val="en-US" w:eastAsia="zh-CN"/>
              </w:rPr>
              <w:t>15m高</w:t>
            </w:r>
            <w:r>
              <w:t>排气筒（</w:t>
            </w:r>
            <w:r>
              <w:rPr>
                <w:rFonts w:hint="eastAsia"/>
                <w:lang w:val="en-US" w:eastAsia="zh-CN"/>
              </w:rPr>
              <w:t>DA002</w:t>
            </w:r>
            <w:r>
              <w:t>）；</w:t>
            </w:r>
          </w:p>
          <w:p>
            <w:pPr>
              <w:pStyle w:val="24"/>
              <w:jc w:val="both"/>
              <w:rPr>
                <w:rFonts w:hint="eastAsia"/>
                <w:lang w:eastAsia="zh-CN"/>
              </w:rPr>
            </w:pPr>
            <w:r>
              <w:t>（</w:t>
            </w:r>
            <w:r>
              <w:rPr>
                <w:rFonts w:hint="default"/>
              </w:rPr>
              <w:t>5</w:t>
            </w:r>
            <w:r>
              <w:t>）</w:t>
            </w:r>
            <w:r>
              <w:rPr>
                <w:rFonts w:hint="eastAsia"/>
                <w:lang w:eastAsia="zh-Hans"/>
              </w:rPr>
              <w:t>非水溶性有机废气</w:t>
            </w:r>
            <w:r>
              <w:t>采用</w:t>
            </w:r>
            <w:r>
              <w:rPr>
                <w:rFonts w:hint="eastAsia"/>
                <w:lang w:eastAsia="zh-Hans"/>
              </w:rPr>
              <w:t>废气净化装置</w:t>
            </w:r>
            <w:r>
              <w:t>+</w:t>
            </w:r>
            <w:r>
              <w:rPr>
                <w:rFonts w:hint="eastAsia"/>
                <w:lang w:val="en-US" w:eastAsia="zh-CN"/>
              </w:rPr>
              <w:t>15m高</w:t>
            </w:r>
            <w:r>
              <w:t>排气筒</w:t>
            </w:r>
            <w:r>
              <w:rPr>
                <w:rFonts w:hint="eastAsia"/>
                <w:lang w:eastAsia="zh-CN"/>
              </w:rPr>
              <w:t>（</w:t>
            </w:r>
            <w:r>
              <w:rPr>
                <w:rFonts w:hint="eastAsia"/>
                <w:lang w:val="en-US" w:eastAsia="zh-CN"/>
              </w:rPr>
              <w:t>DA004</w:t>
            </w:r>
            <w:r>
              <w:rPr>
                <w:rFonts w:hint="eastAsia"/>
                <w:lang w:eastAsia="zh-CN"/>
              </w:rPr>
              <w:t>）；</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630</w:t>
            </w:r>
          </w:p>
        </w:tc>
      </w:tr>
      <w:tr>
        <w:tblPrEx>
          <w:tblLayout w:type="fixed"/>
          <w:tblCellMar>
            <w:top w:w="0" w:type="dxa"/>
            <w:left w:w="108" w:type="dxa"/>
            <w:bottom w:w="0" w:type="dxa"/>
            <w:right w:w="108" w:type="dxa"/>
          </w:tblCellMar>
        </w:tblPrEx>
        <w:trPr>
          <w:trHeight w:val="991" w:hRule="atLeast"/>
        </w:trPr>
        <w:tc>
          <w:tcPr>
            <w:tcW w:w="481" w:type="dxa"/>
            <w:vMerge w:val="continue"/>
            <w:tcBorders>
              <w:right w:val="single" w:color="000000" w:sz="4" w:space="0"/>
            </w:tcBorders>
            <w:shd w:val="clear" w:color="auto" w:fill="auto"/>
            <w:noWrap/>
            <w:vAlign w:val="center"/>
          </w:tcPr>
          <w:p>
            <w:pPr>
              <w:pStyle w:val="24"/>
              <w:jc w:val="center"/>
            </w:pPr>
          </w:p>
        </w:tc>
        <w:tc>
          <w:tcPr>
            <w:tcW w:w="845" w:type="dxa"/>
            <w:vMerge w:val="continue"/>
            <w:tcBorders>
              <w:left w:val="single" w:color="000000" w:sz="4" w:space="0"/>
              <w:right w:val="single" w:color="000000" w:sz="4" w:space="0"/>
            </w:tcBorders>
            <w:shd w:val="clear" w:color="auto" w:fill="auto"/>
            <w:noWrap/>
            <w:vAlign w:val="center"/>
          </w:tcPr>
          <w:p>
            <w:pPr>
              <w:pStyle w:val="24"/>
              <w:jc w:val="center"/>
              <w:rPr>
                <w:rFonts w:hint="eastAsia"/>
                <w:lang w:eastAsia="zh-Hans"/>
              </w:rPr>
            </w:pPr>
          </w:p>
        </w:tc>
        <w:tc>
          <w:tcPr>
            <w:tcW w:w="1333" w:type="dxa"/>
            <w:vMerge w:val="continue"/>
            <w:tcBorders>
              <w:left w:val="single" w:color="000000" w:sz="4" w:space="0"/>
              <w:bottom w:val="single" w:color="000000" w:sz="4" w:space="0"/>
              <w:right w:val="single" w:color="000000" w:sz="4" w:space="0"/>
            </w:tcBorders>
            <w:shd w:val="clear" w:color="auto" w:fill="auto"/>
            <w:noWrap/>
            <w:vAlign w:val="center"/>
          </w:tcPr>
          <w:p>
            <w:pPr>
              <w:pStyle w:val="24"/>
              <w:jc w:val="center"/>
              <w:rPr>
                <w:rFonts w:hint="eastAsia" w:eastAsia="宋体"/>
                <w:lang w:eastAsia="zh-CN"/>
              </w:rPr>
            </w:pPr>
          </w:p>
        </w:tc>
        <w:tc>
          <w:tcPr>
            <w:tcW w:w="473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jc w:val="both"/>
              <w:rPr>
                <w:rFonts w:hint="eastAsia"/>
                <w:lang w:eastAsia="zh-CN"/>
              </w:rPr>
            </w:pPr>
            <w:r>
              <w:rPr>
                <w:rFonts w:hint="eastAsia"/>
                <w:lang w:eastAsia="zh-CN"/>
              </w:rPr>
              <w:t>环保新增：</w:t>
            </w:r>
          </w:p>
          <w:p>
            <w:pPr>
              <w:pStyle w:val="24"/>
              <w:jc w:val="both"/>
              <w:rPr>
                <w:rFonts w:hint="eastAsia"/>
                <w:lang w:eastAsia="zh-CN"/>
              </w:rPr>
            </w:pPr>
            <w:r>
              <w:rPr>
                <w:rFonts w:hint="eastAsia"/>
                <w:lang w:eastAsia="zh-CN"/>
              </w:rPr>
              <w:t>（</w:t>
            </w:r>
            <w:r>
              <w:rPr>
                <w:rFonts w:hint="eastAsia"/>
                <w:lang w:val="en-US" w:eastAsia="zh-CN"/>
              </w:rPr>
              <w:t>1</w:t>
            </w:r>
            <w:r>
              <w:rPr>
                <w:rFonts w:hint="eastAsia"/>
                <w:lang w:eastAsia="zh-CN"/>
              </w:rPr>
              <w:t>）油气回收装置前端增设三通阀</w:t>
            </w:r>
            <w:r>
              <w:rPr>
                <w:rFonts w:hint="eastAsia"/>
                <w:lang w:val="en-US" w:eastAsia="zh-CN"/>
              </w:rPr>
              <w:t>联通废气净化装置</w:t>
            </w:r>
            <w:r>
              <w:rPr>
                <w:rFonts w:hint="eastAsia"/>
                <w:lang w:eastAsia="zh-CN"/>
              </w:rPr>
              <w:t>；</w:t>
            </w:r>
          </w:p>
          <w:p>
            <w:pPr>
              <w:pStyle w:val="24"/>
              <w:jc w:val="both"/>
              <w:rPr>
                <w:rFonts w:hint="eastAsia"/>
                <w:lang w:eastAsia="zh-CN"/>
              </w:rPr>
            </w:pPr>
            <w:r>
              <w:rPr>
                <w:rFonts w:hint="eastAsia"/>
                <w:lang w:eastAsia="zh-CN"/>
              </w:rPr>
              <w:t>（</w:t>
            </w:r>
            <w:r>
              <w:rPr>
                <w:rFonts w:hint="eastAsia"/>
                <w:lang w:val="en-US" w:eastAsia="zh-CN"/>
              </w:rPr>
              <w:t>2</w:t>
            </w:r>
            <w:r>
              <w:rPr>
                <w:rFonts w:hint="eastAsia"/>
                <w:lang w:eastAsia="zh-CN"/>
              </w:rPr>
              <w:t>）部分储罐改造，增设内浮盘、保温、伴热等措施。</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lang w:val="en-US" w:eastAsia="zh-CN"/>
              </w:rPr>
            </w:pPr>
            <w:r>
              <w:rPr>
                <w:rFonts w:hint="eastAsia"/>
                <w:lang w:val="en-US" w:eastAsia="zh-CN"/>
              </w:rPr>
              <w:t>10</w:t>
            </w:r>
          </w:p>
        </w:tc>
      </w:tr>
      <w:tr>
        <w:tblPrEx>
          <w:tblLayout w:type="fixed"/>
          <w:tblCellMar>
            <w:top w:w="0" w:type="dxa"/>
            <w:left w:w="108" w:type="dxa"/>
            <w:bottom w:w="0" w:type="dxa"/>
            <w:right w:w="108" w:type="dxa"/>
          </w:tblCellMar>
        </w:tblPrEx>
        <w:trPr>
          <w:trHeight w:val="340" w:hRule="atLeast"/>
        </w:trPr>
        <w:tc>
          <w:tcPr>
            <w:tcW w:w="481" w:type="dxa"/>
            <w:vMerge w:val="continue"/>
            <w:tcBorders>
              <w:bottom w:val="single" w:color="000000" w:sz="4" w:space="0"/>
              <w:right w:val="single" w:color="000000" w:sz="4" w:space="0"/>
            </w:tcBorders>
            <w:shd w:val="clear" w:color="auto" w:fill="auto"/>
            <w:noWrap/>
            <w:vAlign w:val="center"/>
          </w:tcPr>
          <w:p>
            <w:pPr>
              <w:pStyle w:val="24"/>
              <w:jc w:val="center"/>
            </w:pPr>
          </w:p>
        </w:tc>
        <w:tc>
          <w:tcPr>
            <w:tcW w:w="845" w:type="dxa"/>
            <w:vMerge w:val="continue"/>
            <w:tcBorders>
              <w:left w:val="single" w:color="000000" w:sz="4" w:space="0"/>
              <w:bottom w:val="single" w:color="000000" w:sz="4" w:space="0"/>
              <w:right w:val="single" w:color="000000" w:sz="4" w:space="0"/>
            </w:tcBorders>
            <w:shd w:val="clear" w:color="auto" w:fill="auto"/>
            <w:noWrap/>
            <w:vAlign w:val="center"/>
          </w:tcPr>
          <w:p>
            <w:pPr>
              <w:pStyle w:val="24"/>
              <w:jc w:val="center"/>
              <w:rPr>
                <w:rFonts w:hint="eastAsia"/>
                <w:lang w:eastAsia="zh-Hans"/>
              </w:rPr>
            </w:pPr>
          </w:p>
        </w:tc>
        <w:tc>
          <w:tcPr>
            <w:tcW w:w="13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rFonts w:hint="eastAsia"/>
                <w:lang w:eastAsia="zh-Hans"/>
              </w:rPr>
            </w:pPr>
            <w:r>
              <w:t>污水站和危废间废气</w:t>
            </w:r>
          </w:p>
        </w:tc>
        <w:tc>
          <w:tcPr>
            <w:tcW w:w="473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jc w:val="both"/>
            </w:pPr>
            <w:r>
              <w:rPr>
                <w:rFonts w:hint="eastAsia"/>
              </w:rPr>
              <w:t>采取加盖封闭、局部隔离及负压抽吸等措施，抽排废气送碱液喷淋+活性炭吸收处理系统处理15m高排气筒</w:t>
            </w:r>
            <w:r>
              <w:rPr>
                <w:rFonts w:hint="eastAsia"/>
                <w:lang w:eastAsia="zh-CN"/>
              </w:rPr>
              <w:t>（</w:t>
            </w:r>
            <w:r>
              <w:rPr>
                <w:rFonts w:hint="eastAsia"/>
                <w:lang w:val="en-US" w:eastAsia="zh-CN"/>
              </w:rPr>
              <w:t>DA003</w:t>
            </w:r>
            <w:r>
              <w:rPr>
                <w:rFonts w:hint="eastAsia"/>
                <w:lang w:eastAsia="zh-CN"/>
              </w:rPr>
              <w:t>）</w:t>
            </w:r>
            <w:r>
              <w:rPr>
                <w:rFonts w:hint="eastAsia"/>
              </w:rPr>
              <w:t>。</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39.3</w:t>
            </w:r>
          </w:p>
        </w:tc>
      </w:tr>
      <w:tr>
        <w:tblPrEx>
          <w:tblLayout w:type="fixed"/>
          <w:tblCellMar>
            <w:top w:w="0" w:type="dxa"/>
            <w:left w:w="108" w:type="dxa"/>
            <w:bottom w:w="0" w:type="dxa"/>
            <w:right w:w="108" w:type="dxa"/>
          </w:tblCellMar>
        </w:tblPrEx>
        <w:trPr>
          <w:trHeight w:val="340" w:hRule="atLeast"/>
        </w:trPr>
        <w:tc>
          <w:tcPr>
            <w:tcW w:w="481" w:type="dxa"/>
            <w:vMerge w:val="restart"/>
            <w:tcBorders>
              <w:top w:val="single" w:color="000000" w:sz="4" w:space="0"/>
              <w:right w:val="single" w:color="000000" w:sz="4" w:space="0"/>
            </w:tcBorders>
            <w:shd w:val="clear" w:color="auto" w:fill="auto"/>
            <w:noWrap/>
            <w:vAlign w:val="center"/>
          </w:tcPr>
          <w:p>
            <w:pPr>
              <w:pStyle w:val="24"/>
              <w:jc w:val="center"/>
            </w:pPr>
            <w:r>
              <w:t>3</w:t>
            </w:r>
          </w:p>
        </w:tc>
        <w:tc>
          <w:tcPr>
            <w:tcW w:w="845" w:type="dxa"/>
            <w:vMerge w:val="restart"/>
            <w:tcBorders>
              <w:top w:val="single" w:color="000000" w:sz="4" w:space="0"/>
              <w:left w:val="single" w:color="000000" w:sz="4" w:space="0"/>
              <w:right w:val="single" w:color="000000" w:sz="4" w:space="0"/>
            </w:tcBorders>
            <w:shd w:val="clear" w:color="auto" w:fill="auto"/>
            <w:vAlign w:val="center"/>
          </w:tcPr>
          <w:p>
            <w:pPr>
              <w:pStyle w:val="24"/>
              <w:jc w:val="center"/>
              <w:rPr>
                <w:lang w:eastAsia="zh-Hans"/>
              </w:rPr>
            </w:pPr>
            <w:r>
              <w:rPr>
                <w:rFonts w:hint="eastAsia"/>
                <w:lang w:eastAsia="zh-Hans"/>
              </w:rPr>
              <w:t>废水治理措施</w:t>
            </w:r>
          </w:p>
        </w:tc>
        <w:tc>
          <w:tcPr>
            <w:tcW w:w="13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rFonts w:hint="default"/>
                <w:lang w:val="en-US" w:eastAsia="zh-Hans"/>
              </w:rPr>
            </w:pPr>
            <w:r>
              <w:rPr>
                <w:rFonts w:hint="eastAsia"/>
                <w:lang w:val="en-US" w:eastAsia="zh-Hans"/>
              </w:rPr>
              <w:t>生产废水</w:t>
            </w: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both"/>
            </w:pPr>
            <w:r>
              <w:t>雨污分流、清污分流、分质处理原则，</w:t>
            </w:r>
            <w:r>
              <w:br w:type="textWrapping"/>
            </w:r>
            <w:r>
              <w:t>预处理+</w:t>
            </w:r>
            <w:r>
              <w:rPr>
                <w:rFonts w:hint="eastAsia"/>
                <w:lang w:eastAsia="zh-CN"/>
              </w:rPr>
              <w:t>生化处理</w:t>
            </w:r>
            <w:r>
              <w:t>，处理规模360t/d。</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360</w:t>
            </w:r>
          </w:p>
        </w:tc>
      </w:tr>
      <w:tr>
        <w:tblPrEx>
          <w:tblLayout w:type="fixed"/>
          <w:tblCellMar>
            <w:top w:w="0" w:type="dxa"/>
            <w:left w:w="108" w:type="dxa"/>
            <w:bottom w:w="0" w:type="dxa"/>
            <w:right w:w="108" w:type="dxa"/>
          </w:tblCellMar>
        </w:tblPrEx>
        <w:trPr>
          <w:trHeight w:val="340" w:hRule="atLeast"/>
        </w:trPr>
        <w:tc>
          <w:tcPr>
            <w:tcW w:w="481" w:type="dxa"/>
            <w:vMerge w:val="continue"/>
            <w:tcBorders>
              <w:bottom w:val="single" w:color="000000" w:sz="4" w:space="0"/>
              <w:right w:val="single" w:color="000000" w:sz="4" w:space="0"/>
            </w:tcBorders>
            <w:shd w:val="clear" w:color="auto" w:fill="auto"/>
            <w:noWrap/>
            <w:vAlign w:val="center"/>
          </w:tcPr>
          <w:p>
            <w:pPr>
              <w:pStyle w:val="24"/>
              <w:jc w:val="center"/>
            </w:pPr>
          </w:p>
        </w:tc>
        <w:tc>
          <w:tcPr>
            <w:tcW w:w="845" w:type="dxa"/>
            <w:vMerge w:val="continue"/>
            <w:tcBorders>
              <w:left w:val="single" w:color="000000" w:sz="4" w:space="0"/>
              <w:bottom w:val="single" w:color="000000" w:sz="4" w:space="0"/>
              <w:right w:val="single" w:color="000000" w:sz="4" w:space="0"/>
            </w:tcBorders>
            <w:shd w:val="clear" w:color="auto" w:fill="auto"/>
            <w:vAlign w:val="center"/>
          </w:tcPr>
          <w:p>
            <w:pPr>
              <w:pStyle w:val="24"/>
              <w:jc w:val="center"/>
              <w:rPr>
                <w:lang w:eastAsia="zh-Hans"/>
              </w:rPr>
            </w:pPr>
          </w:p>
        </w:tc>
        <w:tc>
          <w:tcPr>
            <w:tcW w:w="13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初期雨水</w:t>
            </w: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both"/>
              <w:rPr>
                <w:rFonts w:hint="default"/>
              </w:rPr>
            </w:pPr>
            <w:r>
              <w:t>设置</w:t>
            </w:r>
            <w:r>
              <w:rPr>
                <w:rFonts w:hint="default"/>
              </w:rPr>
              <w:t>6</w:t>
            </w:r>
            <w:r>
              <w:t>个初期雨水池及切换阀门。</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60</w:t>
            </w:r>
          </w:p>
        </w:tc>
      </w:tr>
      <w:tr>
        <w:tblPrEx>
          <w:tblLayout w:type="fixed"/>
          <w:tblCellMar>
            <w:top w:w="0" w:type="dxa"/>
            <w:left w:w="108" w:type="dxa"/>
            <w:bottom w:w="0" w:type="dxa"/>
            <w:right w:w="108" w:type="dxa"/>
          </w:tblCellMar>
        </w:tblPrEx>
        <w:trPr>
          <w:trHeight w:val="340" w:hRule="atLeast"/>
        </w:trPr>
        <w:tc>
          <w:tcPr>
            <w:tcW w:w="481" w:type="dxa"/>
            <w:tcBorders>
              <w:top w:val="single" w:color="000000" w:sz="4" w:space="0"/>
              <w:bottom w:val="single" w:color="000000" w:sz="4" w:space="0"/>
              <w:right w:val="single" w:color="000000" w:sz="4" w:space="0"/>
            </w:tcBorders>
            <w:shd w:val="clear" w:color="auto" w:fill="auto"/>
            <w:noWrap/>
            <w:vAlign w:val="center"/>
          </w:tcPr>
          <w:p>
            <w:pPr>
              <w:pStyle w:val="24"/>
              <w:jc w:val="center"/>
              <w:rPr>
                <w:rFonts w:hint="default"/>
              </w:rPr>
            </w:pPr>
            <w:r>
              <w:rPr>
                <w:rFonts w:hint="default"/>
              </w:rPr>
              <w:t>4</w:t>
            </w:r>
          </w:p>
        </w:tc>
        <w:tc>
          <w:tcPr>
            <w:tcW w:w="217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rFonts w:hint="default"/>
                <w:lang w:val="en-US" w:eastAsia="zh-Hans"/>
              </w:rPr>
            </w:pPr>
            <w:r>
              <w:rPr>
                <w:rFonts w:hint="eastAsia"/>
                <w:lang w:val="en-US" w:eastAsia="zh-Hans"/>
              </w:rPr>
              <w:t>固废措施</w:t>
            </w: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both"/>
              <w:rPr>
                <w:rFonts w:hint="default"/>
              </w:rPr>
            </w:pPr>
            <w:r>
              <w:t>危废暂存场所、一般固废暂存场所、垃圾桶。</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12</w:t>
            </w:r>
          </w:p>
        </w:tc>
      </w:tr>
      <w:tr>
        <w:tblPrEx>
          <w:tblLayout w:type="fixed"/>
          <w:tblCellMar>
            <w:top w:w="0" w:type="dxa"/>
            <w:left w:w="108" w:type="dxa"/>
            <w:bottom w:w="0" w:type="dxa"/>
            <w:right w:w="108" w:type="dxa"/>
          </w:tblCellMar>
        </w:tblPrEx>
        <w:trPr>
          <w:trHeight w:val="340" w:hRule="atLeast"/>
        </w:trPr>
        <w:tc>
          <w:tcPr>
            <w:tcW w:w="481" w:type="dxa"/>
            <w:tcBorders>
              <w:top w:val="single" w:color="000000" w:sz="4" w:space="0"/>
              <w:bottom w:val="single" w:color="000000" w:sz="4" w:space="0"/>
              <w:right w:val="single" w:color="000000" w:sz="4" w:space="0"/>
            </w:tcBorders>
            <w:shd w:val="clear" w:color="auto" w:fill="auto"/>
            <w:noWrap/>
            <w:vAlign w:val="center"/>
          </w:tcPr>
          <w:p>
            <w:pPr>
              <w:pStyle w:val="24"/>
              <w:jc w:val="center"/>
              <w:rPr>
                <w:rFonts w:hint="default"/>
              </w:rPr>
            </w:pPr>
            <w:r>
              <w:rPr>
                <w:rFonts w:hint="default"/>
              </w:rPr>
              <w:t>5</w:t>
            </w:r>
          </w:p>
        </w:tc>
        <w:tc>
          <w:tcPr>
            <w:tcW w:w="217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噪声防治措施</w:t>
            </w: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both"/>
              <w:rPr>
                <w:rFonts w:hint="default"/>
              </w:rPr>
            </w:pPr>
            <w:r>
              <w:t>减震、隔声、消声等措施。</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10</w:t>
            </w:r>
          </w:p>
        </w:tc>
      </w:tr>
      <w:tr>
        <w:tblPrEx>
          <w:tblLayout w:type="fixed"/>
          <w:tblCellMar>
            <w:top w:w="0" w:type="dxa"/>
            <w:left w:w="108" w:type="dxa"/>
            <w:bottom w:w="0" w:type="dxa"/>
            <w:right w:w="108" w:type="dxa"/>
          </w:tblCellMar>
        </w:tblPrEx>
        <w:trPr>
          <w:trHeight w:val="340" w:hRule="atLeast"/>
        </w:trPr>
        <w:tc>
          <w:tcPr>
            <w:tcW w:w="481" w:type="dxa"/>
            <w:vMerge w:val="restart"/>
            <w:tcBorders>
              <w:top w:val="single" w:color="000000" w:sz="4" w:space="0"/>
              <w:right w:val="single" w:color="000000" w:sz="4" w:space="0"/>
            </w:tcBorders>
            <w:shd w:val="clear" w:color="auto" w:fill="auto"/>
            <w:noWrap/>
            <w:vAlign w:val="center"/>
          </w:tcPr>
          <w:p>
            <w:pPr>
              <w:pStyle w:val="24"/>
              <w:jc w:val="center"/>
              <w:rPr>
                <w:rFonts w:hint="default"/>
                <w:lang w:val="en-US"/>
              </w:rPr>
            </w:pPr>
            <w:r>
              <w:rPr>
                <w:rFonts w:hint="default"/>
              </w:rPr>
              <w:t>6</w:t>
            </w:r>
          </w:p>
        </w:tc>
        <w:tc>
          <w:tcPr>
            <w:tcW w:w="2178" w:type="dxa"/>
            <w:gridSpan w:val="2"/>
            <w:vMerge w:val="restart"/>
            <w:tcBorders>
              <w:top w:val="single" w:color="000000" w:sz="4" w:space="0"/>
              <w:left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地下水污染防治措施</w:t>
            </w:r>
          </w:p>
        </w:tc>
        <w:tc>
          <w:tcPr>
            <w:tcW w:w="473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jc w:val="both"/>
              <w:rPr>
                <w:rFonts w:hint="default"/>
              </w:rPr>
            </w:pPr>
            <w:r>
              <w:t>特殊污染防治区、重点污染防治区和一般污染防治区的防渗措施；</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35</w:t>
            </w:r>
          </w:p>
        </w:tc>
      </w:tr>
      <w:tr>
        <w:tblPrEx>
          <w:tblLayout w:type="fixed"/>
          <w:tblCellMar>
            <w:top w:w="0" w:type="dxa"/>
            <w:left w:w="108" w:type="dxa"/>
            <w:bottom w:w="0" w:type="dxa"/>
            <w:right w:w="108" w:type="dxa"/>
          </w:tblCellMar>
        </w:tblPrEx>
        <w:trPr>
          <w:trHeight w:val="340" w:hRule="atLeast"/>
        </w:trPr>
        <w:tc>
          <w:tcPr>
            <w:tcW w:w="481" w:type="dxa"/>
            <w:vMerge w:val="continue"/>
            <w:tcBorders>
              <w:bottom w:val="single" w:color="000000" w:sz="4" w:space="0"/>
              <w:right w:val="single" w:color="000000" w:sz="4" w:space="0"/>
            </w:tcBorders>
            <w:shd w:val="clear" w:color="auto" w:fill="auto"/>
            <w:noWrap/>
            <w:vAlign w:val="center"/>
          </w:tcPr>
          <w:p>
            <w:pPr>
              <w:pStyle w:val="24"/>
              <w:jc w:val="center"/>
            </w:pPr>
          </w:p>
        </w:tc>
        <w:tc>
          <w:tcPr>
            <w:tcW w:w="2178" w:type="dxa"/>
            <w:gridSpan w:val="2"/>
            <w:vMerge w:val="continue"/>
            <w:tcBorders>
              <w:left w:val="single" w:color="000000" w:sz="4" w:space="0"/>
              <w:bottom w:val="single" w:color="000000" w:sz="4" w:space="0"/>
              <w:right w:val="single" w:color="000000" w:sz="4" w:space="0"/>
            </w:tcBorders>
            <w:shd w:val="clear" w:color="auto" w:fill="auto"/>
            <w:noWrap/>
            <w:vAlign w:val="center"/>
          </w:tcPr>
          <w:p>
            <w:pPr>
              <w:pStyle w:val="24"/>
              <w:jc w:val="center"/>
              <w:rPr>
                <w:rFonts w:hint="eastAsia"/>
                <w:lang w:eastAsia="zh-Hans"/>
              </w:rPr>
            </w:pPr>
          </w:p>
        </w:tc>
        <w:tc>
          <w:tcPr>
            <w:tcW w:w="473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jc w:val="both"/>
            </w:pPr>
            <w:r>
              <w:t>设置地下水监控井。</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10</w:t>
            </w:r>
          </w:p>
        </w:tc>
      </w:tr>
      <w:tr>
        <w:tblPrEx>
          <w:tblLayout w:type="fixed"/>
          <w:tblCellMar>
            <w:top w:w="0" w:type="dxa"/>
            <w:left w:w="108" w:type="dxa"/>
            <w:bottom w:w="0" w:type="dxa"/>
            <w:right w:w="108" w:type="dxa"/>
          </w:tblCellMar>
        </w:tblPrEx>
        <w:trPr>
          <w:trHeight w:val="340" w:hRule="atLeast"/>
        </w:trPr>
        <w:tc>
          <w:tcPr>
            <w:tcW w:w="481" w:type="dxa"/>
            <w:vMerge w:val="restart"/>
            <w:tcBorders>
              <w:top w:val="single" w:color="000000" w:sz="4" w:space="0"/>
              <w:right w:val="single" w:color="000000" w:sz="4" w:space="0"/>
            </w:tcBorders>
            <w:shd w:val="clear" w:color="auto" w:fill="auto"/>
            <w:noWrap/>
            <w:vAlign w:val="center"/>
          </w:tcPr>
          <w:p>
            <w:pPr>
              <w:pStyle w:val="24"/>
              <w:jc w:val="center"/>
              <w:rPr>
                <w:rFonts w:hint="default"/>
                <w:lang w:val="en-US"/>
              </w:rPr>
            </w:pPr>
            <w:r>
              <w:rPr>
                <w:rFonts w:hint="default"/>
              </w:rPr>
              <w:t>7</w:t>
            </w:r>
          </w:p>
        </w:tc>
        <w:tc>
          <w:tcPr>
            <w:tcW w:w="2178" w:type="dxa"/>
            <w:gridSpan w:val="2"/>
            <w:vMerge w:val="restart"/>
            <w:tcBorders>
              <w:top w:val="single" w:color="000000" w:sz="4" w:space="0"/>
              <w:left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环境风险应急预案</w:t>
            </w: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both"/>
              <w:rPr>
                <w:rFonts w:hint="default"/>
              </w:rPr>
            </w:pPr>
            <w:r>
              <w:t>泄漏及火灾报警等设施；</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28</w:t>
            </w:r>
          </w:p>
        </w:tc>
      </w:tr>
      <w:tr>
        <w:tblPrEx>
          <w:tblLayout w:type="fixed"/>
          <w:tblCellMar>
            <w:top w:w="0" w:type="dxa"/>
            <w:left w:w="108" w:type="dxa"/>
            <w:bottom w:w="0" w:type="dxa"/>
            <w:right w:w="108" w:type="dxa"/>
          </w:tblCellMar>
        </w:tblPrEx>
        <w:trPr>
          <w:trHeight w:val="340" w:hRule="atLeast"/>
        </w:trPr>
        <w:tc>
          <w:tcPr>
            <w:tcW w:w="481" w:type="dxa"/>
            <w:vMerge w:val="continue"/>
            <w:tcBorders>
              <w:bottom w:val="single" w:color="000000" w:sz="4" w:space="0"/>
              <w:right w:val="single" w:color="000000" w:sz="4" w:space="0"/>
            </w:tcBorders>
            <w:shd w:val="clear" w:color="auto" w:fill="auto"/>
            <w:noWrap/>
            <w:vAlign w:val="center"/>
          </w:tcPr>
          <w:p>
            <w:pPr>
              <w:pStyle w:val="24"/>
              <w:jc w:val="center"/>
            </w:pPr>
          </w:p>
        </w:tc>
        <w:tc>
          <w:tcPr>
            <w:tcW w:w="2178" w:type="dxa"/>
            <w:gridSpan w:val="2"/>
            <w:vMerge w:val="continue"/>
            <w:tcBorders>
              <w:left w:val="single" w:color="000000" w:sz="4" w:space="0"/>
              <w:bottom w:val="single" w:color="000000" w:sz="4" w:space="0"/>
              <w:right w:val="single" w:color="000000" w:sz="4" w:space="0"/>
            </w:tcBorders>
            <w:shd w:val="clear" w:color="auto" w:fill="auto"/>
            <w:noWrap/>
            <w:vAlign w:val="center"/>
          </w:tcPr>
          <w:p>
            <w:pPr>
              <w:pStyle w:val="24"/>
              <w:jc w:val="center"/>
              <w:rPr>
                <w:rFonts w:hint="eastAsia"/>
                <w:lang w:eastAsia="zh-Hans"/>
              </w:rPr>
            </w:pP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both"/>
              <w:rPr>
                <w:rFonts w:hint="default"/>
              </w:rPr>
            </w:pPr>
            <w:r>
              <w:t>事故应急池4000m³及导流收集系统等。</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110</w:t>
            </w:r>
          </w:p>
        </w:tc>
      </w:tr>
      <w:tr>
        <w:tblPrEx>
          <w:tblLayout w:type="fixed"/>
          <w:tblCellMar>
            <w:top w:w="0" w:type="dxa"/>
            <w:left w:w="108" w:type="dxa"/>
            <w:bottom w:w="0" w:type="dxa"/>
            <w:right w:w="108" w:type="dxa"/>
          </w:tblCellMar>
        </w:tblPrEx>
        <w:trPr>
          <w:trHeight w:val="340" w:hRule="atLeast"/>
        </w:trPr>
        <w:tc>
          <w:tcPr>
            <w:tcW w:w="481" w:type="dxa"/>
            <w:tcBorders>
              <w:top w:val="single" w:color="000000" w:sz="4" w:space="0"/>
              <w:bottom w:val="single" w:color="000000" w:sz="4" w:space="0"/>
              <w:right w:val="single" w:color="000000" w:sz="4" w:space="0"/>
            </w:tcBorders>
            <w:shd w:val="clear" w:color="auto" w:fill="auto"/>
            <w:noWrap/>
            <w:vAlign w:val="center"/>
          </w:tcPr>
          <w:p>
            <w:pPr>
              <w:pStyle w:val="24"/>
              <w:jc w:val="center"/>
            </w:pPr>
            <w:r>
              <w:t>7</w:t>
            </w:r>
          </w:p>
        </w:tc>
        <w:tc>
          <w:tcPr>
            <w:tcW w:w="217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排污口规范化建设</w:t>
            </w:r>
          </w:p>
        </w:tc>
        <w:tc>
          <w:tcPr>
            <w:tcW w:w="47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both"/>
            </w:pPr>
            <w:r>
              <w:t>各污染源排放口设置环境保护专项图标</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eastAsia" w:eastAsia="宋体"/>
                <w:lang w:val="en-US" w:eastAsia="zh-CN"/>
              </w:rPr>
            </w:pPr>
            <w:r>
              <w:rPr>
                <w:rFonts w:hint="eastAsia"/>
                <w:lang w:val="en-US" w:eastAsia="zh-CN"/>
              </w:rPr>
              <w:t>5</w:t>
            </w:r>
          </w:p>
        </w:tc>
      </w:tr>
      <w:tr>
        <w:tblPrEx>
          <w:tblLayout w:type="fixed"/>
          <w:tblCellMar>
            <w:top w:w="0" w:type="dxa"/>
            <w:left w:w="108" w:type="dxa"/>
            <w:bottom w:w="0" w:type="dxa"/>
            <w:right w:w="108" w:type="dxa"/>
          </w:tblCellMar>
        </w:tblPrEx>
        <w:trPr>
          <w:trHeight w:val="340" w:hRule="atLeast"/>
        </w:trPr>
        <w:tc>
          <w:tcPr>
            <w:tcW w:w="481" w:type="dxa"/>
            <w:tcBorders>
              <w:top w:val="single" w:color="000000" w:sz="4" w:space="0"/>
              <w:bottom w:val="single" w:color="000000" w:sz="4" w:space="0"/>
              <w:right w:val="single" w:color="000000" w:sz="4" w:space="0"/>
            </w:tcBorders>
            <w:shd w:val="clear" w:color="auto" w:fill="auto"/>
            <w:noWrap/>
            <w:vAlign w:val="center"/>
          </w:tcPr>
          <w:p>
            <w:pPr>
              <w:pStyle w:val="24"/>
              <w:jc w:val="center"/>
            </w:pPr>
            <w:r>
              <w:t>8</w:t>
            </w:r>
          </w:p>
        </w:tc>
        <w:tc>
          <w:tcPr>
            <w:tcW w:w="6915"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24"/>
              <w:jc w:val="center"/>
              <w:rPr>
                <w:lang w:eastAsia="zh-Hans"/>
              </w:rPr>
            </w:pPr>
            <w:r>
              <w:rPr>
                <w:rFonts w:hint="eastAsia"/>
                <w:lang w:eastAsia="zh-Hans"/>
              </w:rPr>
              <w:t>环保日常监测与管理</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10</w:t>
            </w:r>
          </w:p>
        </w:tc>
      </w:tr>
      <w:tr>
        <w:tblPrEx>
          <w:tblLayout w:type="fixed"/>
          <w:tblCellMar>
            <w:top w:w="0" w:type="dxa"/>
            <w:left w:w="108" w:type="dxa"/>
            <w:bottom w:w="0" w:type="dxa"/>
            <w:right w:w="108" w:type="dxa"/>
          </w:tblCellMar>
        </w:tblPrEx>
        <w:trPr>
          <w:trHeight w:val="340" w:hRule="atLeast"/>
        </w:trPr>
        <w:tc>
          <w:tcPr>
            <w:tcW w:w="7396" w:type="dxa"/>
            <w:gridSpan w:val="4"/>
            <w:tcBorders>
              <w:top w:val="single" w:color="000000" w:sz="4" w:space="0"/>
              <w:bottom w:val="single" w:color="000000" w:sz="4" w:space="0"/>
              <w:right w:val="single" w:color="000000" w:sz="4" w:space="0"/>
            </w:tcBorders>
            <w:shd w:val="clear" w:color="auto" w:fill="auto"/>
            <w:noWrap/>
            <w:vAlign w:val="center"/>
          </w:tcPr>
          <w:p>
            <w:pPr>
              <w:pStyle w:val="24"/>
              <w:jc w:val="center"/>
            </w:pPr>
            <w:r>
              <w:t>合计</w:t>
            </w:r>
          </w:p>
        </w:tc>
        <w:tc>
          <w:tcPr>
            <w:tcW w:w="1123" w:type="dxa"/>
            <w:tcBorders>
              <w:top w:val="single" w:color="000000" w:sz="4" w:space="0"/>
              <w:left w:val="single" w:color="000000" w:sz="4" w:space="0"/>
              <w:bottom w:val="single" w:color="000000" w:sz="4" w:space="0"/>
            </w:tcBorders>
            <w:shd w:val="clear" w:color="auto" w:fill="auto"/>
            <w:noWrap/>
            <w:vAlign w:val="center"/>
          </w:tcPr>
          <w:p>
            <w:pPr>
              <w:pStyle w:val="24"/>
              <w:jc w:val="center"/>
              <w:rPr>
                <w:rFonts w:hint="default" w:eastAsia="宋体"/>
                <w:lang w:val="en-US" w:eastAsia="zh-CN"/>
              </w:rPr>
            </w:pPr>
            <w:r>
              <w:rPr>
                <w:rFonts w:hint="eastAsia"/>
                <w:lang w:val="en-US" w:eastAsia="zh-CN"/>
              </w:rPr>
              <w:t>1369.3</w:t>
            </w:r>
          </w:p>
        </w:tc>
      </w:tr>
    </w:tbl>
    <w:p>
      <w:pPr>
        <w:pStyle w:val="18"/>
        <w:spacing w:before="156" w:beforeLines="50"/>
      </w:pPr>
      <w:bookmarkStart w:id="122" w:name="_Toc13174"/>
      <w:bookmarkStart w:id="123" w:name="_Toc73906422"/>
      <w:r>
        <w:t>4.</w:t>
      </w:r>
      <w:r>
        <w:rPr>
          <w:rFonts w:hint="eastAsia"/>
          <w:lang w:val="en-US" w:eastAsia="zh-CN"/>
        </w:rPr>
        <w:t>3</w:t>
      </w:r>
      <w:r>
        <w:t>.2 环保措施</w:t>
      </w:r>
      <w:r>
        <w:rPr>
          <w:lang w:eastAsia="zh-Hans"/>
        </w:rPr>
        <w:t>及</w:t>
      </w:r>
      <w:r>
        <w:rPr>
          <w:rFonts w:hint="eastAsia"/>
          <w:lang w:eastAsia="zh-Hans"/>
        </w:rPr>
        <w:t>“</w:t>
      </w:r>
      <w:r>
        <w:rPr>
          <w:lang w:eastAsia="zh-Hans"/>
        </w:rPr>
        <w:t>三同时</w:t>
      </w:r>
      <w:r>
        <w:rPr>
          <w:rFonts w:hint="eastAsia"/>
          <w:lang w:eastAsia="zh-Hans"/>
        </w:rPr>
        <w:t>”</w:t>
      </w:r>
      <w:r>
        <w:t>落实情况</w:t>
      </w:r>
      <w:bookmarkEnd w:id="122"/>
      <w:bookmarkEnd w:id="123"/>
    </w:p>
    <w:p>
      <w:pPr>
        <w:pStyle w:val="19"/>
        <w:ind w:firstLine="480"/>
      </w:pPr>
      <w:r>
        <w:t>根据</w:t>
      </w:r>
      <w:r>
        <w:rPr>
          <w:lang w:eastAsia="zh-Hans"/>
        </w:rPr>
        <w:t>《环境监理总结报告》</w:t>
      </w:r>
      <w:r>
        <w:t>、建设单位提供的资料及现场核查，</w:t>
      </w:r>
      <w:r>
        <w:rPr>
          <w:rFonts w:hint="eastAsia"/>
        </w:rPr>
        <w:t>湄洲湾港斗尾港区斗尾作业区7#泊位及港丰石化仓储项目货种调整改扩建工程</w:t>
      </w:r>
      <w:r>
        <w:t>基本按环评落实相关环保措施。</w:t>
      </w:r>
      <w:r>
        <w:rPr>
          <w:lang w:val="en-US"/>
        </w:rPr>
        <w:t>福建港丰能源有限公司</w:t>
      </w:r>
      <w:r>
        <w:t>加强施工期环境管理，工程监理和环境监理，通过现场巡检工作监督各类配套环保设施与主体工程建设进度基本保持一致，符合相关要求，环保</w:t>
      </w:r>
      <w:r>
        <w:rPr>
          <w:rFonts w:hint="eastAsia"/>
          <w:lang w:eastAsia="zh-Hans"/>
        </w:rPr>
        <w:t>“</w:t>
      </w:r>
      <w:r>
        <w:t>三同时</w:t>
      </w:r>
      <w:r>
        <w:rPr>
          <w:rFonts w:hint="eastAsia"/>
          <w:lang w:eastAsia="zh-Hans"/>
        </w:rPr>
        <w:t>”</w:t>
      </w:r>
      <w:r>
        <w:t>制度有效落实，环保设施与主体工程同时设计、同时施工、同时建成投入使用。项目环保</w:t>
      </w:r>
      <w:r>
        <w:rPr>
          <w:rFonts w:hint="eastAsia"/>
          <w:lang w:eastAsia="zh-Hans"/>
        </w:rPr>
        <w:t>“</w:t>
      </w:r>
      <w:r>
        <w:t>三同时</w:t>
      </w:r>
      <w:r>
        <w:rPr>
          <w:rFonts w:hint="eastAsia"/>
          <w:lang w:eastAsia="zh-Hans"/>
        </w:rPr>
        <w:t>”</w:t>
      </w:r>
      <w:r>
        <w:t>落实情况详见表4.</w:t>
      </w:r>
      <w:r>
        <w:rPr>
          <w:rFonts w:hint="eastAsia"/>
          <w:lang w:val="en-US" w:eastAsia="zh-CN"/>
        </w:rPr>
        <w:t>3</w:t>
      </w:r>
      <w:r>
        <w:t>.2。</w:t>
      </w:r>
    </w:p>
    <w:p>
      <w:pPr>
        <w:pStyle w:val="19"/>
        <w:ind w:firstLine="0" w:firstLineChars="0"/>
        <w:rPr>
          <w:lang w:val="en-US"/>
        </w:rPr>
        <w:sectPr>
          <w:pgSz w:w="11906" w:h="16838"/>
          <w:pgMar w:top="1134" w:right="1800" w:bottom="1134"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bidi w:val="0"/>
        <w:rPr>
          <w:lang w:val="en-US"/>
        </w:rPr>
      </w:pPr>
      <w:r>
        <w:rPr>
          <w:lang w:val="en-US"/>
        </w:rPr>
        <w:t>表4.</w:t>
      </w:r>
      <w:r>
        <w:rPr>
          <w:rFonts w:hint="eastAsia"/>
          <w:lang w:val="en-US" w:eastAsia="zh-CN"/>
        </w:rPr>
        <w:t>3</w:t>
      </w:r>
      <w:r>
        <w:rPr>
          <w:lang w:val="en-US"/>
        </w:rPr>
        <w:t>.2 项目环保</w:t>
      </w:r>
      <w:r>
        <w:rPr>
          <w:lang w:val="en-US" w:eastAsia="zh-Hans"/>
        </w:rPr>
        <w:t>措施及</w:t>
      </w:r>
      <w:r>
        <w:rPr>
          <w:rFonts w:hint="eastAsia"/>
          <w:lang w:val="en-US" w:eastAsia="zh-Hans"/>
        </w:rPr>
        <w:t>“</w:t>
      </w:r>
      <w:r>
        <w:rPr>
          <w:lang w:val="en-US"/>
        </w:rPr>
        <w:t>三同时</w:t>
      </w:r>
      <w:r>
        <w:rPr>
          <w:rFonts w:hint="eastAsia"/>
          <w:lang w:val="en-US" w:eastAsia="zh-Hans"/>
        </w:rPr>
        <w:t>”</w:t>
      </w:r>
      <w:r>
        <w:rPr>
          <w:lang w:val="en-US"/>
        </w:rPr>
        <w:t>落实情况表</w:t>
      </w:r>
    </w:p>
    <w:tbl>
      <w:tblPr>
        <w:tblStyle w:val="14"/>
        <w:tblW w:w="1415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793"/>
        <w:gridCol w:w="3700"/>
        <w:gridCol w:w="3621"/>
        <w:gridCol w:w="3827"/>
        <w:gridCol w:w="179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7" w:hRule="atLeast"/>
        </w:trPr>
        <w:tc>
          <w:tcPr>
            <w:tcW w:w="1218" w:type="dxa"/>
            <w:gridSpan w:val="2"/>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类别</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环评要求的主要环保措施</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设计内容</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落实情况</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与环评相符性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29" w:hRule="atLeast"/>
        </w:trPr>
        <w:tc>
          <w:tcPr>
            <w:tcW w:w="425" w:type="dxa"/>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1</w:t>
            </w:r>
          </w:p>
        </w:tc>
        <w:tc>
          <w:tcPr>
            <w:tcW w:w="793" w:type="dxa"/>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废水</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厂区雨污分流、污污分流，建设分质分流的废水收集系统</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厂区雨污分流、污污分流，建设分质分流的废水收集系统</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厂区建设了分质分流的废水收集系统，实现雨污、污污分流。</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Han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90"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码头设置3个5</w:t>
            </w:r>
            <w:r>
              <w:rPr>
                <w:lang w:val="en-US"/>
              </w:rPr>
              <w:t>7</w:t>
            </w:r>
            <w:r>
              <w:rPr>
                <w:rFonts w:hint="eastAsia"/>
                <w:lang w:val="en-US"/>
              </w:rPr>
              <w:t>m</w:t>
            </w:r>
            <w:r>
              <w:rPr>
                <w:vertAlign w:val="superscript"/>
                <w:lang w:val="en-US"/>
              </w:rPr>
              <w:t>3</w:t>
            </w:r>
            <w:r>
              <w:rPr>
                <w:rFonts w:hint="eastAsia"/>
                <w:lang w:val="en-US"/>
              </w:rPr>
              <w:t>的集污池；库区</w:t>
            </w:r>
            <w:r>
              <w:rPr>
                <w:lang w:val="en-US"/>
              </w:rPr>
              <w:t>分别设置</w:t>
            </w:r>
            <w:r>
              <w:rPr>
                <w:rFonts w:hint="eastAsia"/>
                <w:lang w:val="en-US"/>
              </w:rPr>
              <w:t>1</w:t>
            </w:r>
            <w:r>
              <w:rPr>
                <w:lang w:val="en-US"/>
              </w:rPr>
              <w:t>座600m</w:t>
            </w:r>
            <w:r>
              <w:rPr>
                <w:vertAlign w:val="superscript"/>
                <w:lang w:val="en-US"/>
              </w:rPr>
              <w:t>3</w:t>
            </w:r>
            <w:r>
              <w:rPr>
                <w:lang w:val="en-US"/>
              </w:rPr>
              <w:t>含油污水</w:t>
            </w:r>
            <w:r>
              <w:rPr>
                <w:rFonts w:hint="eastAsia"/>
                <w:lang w:val="en-US"/>
              </w:rPr>
              <w:t>调节池、1座8</w:t>
            </w:r>
            <w:r>
              <w:rPr>
                <w:lang w:val="en-US"/>
              </w:rPr>
              <w:t>00m3含化工品污水调节池、1座360m</w:t>
            </w:r>
            <w:r>
              <w:rPr>
                <w:vertAlign w:val="superscript"/>
                <w:lang w:val="en-US"/>
              </w:rPr>
              <w:t>3</w:t>
            </w:r>
            <w:r>
              <w:rPr>
                <w:lang w:val="en-US"/>
              </w:rPr>
              <w:t>综合污水调节池</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码头设置3个5</w:t>
            </w:r>
            <w:r>
              <w:rPr>
                <w:lang w:val="en-US"/>
              </w:rPr>
              <w:t>7</w:t>
            </w:r>
            <w:r>
              <w:rPr>
                <w:rFonts w:hint="eastAsia"/>
                <w:lang w:val="en-US"/>
              </w:rPr>
              <w:t>m</w:t>
            </w:r>
            <w:r>
              <w:rPr>
                <w:vertAlign w:val="superscript"/>
                <w:lang w:val="en-US"/>
              </w:rPr>
              <w:t>3</w:t>
            </w:r>
            <w:r>
              <w:rPr>
                <w:rFonts w:hint="eastAsia"/>
                <w:lang w:val="en-US"/>
              </w:rPr>
              <w:t>的集污池；库区</w:t>
            </w:r>
            <w:r>
              <w:rPr>
                <w:lang w:val="en-US"/>
              </w:rPr>
              <w:t>分别设置</w:t>
            </w:r>
            <w:r>
              <w:rPr>
                <w:rFonts w:hint="eastAsia"/>
                <w:lang w:val="en-US"/>
              </w:rPr>
              <w:t>1</w:t>
            </w:r>
            <w:r>
              <w:rPr>
                <w:lang w:val="en-US"/>
              </w:rPr>
              <w:t>座600m</w:t>
            </w:r>
            <w:r>
              <w:rPr>
                <w:vertAlign w:val="superscript"/>
                <w:lang w:val="en-US"/>
              </w:rPr>
              <w:t>3</w:t>
            </w:r>
            <w:r>
              <w:rPr>
                <w:lang w:val="en-US"/>
              </w:rPr>
              <w:t>含油污水</w:t>
            </w:r>
            <w:r>
              <w:rPr>
                <w:rFonts w:hint="eastAsia"/>
                <w:lang w:val="en-US"/>
              </w:rPr>
              <w:t>调节池、1座8</w:t>
            </w:r>
            <w:r>
              <w:rPr>
                <w:lang w:val="en-US"/>
              </w:rPr>
              <w:t>00m</w:t>
            </w:r>
            <w:r>
              <w:rPr>
                <w:vertAlign w:val="superscript"/>
                <w:lang w:val="en-US"/>
              </w:rPr>
              <w:t>3</w:t>
            </w:r>
            <w:r>
              <w:rPr>
                <w:lang w:val="en-US"/>
              </w:rPr>
              <w:t>含化工品污水调节池、1座360m</w:t>
            </w:r>
            <w:r>
              <w:rPr>
                <w:vertAlign w:val="superscript"/>
                <w:lang w:val="en-US"/>
              </w:rPr>
              <w:t>3</w:t>
            </w:r>
            <w:r>
              <w:rPr>
                <w:lang w:val="en-US"/>
              </w:rPr>
              <w:t>综合污水调节池</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码头设置3个57m</w:t>
            </w:r>
            <w:r>
              <w:rPr>
                <w:rFonts w:hint="eastAsia"/>
                <w:vertAlign w:val="superscript"/>
                <w:lang w:val="en-US"/>
              </w:rPr>
              <w:t>3</w:t>
            </w:r>
            <w:r>
              <w:rPr>
                <w:rFonts w:hint="eastAsia"/>
                <w:lang w:val="en-US"/>
              </w:rPr>
              <w:t>的集污池</w:t>
            </w:r>
            <w:r>
              <w:rPr>
                <w:rFonts w:hint="eastAsia"/>
                <w:lang w:val="en-US" w:eastAsia="zh-CN"/>
              </w:rPr>
              <w:t>；</w:t>
            </w:r>
            <w:r>
              <w:rPr>
                <w:rFonts w:hint="eastAsia"/>
                <w:lang w:val="en-US"/>
              </w:rPr>
              <w:t>污水收集处理</w:t>
            </w:r>
            <w:r>
              <w:rPr>
                <w:rFonts w:hint="eastAsia"/>
                <w:lang w:val="en-US" w:eastAsia="zh-Hans"/>
              </w:rPr>
              <w:t>设置</w:t>
            </w:r>
            <w:r>
              <w:rPr>
                <w:rFonts w:hint="eastAsia"/>
                <w:lang w:val="en-US"/>
              </w:rPr>
              <w:t>600m</w:t>
            </w:r>
            <w:r>
              <w:rPr>
                <w:rFonts w:hint="eastAsia"/>
                <w:vertAlign w:val="superscript"/>
                <w:lang w:val="en-US"/>
              </w:rPr>
              <w:t>3</w:t>
            </w:r>
            <w:r>
              <w:rPr>
                <w:rFonts w:hint="eastAsia"/>
                <w:lang w:val="en-US"/>
              </w:rPr>
              <w:t>含油污水池、800m</w:t>
            </w:r>
            <w:r>
              <w:rPr>
                <w:rFonts w:hint="eastAsia"/>
                <w:vertAlign w:val="superscript"/>
                <w:lang w:val="en-US"/>
              </w:rPr>
              <w:t>3</w:t>
            </w:r>
            <w:r>
              <w:rPr>
                <w:rFonts w:hint="eastAsia"/>
                <w:lang w:val="en-US"/>
              </w:rPr>
              <w:t>化工品废水调节池</w:t>
            </w:r>
            <w:r>
              <w:rPr>
                <w:rFonts w:hint="default"/>
                <w:lang w:val="en-US"/>
              </w:rPr>
              <w:t>、</w:t>
            </w:r>
            <w:r>
              <w:rPr>
                <w:rFonts w:hint="eastAsia"/>
                <w:lang w:val="en-US" w:eastAsia="zh-CN"/>
              </w:rPr>
              <w:t>合计</w:t>
            </w:r>
            <w:r>
              <w:rPr>
                <w:rFonts w:hint="default"/>
                <w:lang w:val="en-US"/>
              </w:rPr>
              <w:t>65</w:t>
            </w:r>
            <w:r>
              <w:rPr>
                <w:lang w:val="en-US"/>
              </w:rPr>
              <w:t>m</w:t>
            </w:r>
            <w:r>
              <w:rPr>
                <w:vertAlign w:val="superscript"/>
                <w:lang w:val="en-US"/>
              </w:rPr>
              <w:t>3</w:t>
            </w:r>
            <w:r>
              <w:rPr>
                <w:lang w:val="en-US"/>
              </w:rPr>
              <w:t>生活污水集水池</w:t>
            </w:r>
            <w:r>
              <w:rPr>
                <w:rFonts w:hint="eastAsia"/>
                <w:lang w:val="en-US"/>
              </w:rPr>
              <w:t>及360t/d污水处理站。</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Han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5"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建设含化工品废水预处理装置(10m</w:t>
            </w:r>
            <w:r>
              <w:rPr>
                <w:rFonts w:hint="eastAsia"/>
                <w:vertAlign w:val="superscript"/>
                <w:lang w:val="en-US"/>
              </w:rPr>
              <w:t>3</w:t>
            </w:r>
            <w:r>
              <w:rPr>
                <w:rFonts w:hint="eastAsia"/>
                <w:lang w:val="en-US"/>
              </w:rPr>
              <w:t>/h)、含油废水预处理装置(10m</w:t>
            </w:r>
            <w:r>
              <w:rPr>
                <w:rFonts w:hint="eastAsia"/>
                <w:vertAlign w:val="superscript"/>
                <w:lang w:val="en-US"/>
              </w:rPr>
              <w:t>3</w:t>
            </w:r>
            <w:r>
              <w:rPr>
                <w:rFonts w:hint="eastAsia"/>
                <w:lang w:val="en-US"/>
              </w:rPr>
              <w:t>/h)、后续生化及深度处理装置(15m</w:t>
            </w:r>
            <w:r>
              <w:rPr>
                <w:rFonts w:hint="eastAsia"/>
                <w:vertAlign w:val="superscript"/>
                <w:lang w:val="en-US"/>
              </w:rPr>
              <w:t>3</w:t>
            </w:r>
            <w:r>
              <w:rPr>
                <w:rFonts w:hint="eastAsia"/>
                <w:lang w:val="en-US"/>
              </w:rPr>
              <w:t>/h，含生活污水)</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eastAsia="zh-Hans"/>
              </w:rPr>
            </w:pPr>
            <w:r>
              <w:rPr>
                <w:rFonts w:hint="eastAsia"/>
                <w:lang w:val="en-US"/>
              </w:rPr>
              <w:t>建设含化工品废水预处理装置(10m</w:t>
            </w:r>
            <w:r>
              <w:rPr>
                <w:rFonts w:hint="eastAsia"/>
                <w:vertAlign w:val="superscript"/>
                <w:lang w:val="en-US"/>
              </w:rPr>
              <w:t>3</w:t>
            </w:r>
            <w:r>
              <w:rPr>
                <w:rFonts w:hint="eastAsia"/>
                <w:lang w:val="en-US"/>
              </w:rPr>
              <w:t>/h)、含油废水预处理装置(10m</w:t>
            </w:r>
            <w:r>
              <w:rPr>
                <w:rFonts w:hint="eastAsia"/>
                <w:vertAlign w:val="superscript"/>
                <w:lang w:val="en-US"/>
              </w:rPr>
              <w:t>3</w:t>
            </w:r>
            <w:r>
              <w:rPr>
                <w:rFonts w:hint="eastAsia"/>
                <w:lang w:val="en-US"/>
              </w:rPr>
              <w:t>/h)、后续生化及深度处理装置(15m</w:t>
            </w:r>
            <w:r>
              <w:rPr>
                <w:rFonts w:hint="eastAsia"/>
                <w:vertAlign w:val="superscript"/>
                <w:lang w:val="en-US"/>
              </w:rPr>
              <w:t>3</w:t>
            </w:r>
            <w:r>
              <w:rPr>
                <w:rFonts w:hint="eastAsia"/>
                <w:lang w:val="en-US"/>
              </w:rPr>
              <w:t>/h，含生活污水)</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lang w:val="en-US" w:eastAsia="zh-Hans"/>
              </w:rPr>
              <w:t>污水</w:t>
            </w:r>
            <w:r>
              <w:rPr>
                <w:lang w:val="en-US"/>
              </w:rPr>
              <w:t>处理工艺为“分类预处理+生化处理+过滤处理”，规模360t/d，含油废水经隔油后、含化学品废水经fenton处理后汇入化学除油沉淀池，再经气浮预处理后生化处理，生化</w:t>
            </w:r>
            <w:r>
              <w:rPr>
                <w:lang w:val="en-US" w:eastAsia="zh-Hans"/>
              </w:rPr>
              <w:t>单元采用“水解酸化+3段接触氧化”工艺，</w:t>
            </w:r>
            <w:r>
              <w:rPr>
                <w:lang w:val="en-US"/>
              </w:rPr>
              <w:t>生化</w:t>
            </w:r>
            <w:r>
              <w:rPr>
                <w:lang w:val="en-US" w:eastAsia="zh-Hans"/>
              </w:rPr>
              <w:t>出水</w:t>
            </w:r>
            <w:r>
              <w:rPr>
                <w:lang w:val="en-US"/>
              </w:rPr>
              <w:t>后设置果壳过滤。本项目废水预处理Fenton装置规模10m</w:t>
            </w:r>
            <w:r>
              <w:rPr>
                <w:vertAlign w:val="superscript"/>
                <w:lang w:val="en-US"/>
              </w:rPr>
              <w:t>3</w:t>
            </w:r>
            <w:r>
              <w:rPr>
                <w:lang w:val="en-US"/>
              </w:rPr>
              <w:t>/h、化学除油分离器规模20m</w:t>
            </w:r>
            <w:r>
              <w:rPr>
                <w:vertAlign w:val="superscript"/>
                <w:lang w:val="en-US"/>
              </w:rPr>
              <w:t>3</w:t>
            </w:r>
            <w:r>
              <w:rPr>
                <w:lang w:val="en-US"/>
              </w:rPr>
              <w:t>/h、高效气浮装置规模20m</w:t>
            </w:r>
            <w:r>
              <w:rPr>
                <w:vertAlign w:val="superscript"/>
                <w:lang w:val="en-US"/>
              </w:rPr>
              <w:t>3</w:t>
            </w:r>
            <w:r>
              <w:rPr>
                <w:lang w:val="en-US"/>
              </w:rPr>
              <w:t>/h，后续生化及深度处理装置规模15m</w:t>
            </w:r>
            <w:r>
              <w:rPr>
                <w:vertAlign w:val="superscript"/>
                <w:lang w:val="en-US"/>
              </w:rPr>
              <w:t>3</w:t>
            </w:r>
            <w:r>
              <w:rPr>
                <w:lang w:val="en-US"/>
              </w:rPr>
              <w:t>/h。</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eastAsia="zh-Han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57"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lang w:val="en-US"/>
              </w:rPr>
              <w:t>设置初期雨水池6座，有效容积1888.6m</w:t>
            </w:r>
            <w:r>
              <w:rPr>
                <w:vertAlign w:val="superscript"/>
                <w:lang w:val="en-US"/>
              </w:rPr>
              <w:t>3</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lang w:val="en-US"/>
              </w:rPr>
              <w:t>设置初期雨水池6座，有效容积1888.6m</w:t>
            </w:r>
            <w:r>
              <w:rPr>
                <w:vertAlign w:val="superscript"/>
                <w:lang w:val="en-US"/>
              </w:rPr>
              <w:t>3</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default"/>
                <w:lang w:val="en-US" w:eastAsia="zh-CN"/>
              </w:rPr>
            </w:pPr>
            <w:r>
              <w:rPr>
                <w:rFonts w:hint="eastAsia"/>
                <w:lang w:val="en-US"/>
              </w:rPr>
              <w:t>设置初期雨水池</w:t>
            </w:r>
            <w:r>
              <w:rPr>
                <w:rFonts w:hint="default"/>
                <w:lang w:val="en-US"/>
              </w:rPr>
              <w:t>6</w:t>
            </w:r>
            <w:r>
              <w:rPr>
                <w:rFonts w:hint="eastAsia"/>
                <w:lang w:val="en-US"/>
              </w:rPr>
              <w:t>座，有效容积共</w:t>
            </w:r>
            <w:r>
              <w:rPr>
                <w:rFonts w:hint="default"/>
                <w:lang w:val="en-US"/>
              </w:rPr>
              <w:t>1882.6</w:t>
            </w:r>
            <w:r>
              <w:rPr>
                <w:rFonts w:hint="eastAsia"/>
                <w:lang w:val="en-US"/>
              </w:rPr>
              <w:t>m</w:t>
            </w:r>
            <w:r>
              <w:rPr>
                <w:rFonts w:hint="eastAsia"/>
                <w:vertAlign w:val="superscript"/>
                <w:lang w:val="en-US"/>
              </w:rPr>
              <w:t>3</w:t>
            </w:r>
            <w:r>
              <w:rPr>
                <w:lang w:val="en-US"/>
              </w:rPr>
              <w:t>，</w:t>
            </w:r>
            <w:r>
              <w:rPr>
                <w:rFonts w:hint="eastAsia"/>
                <w:lang w:val="en-US" w:eastAsia="zh-Hans"/>
              </w:rPr>
              <w:t>并铺设联通管道</w:t>
            </w:r>
            <w:r>
              <w:rPr>
                <w:rFonts w:hint="default"/>
                <w:lang w:val="en-US" w:eastAsia="zh-Hans"/>
              </w:rPr>
              <w:t>，</w:t>
            </w:r>
            <w:r>
              <w:rPr>
                <w:rFonts w:hint="eastAsia"/>
                <w:lang w:val="en-US" w:eastAsia="zh-Hans"/>
              </w:rPr>
              <w:t>依托化学品调节池富余容积作为初期雨水池容积的补充</w:t>
            </w:r>
            <w:r>
              <w:rPr>
                <w:lang w:val="en-US" w:eastAsia="zh-Hans"/>
              </w:rPr>
              <w:t>。</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default"/>
                <w:lang w:val="en-US" w:eastAsia="zh-CN"/>
              </w:rPr>
            </w:pPr>
            <w:r>
              <w:rPr>
                <w:rFonts w:hint="eastAsia"/>
                <w:lang w:val="en-US" w:eastAsia="zh-CN"/>
              </w:rPr>
              <w:t>调整，见表3.2.1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81"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lang w:val="en-US"/>
              </w:rPr>
              <w:t>设置规范化排污口和在线pH、COD、石油类、流量计</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lang w:val="en-US"/>
              </w:rPr>
              <w:t>设置规范化排污口和在线pH、COD、石油类、流量计</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lang w:val="en-US"/>
              </w:rPr>
              <w:t>污水处理站排口已规范化建设并设置在线监控，监控流量</w:t>
            </w:r>
            <w:r>
              <w:rPr>
                <w:rFonts w:hint="eastAsia"/>
                <w:lang w:val="en-US" w:eastAsia="zh-CN"/>
              </w:rPr>
              <w:t>、</w:t>
            </w:r>
            <w:r>
              <w:rPr>
                <w:lang w:val="en-US"/>
              </w:rPr>
              <w:t>COD、氨氮、</w:t>
            </w:r>
            <w:r>
              <w:rPr>
                <w:rFonts w:hint="eastAsia"/>
                <w:lang w:val="en-US" w:eastAsia="zh-Hans"/>
              </w:rPr>
              <w:t>pH</w:t>
            </w:r>
            <w:r>
              <w:rPr>
                <w:lang w:val="en-US"/>
              </w:rPr>
              <w:t>数据。</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Han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81"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lang w:val="en-US"/>
              </w:rPr>
              <w:t>设置排海管道，排海管道沿引桥铺设，将排放口位置设于栈桥与码头平台结合处，并潜入低潮位线以下1m。</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lang w:val="en-US"/>
              </w:rPr>
              <w:t>设置排海管道，排海管道沿引桥铺设，将排放口位置设于栈桥与码头平台结合处，并潜入低潮位线以下1m。</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lang w:val="en-US"/>
              </w:rPr>
              <w:t>本项目排海管道沿引桥铺设，排放口位置设于栈桥与码头平台结合处，并潜入低潮位线以下1m。</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Han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38" w:hRule="atLeast"/>
        </w:trPr>
        <w:tc>
          <w:tcPr>
            <w:tcW w:w="425" w:type="dxa"/>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2</w:t>
            </w:r>
          </w:p>
        </w:tc>
        <w:tc>
          <w:tcPr>
            <w:tcW w:w="793" w:type="dxa"/>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废气</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①</w:t>
            </w:r>
            <w:r>
              <w:rPr>
                <w:lang w:val="en-US"/>
              </w:rPr>
              <w:t>有机废气固定顶罐和内浮顶储罐都设置氮气密封保护系统，罐顶设氮封阀</w:t>
            </w:r>
            <w:r>
              <w:rPr>
                <w:rFonts w:hint="eastAsia"/>
                <w:lang w:val="en-US" w:eastAsia="zh-CN"/>
              </w:rPr>
              <w:t>（自力式调节阀）</w:t>
            </w:r>
            <w:r>
              <w:rPr>
                <w:lang w:val="en-US"/>
              </w:rPr>
              <w:t>和带接管的呼吸阀，可自动补气和密闭回收罐内排出的废气去废气处理装置处理。</w:t>
            </w:r>
          </w:p>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②</w:t>
            </w:r>
            <w:r>
              <w:rPr>
                <w:lang w:val="en-US"/>
              </w:rPr>
              <w:t>装车鹤管选用撬装式密闭装车鹤管成套设备，并带有气相回收管，气相回收气体去废气处理装置处理。</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③储存三苯、挥发性大、毒性高物料的大小呼吸废气和装卸废气均接至废气处理装置处理；其中油品废气经收集后采用油气回收装置1处理后15m高排气筒(D</w:t>
            </w:r>
            <w:r>
              <w:rPr>
                <w:lang w:val="en-US"/>
              </w:rPr>
              <w:t>A001</w:t>
            </w:r>
            <w:r>
              <w:rPr>
                <w:rFonts w:hint="eastAsia"/>
                <w:lang w:val="en-US"/>
              </w:rPr>
              <w:t>)排放；水溶性的化工品废气经收集后采用水喷淋装置处理15m高排气筒(D</w:t>
            </w:r>
            <w:r>
              <w:rPr>
                <w:lang w:val="en-US"/>
              </w:rPr>
              <w:t>A002</w:t>
            </w:r>
            <w:r>
              <w:rPr>
                <w:rFonts w:hint="eastAsia"/>
                <w:lang w:val="en-US"/>
              </w:rPr>
              <w:t>)排放；非水溶性化工品废气经收集后采用废气净化装置2处理后15m高排气筒(D</w:t>
            </w:r>
            <w:r>
              <w:rPr>
                <w:lang w:val="en-US"/>
              </w:rPr>
              <w:t>A004</w:t>
            </w:r>
            <w:r>
              <w:rPr>
                <w:rFonts w:hint="eastAsia"/>
                <w:lang w:val="en-US"/>
              </w:rPr>
              <w:t>)排放</w:t>
            </w:r>
            <w:r>
              <w:rPr>
                <w:rFonts w:hint="eastAsia"/>
                <w:lang w:val="en-US" w:eastAsia="zh-CN"/>
              </w:rPr>
              <w:t>。</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①</w:t>
            </w:r>
            <w:r>
              <w:rPr>
                <w:lang w:val="en-US"/>
              </w:rPr>
              <w:t>有机废气固定顶罐和内浮顶储罐都设置氮气密封保护系统，罐顶设氮封阀</w:t>
            </w:r>
            <w:r>
              <w:rPr>
                <w:rFonts w:hint="eastAsia"/>
                <w:lang w:val="en-US" w:eastAsia="zh-CN"/>
              </w:rPr>
              <w:t>（自力式调节阀）</w:t>
            </w:r>
            <w:r>
              <w:rPr>
                <w:lang w:val="en-US"/>
              </w:rPr>
              <w:t>和带接管的呼吸阀，可自动补气和密闭回收罐内排出的废气去废气处理装置处理。</w:t>
            </w:r>
          </w:p>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②</w:t>
            </w:r>
            <w:r>
              <w:rPr>
                <w:lang w:val="en-US"/>
              </w:rPr>
              <w:t>装车鹤管选用撬装式密闭装车鹤管成套设备，并带有气相回收管，气相回收气体去废气处理装置处理。</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ascii="Times New Roman" w:hAnsi="Times New Roman" w:eastAsia="宋体" w:cs="Times New Roman"/>
                <w:kern w:val="0"/>
                <w:sz w:val="20"/>
                <w:szCs w:val="21"/>
                <w:lang w:val="en-US" w:eastAsia="zh-CN" w:bidi="ar-SA"/>
              </w:rPr>
            </w:pPr>
            <w:r>
              <w:rPr>
                <w:rFonts w:hint="eastAsia"/>
                <w:lang w:val="en-US"/>
              </w:rPr>
              <w:t>③储存三苯、挥发性大、毒性高物料的大小呼吸废气和装卸废气均接至废气处理装置处理；其中油品废气经收集后采用油气回收装置1处理后15m高排气筒(D</w:t>
            </w:r>
            <w:r>
              <w:rPr>
                <w:lang w:val="en-US"/>
              </w:rPr>
              <w:t>A001</w:t>
            </w:r>
            <w:r>
              <w:rPr>
                <w:rFonts w:hint="eastAsia"/>
                <w:lang w:val="en-US"/>
              </w:rPr>
              <w:t>)排放；水溶性的化工品废气经收集后采用水喷淋装置处理15m高排气筒(D</w:t>
            </w:r>
            <w:r>
              <w:rPr>
                <w:lang w:val="en-US"/>
              </w:rPr>
              <w:t>A002</w:t>
            </w:r>
            <w:r>
              <w:rPr>
                <w:rFonts w:hint="eastAsia"/>
                <w:lang w:val="en-US"/>
              </w:rPr>
              <w:t>)排放；非水溶性化工品废气经收集后采用废气净化装置2处理后15m高排气筒(D</w:t>
            </w:r>
            <w:r>
              <w:rPr>
                <w:lang w:val="en-US"/>
              </w:rPr>
              <w:t>A004</w:t>
            </w:r>
            <w:r>
              <w:rPr>
                <w:rFonts w:hint="eastAsia"/>
                <w:lang w:val="en-US"/>
              </w:rPr>
              <w:t>)排放</w:t>
            </w:r>
            <w:r>
              <w:rPr>
                <w:rFonts w:hint="eastAsia"/>
                <w:lang w:val="en-US" w:eastAsia="zh-CN"/>
              </w:rPr>
              <w:t>。</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①有机废气固定顶罐和内浮顶储罐都设置了氮气密封保护系统，罐顶设氮封阀（自力式调节阀）和带接管的呼吸阀，可自动补气和密闭回收罐内排出的废气去废气处理装置处理。</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②装车鹤管选用撬装式密闭装车鹤管成套设备，并带有气相回收管，气相回收气体去废气处理装置处理。</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③储存三苯、挥发性大、毒性高物料的大小呼吸废气和装卸废气均接至废气处理装置处理；其中油品废气经收集后采用油气回收装置1处理后15m高排气筒(D</w:t>
            </w:r>
            <w:r>
              <w:rPr>
                <w:lang w:val="en-US"/>
              </w:rPr>
              <w:t>A001</w:t>
            </w:r>
            <w:r>
              <w:rPr>
                <w:rFonts w:hint="eastAsia"/>
                <w:lang w:val="en-US"/>
              </w:rPr>
              <w:t>)排放；水溶性的化工品废气经收集后采用水喷淋装置处理15m高排气筒(D</w:t>
            </w:r>
            <w:r>
              <w:rPr>
                <w:lang w:val="en-US"/>
              </w:rPr>
              <w:t>A002</w:t>
            </w:r>
            <w:r>
              <w:rPr>
                <w:rFonts w:hint="eastAsia"/>
                <w:lang w:val="en-US"/>
              </w:rPr>
              <w:t>)排放；非水溶性化工品废气经收集后采用废气净化装置2处理后15m高排气筒(D</w:t>
            </w:r>
            <w:r>
              <w:rPr>
                <w:lang w:val="en-US"/>
              </w:rPr>
              <w:t>A004</w:t>
            </w:r>
            <w:r>
              <w:rPr>
                <w:rFonts w:hint="eastAsia"/>
                <w:lang w:val="en-US"/>
              </w:rPr>
              <w:t>)排放</w:t>
            </w:r>
            <w:r>
              <w:rPr>
                <w:rFonts w:hint="eastAsia"/>
                <w:lang w:val="en-US" w:eastAsia="zh-CN"/>
              </w:rPr>
              <w:t>。</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75"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lang w:val="en-US"/>
              </w:rPr>
              <w:t>污水站和危废间废气针对污水处理站调节池、厌氧池、污泥浓缩池、污泥脱水间以及危废间等产生含挥发性有机物、恶臭物质的构筑物、建筑物，采取加盖封闭、局部隔离及负压抽吸等措施，抽排废气送碱液喷淋+活性炭吸收处理</w:t>
            </w:r>
            <w:r>
              <w:rPr>
                <w:rFonts w:hint="eastAsia"/>
                <w:lang w:val="en-US"/>
              </w:rPr>
              <w:t>后15m高排气筒(D</w:t>
            </w:r>
            <w:r>
              <w:rPr>
                <w:lang w:val="en-US"/>
              </w:rPr>
              <w:t>A003</w:t>
            </w:r>
            <w:r>
              <w:rPr>
                <w:rFonts w:hint="eastAsia"/>
                <w:lang w:val="en-US"/>
              </w:rPr>
              <w:t>)排放</w:t>
            </w:r>
            <w:r>
              <w:rPr>
                <w:lang w:val="en-US"/>
              </w:rPr>
              <w:t>。</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ascii="Times New Roman" w:hAnsi="Times New Roman" w:eastAsia="宋体" w:cs="Times New Roman"/>
                <w:kern w:val="0"/>
                <w:sz w:val="20"/>
                <w:szCs w:val="21"/>
                <w:lang w:val="en-US" w:eastAsia="zh-CN" w:bidi="ar-SA"/>
              </w:rPr>
            </w:pPr>
            <w:r>
              <w:rPr>
                <w:lang w:val="en-US"/>
              </w:rPr>
              <w:t>污水站和危废间废气针对污水处理站调节池、厌氧池、污泥浓缩池、污泥脱水间以及危废间等产生含挥发性有机物、恶臭物质的构筑物、建筑物，采取加盖封闭、局部隔离及负压抽吸等措施，抽排废气送碱液喷淋+活性炭吸收处理</w:t>
            </w:r>
            <w:r>
              <w:rPr>
                <w:rFonts w:hint="eastAsia"/>
                <w:lang w:val="en-US"/>
              </w:rPr>
              <w:t>后15m高排气筒(D</w:t>
            </w:r>
            <w:r>
              <w:rPr>
                <w:lang w:val="en-US"/>
              </w:rPr>
              <w:t>A003</w:t>
            </w:r>
            <w:r>
              <w:rPr>
                <w:rFonts w:hint="eastAsia"/>
                <w:lang w:val="en-US"/>
              </w:rPr>
              <w:t>)排放</w:t>
            </w:r>
            <w:r>
              <w:rPr>
                <w:lang w:val="en-US"/>
              </w:rPr>
              <w:t>。</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CN"/>
              </w:rPr>
              <w:t>污水站调节池、厌氧池等采取加盖封闭措施，</w:t>
            </w:r>
            <w:r>
              <w:rPr>
                <w:rFonts w:hint="eastAsia"/>
                <w:lang w:val="en-US"/>
              </w:rPr>
              <w:t>污水站废气和危废间抽排废气</w:t>
            </w:r>
            <w:r>
              <w:rPr>
                <w:rFonts w:hint="eastAsia"/>
                <w:lang w:val="en-US" w:eastAsia="zh-Hans"/>
              </w:rPr>
              <w:t>采用</w:t>
            </w:r>
            <w:r>
              <w:rPr>
                <w:rFonts w:hint="eastAsia"/>
                <w:lang w:val="en-US"/>
              </w:rPr>
              <w:t>碱液喷淋+活性炭吸收系统处理</w:t>
            </w:r>
            <w:r>
              <w:rPr>
                <w:rFonts w:hint="eastAsia"/>
                <w:lang w:val="en-US" w:eastAsia="zh-CN"/>
              </w:rPr>
              <w:t>后排气筒（DA003）排放</w:t>
            </w:r>
            <w:r>
              <w:rPr>
                <w:rFonts w:hint="eastAsia"/>
                <w:lang w:val="en-US"/>
              </w:rPr>
              <w:t>。</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91"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lang w:val="en-US"/>
              </w:rPr>
              <w:t>针对VOCs物料的设备与管线组件的密封点，开展泄漏检测与修复工作(LDAR)。落实设备与管线组件的定期巡查制度，及时发现泄漏问题及时维护保养。</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default" w:eastAsia="宋体"/>
                <w:lang w:val="en-US" w:eastAsia="zh-CN"/>
              </w:rPr>
            </w:pPr>
            <w:r>
              <w:rPr>
                <w:rFonts w:hint="eastAsia"/>
                <w:lang w:val="en-US" w:eastAsia="zh-CN"/>
              </w:rPr>
              <w:t>按环评要求</w:t>
            </w:r>
            <w:r>
              <w:rPr>
                <w:lang w:val="en-US"/>
              </w:rPr>
              <w:t>开展泄漏检测与修复工作(LDAR)。落实设备与管线组件的定期巡查制度，及时发现泄漏问题及时维护保养。</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default" w:eastAsia="宋体"/>
                <w:lang w:val="en-US" w:eastAsia="zh-CN"/>
              </w:rPr>
            </w:pPr>
            <w:r>
              <w:rPr>
                <w:rFonts w:hint="eastAsia"/>
                <w:lang w:val="en-US"/>
              </w:rPr>
              <w:t>已</w:t>
            </w:r>
            <w:r>
              <w:rPr>
                <w:rFonts w:hint="eastAsia"/>
                <w:lang w:val="en-US" w:eastAsia="zh-CN"/>
              </w:rPr>
              <w:t>委托福建绿佳检测技术有限公司</w:t>
            </w:r>
            <w:r>
              <w:rPr>
                <w:rFonts w:hint="eastAsia"/>
                <w:lang w:val="en-US" w:eastAsia="zh-Hans"/>
              </w:rPr>
              <w:t>于</w:t>
            </w:r>
            <w:r>
              <w:rPr>
                <w:rFonts w:hint="default"/>
                <w:lang w:val="en-US" w:eastAsia="zh-Hans"/>
              </w:rPr>
              <w:t>2022</w:t>
            </w:r>
            <w:r>
              <w:rPr>
                <w:rFonts w:hint="eastAsia"/>
                <w:lang w:val="en-US" w:eastAsia="zh-Hans"/>
              </w:rPr>
              <w:t>年</w:t>
            </w:r>
            <w:r>
              <w:rPr>
                <w:rFonts w:hint="default"/>
                <w:lang w:val="en-US" w:eastAsia="zh-Hans"/>
              </w:rPr>
              <w:t>9</w:t>
            </w:r>
            <w:r>
              <w:rPr>
                <w:rFonts w:hint="eastAsia"/>
                <w:lang w:val="en-US" w:eastAsia="zh-Hans"/>
              </w:rPr>
              <w:t>月</w:t>
            </w:r>
            <w:r>
              <w:rPr>
                <w:rFonts w:hint="eastAsia"/>
                <w:lang w:val="en-US"/>
              </w:rPr>
              <w:t>开展泄漏检测与修复工作（LDAR）。</w:t>
            </w:r>
            <w:r>
              <w:rPr>
                <w:rFonts w:hint="eastAsia"/>
                <w:lang w:val="en-US" w:eastAsia="zh-CN"/>
              </w:rPr>
              <w:t>港丰公司日常对设备与管线组件进行定期巡查，及时维护保养。</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99"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lang w:val="en-US"/>
              </w:rPr>
              <w:t>燃油锅炉废气燃油锅炉采用低氮燃烧器，燃料使用轻柴油，废气经</w:t>
            </w:r>
            <w:r>
              <w:rPr>
                <w:rFonts w:hint="eastAsia"/>
                <w:lang w:val="en-US"/>
              </w:rPr>
              <w:t>8</w:t>
            </w:r>
            <w:r>
              <w:rPr>
                <w:lang w:val="en-US"/>
              </w:rPr>
              <w:t>m高排气筒</w:t>
            </w:r>
            <w:r>
              <w:rPr>
                <w:rFonts w:hint="eastAsia"/>
                <w:lang w:val="en-US"/>
              </w:rPr>
              <w:t>(D</w:t>
            </w:r>
            <w:r>
              <w:rPr>
                <w:lang w:val="en-US"/>
              </w:rPr>
              <w:t>A005</w:t>
            </w:r>
            <w:r>
              <w:rPr>
                <w:rFonts w:hint="eastAsia"/>
                <w:lang w:val="en-US"/>
              </w:rPr>
              <w:t>)</w:t>
            </w:r>
            <w:r>
              <w:rPr>
                <w:lang w:val="en-US"/>
              </w:rPr>
              <w:t>排放。</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CN"/>
              </w:rPr>
              <w:t>暂未建设燃油锅炉</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eastAsia="zh-CN"/>
              </w:rPr>
              <w:t>暂未建设燃油锅炉</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eastAsia="zh-CN"/>
              </w:rPr>
              <w:t>调整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99"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对后方库区现有的部分拱顶罐根据储存货种要求增加内浮顶，改造为浮顶罐。</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对后方库区现有的部分拱顶罐根据储存货种要求增加内浮顶，改造为浮顶罐。</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eastAsia="宋体"/>
                <w:lang w:val="en-US" w:eastAsia="zh-CN"/>
              </w:rPr>
            </w:pPr>
            <w:r>
              <w:rPr>
                <w:rFonts w:hint="eastAsia"/>
                <w:lang w:eastAsia="zh-CN"/>
              </w:rPr>
              <w:t>已按要求对部分固定顶罐进行改造，增加内浮顶、保温、伴热</w:t>
            </w:r>
            <w:r>
              <w:rPr>
                <w:rFonts w:hint="eastAsia"/>
                <w:lang w:val="en-US" w:eastAsia="zh-CN"/>
              </w:rPr>
              <w:t>等措施</w:t>
            </w:r>
            <w:r>
              <w:rPr>
                <w:rFonts w:hint="eastAsia"/>
                <w:lang w:eastAsia="zh-CN"/>
              </w:rPr>
              <w:t>。</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Han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99"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对已建的油气回收装置1、废气净化装置2、水喷淋装置的废气收集管线进行调整，使油品废气、非水溶性化工品废气和水溶性化工品废气分开进行处理。</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对已建的油气回收装置1、废气净化装置2、水喷淋装置的废气收集管线进行调整，使油品废气、非水溶性化工品废气和水溶性化工品废气分开进行处理。</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rPr>
              <w:t>在油气回收装置1</w:t>
            </w:r>
            <w:r>
              <w:rPr>
                <w:rFonts w:hint="eastAsia"/>
                <w:lang w:eastAsia="zh-CN"/>
              </w:rPr>
              <w:t>前端增设三通切换阀</w:t>
            </w:r>
            <w:r>
              <w:rPr>
                <w:rFonts w:hint="eastAsia"/>
              </w:rPr>
              <w:t>，使油品废气和非水溶性化工品废气通过联通阀门切换可分别进入油气回收装置</w:t>
            </w:r>
            <w:r>
              <w:rPr>
                <w:rFonts w:hint="eastAsia"/>
                <w:lang w:val="en-US" w:eastAsia="zh-CN"/>
              </w:rPr>
              <w:t>1</w:t>
            </w:r>
            <w:r>
              <w:rPr>
                <w:rFonts w:hint="eastAsia"/>
              </w:rPr>
              <w:t>和废气净化装置2进行处理。</w:t>
            </w:r>
            <w:r>
              <w:rPr>
                <w:rFonts w:hint="eastAsia"/>
                <w:lang w:val="en-US"/>
              </w:rPr>
              <w:t>油品废气经收集后采用油气回收装置1处理后15m高排气筒P2排放；非水溶性废气经收集后采用废气净化装置2处理后15m高排气筒P4排放</w:t>
            </w:r>
            <w:r>
              <w:rPr>
                <w:rFonts w:hint="eastAsia"/>
                <w:lang w:val="en-US" w:eastAsia="zh-CN"/>
              </w:rPr>
              <w:t>；</w:t>
            </w:r>
            <w:r>
              <w:rPr>
                <w:rFonts w:hint="eastAsia"/>
                <w:lang w:val="en-US"/>
              </w:rPr>
              <w:t>水溶性的化工品经收集后采用水喷淋处理15m高排气筒P1排放</w:t>
            </w:r>
            <w:r>
              <w:rPr>
                <w:rFonts w:hint="eastAsia"/>
                <w:lang w:val="en-US" w:eastAsia="zh-CN"/>
              </w:rPr>
              <w:t>。</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Han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99" w:hRule="atLeast"/>
        </w:trPr>
        <w:tc>
          <w:tcPr>
            <w:tcW w:w="425"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3</w:t>
            </w:r>
          </w:p>
        </w:tc>
        <w:tc>
          <w:tcPr>
            <w:tcW w:w="793"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噪声</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lang w:val="en-US"/>
              </w:rPr>
              <w:t>设计中优先选用低噪音设备，对噪音较大的设备进行减振降噪，应加强管理，组织定期检修。</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lang w:val="en-US"/>
              </w:rPr>
              <w:t>优先选用低噪音设备，对噪音较大的设备进行减振降噪</w:t>
            </w:r>
            <w:r>
              <w:rPr>
                <w:rFonts w:hint="eastAsia"/>
                <w:lang w:val="en-US" w:eastAsia="zh-CN"/>
              </w:rPr>
              <w:t>。</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本项目高噪设备均设置隔声减震</w:t>
            </w:r>
            <w:r>
              <w:rPr>
                <w:rFonts w:hint="eastAsia"/>
                <w:lang w:val="en-US" w:eastAsia="zh-CN"/>
              </w:rPr>
              <w:t>措施，厂区四周设置绿化</w:t>
            </w:r>
            <w:r>
              <w:rPr>
                <w:rFonts w:hint="eastAsia"/>
                <w:lang w:val="en-US"/>
              </w:rPr>
              <w:t>。</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91" w:hRule="atLeast"/>
        </w:trPr>
        <w:tc>
          <w:tcPr>
            <w:tcW w:w="425"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4</w:t>
            </w:r>
          </w:p>
        </w:tc>
        <w:tc>
          <w:tcPr>
            <w:tcW w:w="793"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固废</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港区生活垃圾，购置专用设备收集送生活垃圾处理场填埋；</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危险废物暂存在危废间，委托有资质的单位处理</w:t>
            </w:r>
            <w:r>
              <w:rPr>
                <w:rFonts w:hint="eastAsia"/>
                <w:lang w:val="en-US" w:eastAsia="zh-CN"/>
              </w:rPr>
              <w:t>。</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rPr>
            </w:pPr>
            <w:r>
              <w:rPr>
                <w:rFonts w:hint="eastAsia"/>
                <w:lang w:val="en-US"/>
              </w:rPr>
              <w:t>港区生活垃圾，购置专用设备收集送生活垃圾处理场填埋；</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危险废物暂存在危废间，委托有资质的单位处理</w:t>
            </w:r>
            <w:r>
              <w:rPr>
                <w:rFonts w:hint="eastAsia"/>
                <w:lang w:val="en-US" w:eastAsia="zh-CN"/>
              </w:rPr>
              <w:t>。</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生活垃圾委托环卫部门处理。已建设危废暂存间（171m</w:t>
            </w:r>
            <w:r>
              <w:rPr>
                <w:rFonts w:hint="eastAsia"/>
                <w:vertAlign w:val="superscript"/>
                <w:lang w:val="en-US" w:eastAsia="zh-CN"/>
              </w:rPr>
              <w:t>2</w:t>
            </w:r>
            <w:r>
              <w:rPr>
                <w:rFonts w:hint="eastAsia"/>
                <w:lang w:val="en-US"/>
              </w:rPr>
              <w:t>），危险废物委托福建兴业东江环保科技有限公司进行处置。</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5" w:hRule="atLeast"/>
        </w:trPr>
        <w:tc>
          <w:tcPr>
            <w:tcW w:w="425"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5</w:t>
            </w:r>
          </w:p>
        </w:tc>
        <w:tc>
          <w:tcPr>
            <w:tcW w:w="793"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地下水</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①</w:t>
            </w:r>
            <w:r>
              <w:rPr>
                <w:lang w:val="en-US"/>
              </w:rPr>
              <w:t>分区防渗：按照《石油化工防渗工程技术规范》(GB/T50934-2013)的要求，将厂区划分为重点污染防治区、一般污染防治区等采取分区防渗措施。</w:t>
            </w:r>
            <w:r>
              <w:rPr>
                <w:rFonts w:hint="eastAsia"/>
                <w:lang w:val="en-US"/>
              </w:rPr>
              <w:t>②</w:t>
            </w:r>
            <w:r>
              <w:rPr>
                <w:lang w:val="en-US"/>
              </w:rPr>
              <w:t>危废临时贮存场防渗措施按照《危险废物贮存污染控制标准》(GB18597-2001)要求；</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③</w:t>
            </w:r>
            <w:r>
              <w:rPr>
                <w:lang w:val="en-US"/>
              </w:rPr>
              <w:t>厂区上下游设置不少于5个地下水日常监控井</w:t>
            </w:r>
            <w:r>
              <w:rPr>
                <w:rFonts w:hint="eastAsia"/>
                <w:lang w:val="en-US" w:eastAsia="zh-CN"/>
              </w:rPr>
              <w:t>。</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①</w:t>
            </w:r>
            <w:r>
              <w:rPr>
                <w:lang w:val="en-US"/>
              </w:rPr>
              <w:t>分区防渗：按照《石油化工防渗工程技术规范》(GB/T50934-2013)的要求，将厂区划分为重点污染防治区、一般污染防治区等采取分区防渗措施。</w:t>
            </w:r>
            <w:r>
              <w:rPr>
                <w:rFonts w:hint="eastAsia"/>
                <w:lang w:val="en-US"/>
              </w:rPr>
              <w:t>②</w:t>
            </w:r>
            <w:r>
              <w:rPr>
                <w:lang w:val="en-US"/>
              </w:rPr>
              <w:t>危废临时贮存场防渗措施按照《危险废物贮存污染控制标准》(GB18597-2001)要求；</w:t>
            </w:r>
          </w:p>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③</w:t>
            </w:r>
            <w:r>
              <w:rPr>
                <w:lang w:val="en-US"/>
              </w:rPr>
              <w:t>厂区上下游设置不少于5个地下水日常监控井</w:t>
            </w:r>
            <w:r>
              <w:rPr>
                <w:rFonts w:hint="eastAsia"/>
                <w:lang w:val="en-US" w:eastAsia="zh-CN"/>
              </w:rPr>
              <w:t>。</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本项目将</w:t>
            </w:r>
            <w:r>
              <w:rPr>
                <w:lang w:val="en-US"/>
              </w:rPr>
              <w:t>危废间设置为特殊防渗区，</w:t>
            </w:r>
            <w:r>
              <w:rPr>
                <w:rFonts w:hint="eastAsia"/>
                <w:lang w:val="en-US" w:eastAsia="zh-Hans"/>
              </w:rPr>
              <w:t>污水站</w:t>
            </w:r>
            <w:r>
              <w:rPr>
                <w:rFonts w:hint="default"/>
                <w:lang w:val="en-US" w:eastAsia="zh-Hans"/>
              </w:rPr>
              <w:t>、</w:t>
            </w:r>
            <w:r>
              <w:rPr>
                <w:rFonts w:hint="eastAsia"/>
                <w:lang w:val="en-US"/>
              </w:rPr>
              <w:t>初期雨水池设置为重点防渗区，承台式储罐基础和除储罐基础的地面基础、汽车装卸区、泵棚</w:t>
            </w:r>
            <w:r>
              <w:rPr>
                <w:rFonts w:hint="default"/>
                <w:lang w:val="en-US"/>
              </w:rPr>
              <w:t>、</w:t>
            </w:r>
            <w:r>
              <w:rPr>
                <w:lang w:val="en-US"/>
              </w:rPr>
              <w:t>桶装车间、事故池</w:t>
            </w:r>
            <w:r>
              <w:rPr>
                <w:rFonts w:hint="eastAsia"/>
                <w:lang w:val="en-US"/>
              </w:rPr>
              <w:t>设置为一般防渗区，采取了分区防渗措施。厂区上下游设置5个地下水监测井。</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99" w:hRule="atLeast"/>
        </w:trPr>
        <w:tc>
          <w:tcPr>
            <w:tcW w:w="425" w:type="dxa"/>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6</w:t>
            </w:r>
          </w:p>
        </w:tc>
        <w:tc>
          <w:tcPr>
            <w:tcW w:w="793" w:type="dxa"/>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环境风险</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①</w:t>
            </w:r>
            <w:r>
              <w:rPr>
                <w:lang w:val="en-US"/>
              </w:rPr>
              <w:t>建设4000m</w:t>
            </w:r>
            <w:r>
              <w:rPr>
                <w:vertAlign w:val="superscript"/>
                <w:lang w:val="en-US"/>
              </w:rPr>
              <w:t>3</w:t>
            </w:r>
            <w:r>
              <w:rPr>
                <w:lang w:val="en-US"/>
              </w:rPr>
              <w:t>事故应急池及截断阀设施。</w:t>
            </w:r>
            <w:r>
              <w:rPr>
                <w:rFonts w:hint="eastAsia"/>
                <w:lang w:val="en-US"/>
              </w:rPr>
              <w:t>②</w:t>
            </w:r>
            <w:r>
              <w:rPr>
                <w:lang w:val="en-US"/>
              </w:rPr>
              <w:t>码头、库区设置可燃气体报警仪。</w:t>
            </w:r>
            <w:r>
              <w:rPr>
                <w:rFonts w:hint="eastAsia"/>
                <w:lang w:val="en-US"/>
              </w:rPr>
              <w:fldChar w:fldCharType="begin"/>
            </w:r>
            <w:r>
              <w:rPr>
                <w:rFonts w:hint="eastAsia"/>
                <w:lang w:val="en-US"/>
              </w:rPr>
              <w:instrText xml:space="preserve"> = 3 \* GB3 \* MERGEFORMAT </w:instrText>
            </w:r>
            <w:r>
              <w:rPr>
                <w:rFonts w:hint="eastAsia"/>
                <w:lang w:val="en-US"/>
              </w:rPr>
              <w:fldChar w:fldCharType="separate"/>
            </w:r>
            <w:r>
              <w:t>③</w:t>
            </w:r>
            <w:r>
              <w:rPr>
                <w:rFonts w:hint="eastAsia"/>
                <w:lang w:val="en-US"/>
              </w:rPr>
              <w:fldChar w:fldCharType="end"/>
            </w:r>
            <w:r>
              <w:rPr>
                <w:lang w:val="en-US"/>
              </w:rPr>
              <w:t>编制应急预案并经环保主管部门备案。</w:t>
            </w:r>
            <w:r>
              <w:rPr>
                <w:rFonts w:hint="eastAsia"/>
                <w:lang w:val="en-US"/>
              </w:rPr>
              <w:t>④</w:t>
            </w:r>
            <w:r>
              <w:rPr>
                <w:lang w:val="en-US"/>
              </w:rPr>
              <w:t>落实三级防控体系。</w:t>
            </w:r>
            <w:r>
              <w:rPr>
                <w:rFonts w:hint="eastAsia"/>
                <w:lang w:val="en-US"/>
              </w:rPr>
              <w:t>⑤</w:t>
            </w:r>
            <w:r>
              <w:rPr>
                <w:lang w:val="en-US"/>
              </w:rPr>
              <w:t>落实环评中的各项风险防范措施</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①</w:t>
            </w:r>
            <w:r>
              <w:rPr>
                <w:lang w:val="en-US"/>
              </w:rPr>
              <w:t>建设4000m</w:t>
            </w:r>
            <w:r>
              <w:rPr>
                <w:vertAlign w:val="superscript"/>
                <w:lang w:val="en-US"/>
              </w:rPr>
              <w:t>3</w:t>
            </w:r>
            <w:r>
              <w:rPr>
                <w:lang w:val="en-US"/>
              </w:rPr>
              <w:t>事故应急池及截断阀设施。</w:t>
            </w:r>
            <w:r>
              <w:rPr>
                <w:rFonts w:hint="eastAsia"/>
                <w:lang w:val="en-US"/>
              </w:rPr>
              <w:t>②</w:t>
            </w:r>
            <w:r>
              <w:rPr>
                <w:lang w:val="en-US"/>
              </w:rPr>
              <w:t>码头、库区设置可燃气体报警仪。</w:t>
            </w:r>
            <w:r>
              <w:rPr>
                <w:rFonts w:hint="eastAsia"/>
                <w:lang w:val="en-US"/>
              </w:rPr>
              <w:fldChar w:fldCharType="begin"/>
            </w:r>
            <w:r>
              <w:rPr>
                <w:rFonts w:hint="eastAsia"/>
                <w:lang w:val="en-US"/>
              </w:rPr>
              <w:instrText xml:space="preserve"> = 3 \* GB3 \* MERGEFORMAT </w:instrText>
            </w:r>
            <w:r>
              <w:rPr>
                <w:rFonts w:hint="eastAsia"/>
                <w:lang w:val="en-US"/>
              </w:rPr>
              <w:fldChar w:fldCharType="separate"/>
            </w:r>
            <w:r>
              <w:rPr>
                <w:lang w:val="en-US"/>
              </w:rPr>
              <w:t>③</w:t>
            </w:r>
            <w:r>
              <w:rPr>
                <w:rFonts w:hint="eastAsia"/>
                <w:lang w:val="en-US"/>
              </w:rPr>
              <w:fldChar w:fldCharType="end"/>
            </w:r>
            <w:r>
              <w:rPr>
                <w:lang w:val="en-US"/>
              </w:rPr>
              <w:t>编制应急预案并经环保主管部门备案。</w:t>
            </w:r>
            <w:r>
              <w:rPr>
                <w:rFonts w:hint="eastAsia"/>
                <w:lang w:val="en-US"/>
              </w:rPr>
              <w:t>④</w:t>
            </w:r>
            <w:r>
              <w:rPr>
                <w:lang w:val="en-US"/>
              </w:rPr>
              <w:t>落实三级防控体系。</w:t>
            </w:r>
            <w:r>
              <w:rPr>
                <w:rFonts w:hint="eastAsia"/>
                <w:lang w:val="en-US"/>
              </w:rPr>
              <w:t>⑤</w:t>
            </w:r>
            <w:r>
              <w:rPr>
                <w:lang w:val="en-US"/>
              </w:rPr>
              <w:t>落实环评中的各项风险防范措施</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①库区已建设容积4000m</w:t>
            </w:r>
            <w:r>
              <w:rPr>
                <w:rFonts w:hint="eastAsia"/>
                <w:vertAlign w:val="superscript"/>
                <w:lang w:val="en-US" w:eastAsia="zh-Hans"/>
              </w:rPr>
              <w:t>3</w:t>
            </w:r>
            <w:r>
              <w:rPr>
                <w:rFonts w:hint="eastAsia"/>
                <w:lang w:val="en-US" w:eastAsia="zh-Hans"/>
              </w:rPr>
              <w:t>地下消防事故废水收集池一座，并且设置电动阀（电磁阀）。②</w:t>
            </w:r>
            <w:r>
              <w:rPr>
                <w:rFonts w:hint="eastAsia"/>
                <w:lang w:val="en-US" w:eastAsia="zh-CN"/>
              </w:rPr>
              <w:t>码头、库区</w:t>
            </w:r>
            <w:r>
              <w:rPr>
                <w:rFonts w:hint="eastAsia"/>
                <w:lang w:val="en-US"/>
              </w:rPr>
              <w:t>已设置可燃气体检测报警器</w:t>
            </w:r>
            <w:r>
              <w:rPr>
                <w:lang w:val="en-US"/>
              </w:rPr>
              <w:t>、有毒有害气体探测器</w:t>
            </w:r>
            <w:r>
              <w:rPr>
                <w:rFonts w:hint="eastAsia"/>
                <w:lang w:val="en-US"/>
              </w:rPr>
              <w:t>，数量约</w:t>
            </w:r>
            <w:r>
              <w:rPr>
                <w:rFonts w:hint="default"/>
                <w:lang w:val="en-US"/>
              </w:rPr>
              <w:t>196</w:t>
            </w:r>
            <w:r>
              <w:rPr>
                <w:rFonts w:hint="eastAsia"/>
                <w:lang w:val="en-US"/>
              </w:rPr>
              <w:t>个，主要分布于</w:t>
            </w:r>
            <w:r>
              <w:rPr>
                <w:rFonts w:hint="default"/>
                <w:lang w:val="en-US"/>
              </w:rPr>
              <w:t>1</w:t>
            </w:r>
            <w:r>
              <w:rPr>
                <w:rFonts w:hint="eastAsia"/>
                <w:lang w:val="en-US"/>
              </w:rPr>
              <w:t>#～8#罐组、管道交换站、</w:t>
            </w:r>
            <w:r>
              <w:rPr>
                <w:lang w:val="en-US"/>
              </w:rPr>
              <w:t>泵棚、油污桶棚、污水处理站、</w:t>
            </w:r>
            <w:r>
              <w:rPr>
                <w:rFonts w:hint="eastAsia"/>
                <w:lang w:val="en-US"/>
              </w:rPr>
              <w:t>废气</w:t>
            </w:r>
            <w:r>
              <w:rPr>
                <w:rFonts w:hint="eastAsia"/>
                <w:lang w:val="en-US" w:eastAsia="zh-Hans"/>
              </w:rPr>
              <w:t>处理</w:t>
            </w:r>
            <w:r>
              <w:rPr>
                <w:rFonts w:hint="eastAsia"/>
                <w:lang w:val="en-US"/>
              </w:rPr>
              <w:t>装置</w:t>
            </w:r>
            <w:r>
              <w:rPr>
                <w:rFonts w:hint="eastAsia"/>
                <w:lang w:val="en-US" w:eastAsia="zh-Hans"/>
              </w:rPr>
              <w:t>处</w:t>
            </w:r>
            <w:r>
              <w:rPr>
                <w:rFonts w:hint="eastAsia"/>
                <w:lang w:val="en-US"/>
              </w:rPr>
              <w:t>。</w:t>
            </w:r>
            <w:r>
              <w:rPr>
                <w:rFonts w:hint="eastAsia"/>
                <w:lang w:val="en-US"/>
              </w:rPr>
              <w:fldChar w:fldCharType="begin"/>
            </w:r>
            <w:r>
              <w:rPr>
                <w:rFonts w:hint="eastAsia"/>
                <w:lang w:val="en-US"/>
              </w:rPr>
              <w:instrText xml:space="preserve"> = 3 \* GB3 \* MERGEFORMAT </w:instrText>
            </w:r>
            <w:r>
              <w:rPr>
                <w:rFonts w:hint="eastAsia"/>
                <w:lang w:val="en-US"/>
              </w:rPr>
              <w:fldChar w:fldCharType="separate"/>
            </w:r>
            <w:r>
              <w:rPr>
                <w:rFonts w:hint="eastAsia"/>
                <w:lang w:val="en-US"/>
              </w:rPr>
              <w:t>③</w:t>
            </w:r>
            <w:r>
              <w:rPr>
                <w:rFonts w:hint="eastAsia"/>
                <w:lang w:val="en-US"/>
              </w:rPr>
              <w:fldChar w:fldCharType="end"/>
            </w:r>
            <w:r>
              <w:rPr>
                <w:rFonts w:hint="eastAsia"/>
                <w:lang w:val="en-US"/>
              </w:rPr>
              <w:t>已</w:t>
            </w:r>
            <w:r>
              <w:rPr>
                <w:rFonts w:hint="eastAsia"/>
                <w:lang w:val="en-US" w:eastAsia="zh-Hans"/>
              </w:rPr>
              <w:t>修订</w:t>
            </w:r>
            <w:r>
              <w:rPr>
                <w:rFonts w:hint="eastAsia"/>
                <w:lang w:val="en-US"/>
              </w:rPr>
              <w:t>《福建港丰能源有限公司突发环境事件应急预案》，并于2022年5月在泉州市惠安生态环境局完成备案（备案编号：350521-2022-003-H）。④项目已落实三级防控体系</w:t>
            </w:r>
            <w:r>
              <w:rPr>
                <w:rFonts w:hint="eastAsia"/>
                <w:lang w:val="en-US" w:eastAsia="zh-CN"/>
              </w:rPr>
              <w:t>。</w:t>
            </w:r>
            <w:r>
              <w:rPr>
                <w:rFonts w:hint="eastAsia"/>
                <w:lang w:val="en-US"/>
              </w:rPr>
              <w:t>⑤项目已落实环评中的各项风险防控措施，具体分析见本报告4.2.</w:t>
            </w:r>
            <w:r>
              <w:rPr>
                <w:rFonts w:hint="eastAsia"/>
                <w:lang w:val="en-US" w:eastAsia="zh-CN"/>
              </w:rPr>
              <w:t>1</w:t>
            </w:r>
            <w:r>
              <w:rPr>
                <w:rFonts w:hint="eastAsia"/>
                <w:lang w:val="en-US"/>
              </w:rPr>
              <w:t>章节。</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0" w:hRule="atLeast"/>
        </w:trPr>
        <w:tc>
          <w:tcPr>
            <w:tcW w:w="425"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793" w:type="dxa"/>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按照</w:t>
            </w:r>
            <w:r>
              <w:rPr>
                <w:lang w:val="en-US"/>
              </w:rPr>
              <w:t>JTT451-2009</w:t>
            </w:r>
            <w:r>
              <w:rPr>
                <w:rFonts w:hint="eastAsia"/>
                <w:lang w:val="en-US"/>
              </w:rPr>
              <w:t>要求配备必要的设施，并依托泉州兴通港口服务发展有限公司溢油应急设施</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按照</w:t>
            </w:r>
            <w:r>
              <w:rPr>
                <w:lang w:val="en-US"/>
              </w:rPr>
              <w:t>JTT451-2009</w:t>
            </w:r>
            <w:r>
              <w:rPr>
                <w:rFonts w:hint="eastAsia"/>
                <w:lang w:val="en-US"/>
              </w:rPr>
              <w:t>要求配备必要的设施，并依托泉州兴通港口服务发展有限公司溢油应急设施</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eastAsia="zh-CN"/>
              </w:rPr>
              <w:t>已按照要求配备应急物资，见本报告4.2.2章节。并与泉州兴通港口服务发展有限公司签订委托协议</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5" w:hRule="atLeast"/>
        </w:trPr>
        <w:tc>
          <w:tcPr>
            <w:tcW w:w="425"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7</w:t>
            </w:r>
          </w:p>
        </w:tc>
        <w:tc>
          <w:tcPr>
            <w:tcW w:w="793"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环境管理</w:t>
            </w:r>
          </w:p>
        </w:tc>
        <w:tc>
          <w:tcPr>
            <w:tcW w:w="370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成立专门环境管理机构，配备环境管理专职人员</w:t>
            </w:r>
            <w:r>
              <w:rPr>
                <w:rFonts w:hint="eastAsia"/>
                <w:lang w:val="en-US" w:eastAsia="zh-CN"/>
              </w:rPr>
              <w:t>，</w:t>
            </w:r>
            <w:r>
              <w:rPr>
                <w:rFonts w:hint="eastAsia"/>
                <w:lang w:val="en-US"/>
              </w:rPr>
              <w:t>制定完善的环境管理与监测制度</w:t>
            </w:r>
            <w:r>
              <w:rPr>
                <w:rFonts w:hint="eastAsia"/>
                <w:lang w:val="en-US" w:eastAsia="zh-CN"/>
              </w:rPr>
              <w:t>，委托有资质单位按计划实施环境跟踪监测计划</w:t>
            </w:r>
          </w:p>
        </w:tc>
        <w:tc>
          <w:tcPr>
            <w:tcW w:w="362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rPr>
              <w:t>按环评要求落实各项环境管理制度。</w:t>
            </w:r>
          </w:p>
        </w:tc>
        <w:tc>
          <w:tcPr>
            <w:tcW w:w="38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rFonts w:hint="eastAsia"/>
                <w:lang w:val="en-US" w:eastAsia="zh-CN"/>
              </w:rPr>
            </w:pPr>
            <w:r>
              <w:rPr>
                <w:rFonts w:hint="eastAsia"/>
                <w:lang w:val="en-US"/>
              </w:rPr>
              <w:t>福建港丰能源有限公司已设立专门的</w:t>
            </w:r>
            <w:r>
              <w:rPr>
                <w:rFonts w:hint="eastAsia"/>
                <w:lang w:val="en-US" w:eastAsia="zh-CN"/>
              </w:rPr>
              <w:t>HSE部门</w:t>
            </w:r>
            <w:r>
              <w:rPr>
                <w:rFonts w:hint="eastAsia"/>
                <w:lang w:val="en-US"/>
              </w:rPr>
              <w:t>，配备专职人员和设备，建立环保管理制度及运行制度</w:t>
            </w:r>
            <w:r>
              <w:rPr>
                <w:rFonts w:hint="eastAsia"/>
                <w:lang w:val="en-US" w:eastAsia="zh-CN"/>
              </w:rPr>
              <w:t>，并委托福建绿佳检测有限公司开展环境跟踪监测计划。</w:t>
            </w:r>
          </w:p>
        </w:tc>
        <w:tc>
          <w:tcPr>
            <w:tcW w:w="179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jc w:val="center"/>
              <w:textAlignment w:val="auto"/>
              <w:rPr>
                <w:lang w:val="en-US"/>
              </w:rPr>
            </w:pPr>
            <w:r>
              <w:rPr>
                <w:rFonts w:hint="eastAsia"/>
                <w:lang w:val="en-US" w:eastAsia="zh-Hans"/>
              </w:rPr>
              <w:t>符合</w:t>
            </w:r>
          </w:p>
        </w:tc>
      </w:tr>
    </w:tbl>
    <w:p>
      <w:pPr>
        <w:pStyle w:val="19"/>
        <w:ind w:firstLine="0" w:firstLineChars="0"/>
        <w:rPr>
          <w:lang w:val="en-US"/>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9"/>
        <w:ind w:firstLine="0" w:firstLineChars="0"/>
        <w:jc w:val="center"/>
        <w:rPr>
          <w:lang w:val="en-US"/>
        </w:rPr>
      </w:pPr>
      <w:r>
        <w:rPr>
          <w:lang w:val="en-US"/>
        </w:rPr>
        <w:drawing>
          <wp:inline distT="0" distB="0" distL="114300" distR="114300">
            <wp:extent cx="9218930" cy="5589905"/>
            <wp:effectExtent l="0" t="0" r="1270" b="1079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47"/>
                    <a:stretch>
                      <a:fillRect/>
                    </a:stretch>
                  </pic:blipFill>
                  <pic:spPr>
                    <a:xfrm>
                      <a:off x="0" y="0"/>
                      <a:ext cx="9218930" cy="5589905"/>
                    </a:xfrm>
                    <a:prstGeom prst="rect">
                      <a:avLst/>
                    </a:prstGeom>
                    <a:noFill/>
                    <a:ln>
                      <a:noFill/>
                    </a:ln>
                  </pic:spPr>
                </pic:pic>
              </a:graphicData>
            </a:graphic>
          </wp:inline>
        </w:drawing>
      </w:r>
    </w:p>
    <w:p>
      <w:pPr>
        <w:pStyle w:val="23"/>
        <w:bidi w:val="0"/>
        <w:rPr>
          <w:lang w:val="en-US"/>
        </w:rPr>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t>图4.3-1 项目</w:t>
      </w:r>
      <w:r>
        <w:rPr>
          <w:rFonts w:hint="eastAsia"/>
          <w:lang w:val="en-US"/>
        </w:rPr>
        <w:t>环保设施位置</w:t>
      </w:r>
      <w:r>
        <w:rPr>
          <w:rFonts w:hint="eastAsia"/>
          <w:lang w:val="en-US" w:eastAsia="zh-CN"/>
        </w:rPr>
        <w:t>分布</w:t>
      </w:r>
      <w:r>
        <w:rPr>
          <w:rFonts w:hint="eastAsia"/>
          <w:lang w:val="en-US"/>
        </w:rPr>
        <w:t>图</w:t>
      </w:r>
    </w:p>
    <w:p>
      <w:pPr>
        <w:pStyle w:val="21"/>
        <w:numPr>
          <w:ilvl w:val="0"/>
          <w:numId w:val="0"/>
        </w:numPr>
        <w:tabs>
          <w:tab w:val="clear" w:pos="425"/>
        </w:tabs>
        <w:spacing w:before="156" w:after="156"/>
        <w:rPr>
          <w:rFonts w:eastAsia="宋体"/>
        </w:rPr>
      </w:pPr>
      <w:bookmarkStart w:id="124" w:name="_Toc248_WPSOffice_Level1"/>
      <w:bookmarkStart w:id="125" w:name="_Toc26199502"/>
      <w:bookmarkStart w:id="126" w:name="_Toc24710"/>
      <w:r>
        <w:t>5. 环评主要结论及审批部门审批决定</w:t>
      </w:r>
      <w:bookmarkEnd w:id="124"/>
      <w:bookmarkEnd w:id="125"/>
      <w:bookmarkEnd w:id="126"/>
    </w:p>
    <w:p>
      <w:pPr>
        <w:pStyle w:val="17"/>
      </w:pPr>
      <w:bookmarkStart w:id="127" w:name="_Toc6392_WPSOffice_Level1"/>
      <w:bookmarkStart w:id="128" w:name="_Toc26199503"/>
      <w:bookmarkStart w:id="129" w:name="_Toc23890"/>
      <w:r>
        <w:t xml:space="preserve">5.1 </w:t>
      </w:r>
      <w:bookmarkEnd w:id="127"/>
      <w:bookmarkEnd w:id="128"/>
      <w:r>
        <w:t>环境影响报告书回顾</w:t>
      </w:r>
      <w:bookmarkEnd w:id="129"/>
    </w:p>
    <w:p>
      <w:pPr>
        <w:pStyle w:val="19"/>
        <w:shd w:val="clear"/>
        <w:ind w:firstLine="480"/>
        <w:rPr>
          <w:highlight w:val="none"/>
          <w:lang w:val="en-US"/>
        </w:rPr>
      </w:pPr>
      <w:r>
        <w:rPr>
          <w:lang w:val="en-US"/>
        </w:rPr>
        <w:t>《</w:t>
      </w:r>
      <w:r>
        <w:rPr>
          <w:rFonts w:hint="eastAsia"/>
        </w:rPr>
        <w:t>湄洲湾港斗尾港区斗尾作业区7#泊位及港丰石化仓储项目货种调整改扩建工程环境</w:t>
      </w:r>
      <w:r>
        <w:rPr>
          <w:rFonts w:hint="eastAsia"/>
          <w:highlight w:val="none"/>
        </w:rPr>
        <w:t>影响报告书</w:t>
      </w:r>
      <w:r>
        <w:rPr>
          <w:highlight w:val="none"/>
          <w:lang w:val="en-US"/>
        </w:rPr>
        <w:t>》由</w:t>
      </w:r>
      <w:bookmarkStart w:id="130" w:name="_Hlk86770062"/>
      <w:r>
        <w:rPr>
          <w:highlight w:val="none"/>
          <w:lang w:val="en-US"/>
        </w:rPr>
        <w:t>泉州华大环境影响评价有限公司</w:t>
      </w:r>
      <w:bookmarkEnd w:id="130"/>
      <w:r>
        <w:rPr>
          <w:highlight w:val="none"/>
          <w:lang w:val="en-US"/>
        </w:rPr>
        <w:t>于20</w:t>
      </w:r>
      <w:r>
        <w:rPr>
          <w:rFonts w:hint="eastAsia"/>
          <w:highlight w:val="none"/>
          <w:lang w:val="en-US" w:eastAsia="zh-CN"/>
        </w:rPr>
        <w:t>2</w:t>
      </w:r>
      <w:r>
        <w:rPr>
          <w:highlight w:val="none"/>
        </w:rPr>
        <w:t>2</w:t>
      </w:r>
      <w:r>
        <w:rPr>
          <w:highlight w:val="none"/>
          <w:lang w:val="en-US"/>
        </w:rPr>
        <w:t>年</w:t>
      </w:r>
      <w:r>
        <w:rPr>
          <w:rFonts w:hint="eastAsia"/>
          <w:highlight w:val="none"/>
          <w:lang w:val="en-US" w:eastAsia="zh-CN"/>
        </w:rPr>
        <w:t>6</w:t>
      </w:r>
      <w:r>
        <w:rPr>
          <w:highlight w:val="none"/>
          <w:lang w:val="en-US"/>
        </w:rPr>
        <w:t>月编制完成，</w:t>
      </w:r>
      <w:r>
        <w:rPr>
          <w:rFonts w:hint="eastAsia"/>
          <w:highlight w:val="none"/>
          <w:lang w:val="en-US" w:eastAsia="zh-CN"/>
        </w:rPr>
        <w:t>泉州市生态环境局</w:t>
      </w:r>
      <w:r>
        <w:rPr>
          <w:highlight w:val="none"/>
          <w:lang w:val="en-US"/>
        </w:rPr>
        <w:t>于20</w:t>
      </w:r>
      <w:r>
        <w:rPr>
          <w:rFonts w:hint="eastAsia"/>
          <w:highlight w:val="none"/>
          <w:lang w:val="en-US" w:eastAsia="zh-CN"/>
        </w:rPr>
        <w:t>22</w:t>
      </w:r>
      <w:r>
        <w:rPr>
          <w:highlight w:val="none"/>
          <w:lang w:val="en-US"/>
        </w:rPr>
        <w:t>年</w:t>
      </w:r>
      <w:r>
        <w:rPr>
          <w:rFonts w:hint="eastAsia"/>
          <w:highlight w:val="none"/>
          <w:lang w:val="en-US" w:eastAsia="zh-CN"/>
        </w:rPr>
        <w:t>7</w:t>
      </w:r>
      <w:r>
        <w:rPr>
          <w:highlight w:val="none"/>
          <w:lang w:val="en-US"/>
        </w:rPr>
        <w:t>月以</w:t>
      </w:r>
      <w:r>
        <w:rPr>
          <w:rFonts w:hint="eastAsia"/>
          <w:highlight w:val="none"/>
          <w:lang w:eastAsia="zh-CN"/>
        </w:rPr>
        <w:t>泉惠环评</w:t>
      </w:r>
      <w:r>
        <w:rPr>
          <w:highlight w:val="none"/>
        </w:rPr>
        <w:t>〔20</w:t>
      </w:r>
      <w:r>
        <w:rPr>
          <w:rFonts w:hint="eastAsia"/>
          <w:highlight w:val="none"/>
          <w:lang w:val="en-US" w:eastAsia="zh-CN"/>
        </w:rPr>
        <w:t>22</w:t>
      </w:r>
      <w:r>
        <w:rPr>
          <w:highlight w:val="none"/>
        </w:rPr>
        <w:t>〕</w:t>
      </w:r>
      <w:r>
        <w:rPr>
          <w:rFonts w:hint="eastAsia"/>
          <w:highlight w:val="none"/>
          <w:lang w:eastAsia="zh-CN"/>
        </w:rPr>
        <w:t>书</w:t>
      </w:r>
      <w:r>
        <w:rPr>
          <w:rFonts w:hint="eastAsia"/>
          <w:highlight w:val="none"/>
          <w:lang w:val="en-US" w:eastAsia="zh-CN"/>
        </w:rPr>
        <w:t>2</w:t>
      </w:r>
      <w:r>
        <w:rPr>
          <w:highlight w:val="none"/>
        </w:rPr>
        <w:t>号</w:t>
      </w:r>
      <w:r>
        <w:rPr>
          <w:highlight w:val="none"/>
          <w:lang w:val="en-US"/>
        </w:rPr>
        <w:t>对环评报告进行批复。</w:t>
      </w:r>
    </w:p>
    <w:p>
      <w:pPr>
        <w:pStyle w:val="18"/>
        <w:shd w:val="clear"/>
        <w:rPr>
          <w:highlight w:val="none"/>
        </w:rPr>
      </w:pPr>
      <w:r>
        <w:rPr>
          <w:highlight w:val="none"/>
        </w:rPr>
        <w:t>5.1.1 环境影响报告书主要结论回顾</w:t>
      </w:r>
    </w:p>
    <w:p>
      <w:pPr>
        <w:pStyle w:val="19"/>
        <w:shd w:val="clear"/>
        <w:ind w:firstLine="480"/>
        <w:rPr>
          <w:highlight w:val="yellow"/>
        </w:rPr>
      </w:pPr>
      <w:r>
        <w:rPr>
          <w:rFonts w:hint="eastAsia"/>
          <w:highlight w:val="none"/>
        </w:rPr>
        <w:t>湄洲湾港斗尾港区斗尾作业区7#泊位及港丰石化仓储项目货种调整改扩建工程</w:t>
      </w:r>
      <w:r>
        <w:rPr>
          <w:highlight w:val="none"/>
        </w:rPr>
        <w:t>符合国家、福建省的相关产业政策，符合</w:t>
      </w:r>
      <w:r>
        <w:rPr>
          <w:rFonts w:hint="eastAsia"/>
          <w:highlight w:val="none"/>
        </w:rPr>
        <w:t>行业准入条件</w:t>
      </w:r>
      <w:r>
        <w:rPr>
          <w:highlight w:val="none"/>
        </w:rPr>
        <w:t>。项目位于现有工程厂区内，无新增用地，选址符合区域用地规划。清洁生产水平达到国内先进水平。在建设单位严格执行环保“三同时”制度，严格落实本报告书提出的各项污染防治措施和风险防范措施、加强环境管理的前提下，可实现污染物达标排放，对周边环境的影响在可接受的范围内。因此，从环境保护角度分析，项目建设是可行的。</w:t>
      </w:r>
    </w:p>
    <w:p>
      <w:pPr>
        <w:pStyle w:val="18"/>
        <w:rPr>
          <w:highlight w:val="none"/>
        </w:rPr>
      </w:pPr>
      <w:r>
        <w:rPr>
          <w:highlight w:val="none"/>
        </w:rPr>
        <w:t>5.1.2 环境影响评价结论</w:t>
      </w:r>
    </w:p>
    <w:p>
      <w:pPr>
        <w:pStyle w:val="25"/>
        <w:rPr>
          <w:highlight w:val="none"/>
        </w:rPr>
      </w:pPr>
      <w:r>
        <w:rPr>
          <w:highlight w:val="none"/>
        </w:rPr>
        <w:t xml:space="preserve">5.1.2.1 </w:t>
      </w:r>
      <w:bookmarkStart w:id="131" w:name="_Toc106619787"/>
      <w:r>
        <w:rPr>
          <w:rFonts w:hint="eastAsia"/>
          <w:highlight w:val="none"/>
        </w:rPr>
        <w:t>海水环境影响评价结论</w:t>
      </w:r>
      <w:bookmarkEnd w:id="131"/>
    </w:p>
    <w:p>
      <w:pPr>
        <w:pStyle w:val="19"/>
        <w:ind w:firstLine="480"/>
        <w:rPr>
          <w:highlight w:val="none"/>
        </w:rPr>
      </w:pPr>
      <w:r>
        <w:rPr>
          <w:rFonts w:hint="eastAsia"/>
          <w:highlight w:val="none"/>
        </w:rPr>
        <w:t>本次货种调整改扩建不涉及码头水工部分，项目实施后也不新增废水外排，不会增加对周边海水水质的不良影响。</w:t>
      </w:r>
    </w:p>
    <w:p>
      <w:pPr>
        <w:pStyle w:val="19"/>
        <w:ind w:firstLine="480"/>
        <w:rPr>
          <w:highlight w:val="none"/>
        </w:rPr>
      </w:pPr>
      <w:r>
        <w:rPr>
          <w:highlight w:val="none"/>
        </w:rPr>
        <w:t>港丰公司</w:t>
      </w:r>
      <w:r>
        <w:rPr>
          <w:rFonts w:hint="eastAsia"/>
          <w:highlight w:val="none"/>
        </w:rPr>
        <w:t>码头</w:t>
      </w:r>
      <w:r>
        <w:rPr>
          <w:rFonts w:hint="eastAsia"/>
          <w:highlight w:val="none"/>
          <w:lang w:eastAsia="zh-CN"/>
        </w:rPr>
        <w:t>（7#泊位工程）</w:t>
      </w:r>
      <w:r>
        <w:rPr>
          <w:rFonts w:hint="eastAsia"/>
          <w:highlight w:val="none"/>
        </w:rPr>
        <w:t>已建成运行，</w:t>
      </w:r>
      <w:r>
        <w:rPr>
          <w:highlight w:val="none"/>
        </w:rPr>
        <w:t>陆域已经形成</w:t>
      </w:r>
      <w:r>
        <w:rPr>
          <w:rFonts w:hint="eastAsia"/>
          <w:highlight w:val="none"/>
        </w:rPr>
        <w:t>。</w:t>
      </w:r>
      <w:r>
        <w:rPr>
          <w:highlight w:val="none"/>
        </w:rPr>
        <w:t>本项目为现有码头</w:t>
      </w:r>
      <w:r>
        <w:rPr>
          <w:rFonts w:hint="eastAsia"/>
          <w:highlight w:val="none"/>
        </w:rPr>
        <w:t>及仓储</w:t>
      </w:r>
      <w:r>
        <w:rPr>
          <w:highlight w:val="none"/>
        </w:rPr>
        <w:t>的货种</w:t>
      </w:r>
      <w:r>
        <w:rPr>
          <w:rFonts w:hint="eastAsia"/>
          <w:highlight w:val="none"/>
        </w:rPr>
        <w:t>调整改扩建</w:t>
      </w:r>
      <w:r>
        <w:rPr>
          <w:highlight w:val="none"/>
        </w:rPr>
        <w:t>项目</w:t>
      </w:r>
      <w:r>
        <w:rPr>
          <w:rFonts w:hint="eastAsia"/>
          <w:highlight w:val="none"/>
        </w:rPr>
        <w:t>，</w:t>
      </w:r>
      <w:r>
        <w:rPr>
          <w:highlight w:val="none"/>
        </w:rPr>
        <w:t>不涉及围填海</w:t>
      </w:r>
      <w:r>
        <w:rPr>
          <w:rFonts w:hint="eastAsia"/>
          <w:highlight w:val="none"/>
        </w:rPr>
        <w:t>、</w:t>
      </w:r>
      <w:r>
        <w:rPr>
          <w:highlight w:val="none"/>
        </w:rPr>
        <w:t>码头水工</w:t>
      </w:r>
      <w:r>
        <w:rPr>
          <w:rFonts w:hint="eastAsia"/>
          <w:highlight w:val="none"/>
        </w:rPr>
        <w:t>结构</w:t>
      </w:r>
      <w:r>
        <w:rPr>
          <w:highlight w:val="none"/>
        </w:rPr>
        <w:t>和港池疏浚施工</w:t>
      </w:r>
      <w:r>
        <w:rPr>
          <w:rFonts w:hint="eastAsia"/>
          <w:highlight w:val="none"/>
        </w:rPr>
        <w:t>，本项目实施后，项目附近海域流场、流速基本不变化，湄洲湾的上、下层潮流流向基本一致，涨潮时海水流入湾内，落潮时流向湾外。本项目建设</w:t>
      </w:r>
      <w:r>
        <w:rPr>
          <w:highlight w:val="none"/>
        </w:rPr>
        <w:t>对</w:t>
      </w:r>
      <w:r>
        <w:rPr>
          <w:rFonts w:hint="eastAsia"/>
          <w:highlight w:val="none"/>
        </w:rPr>
        <w:t>湄洲湾</w:t>
      </w:r>
      <w:r>
        <w:rPr>
          <w:highlight w:val="none"/>
        </w:rPr>
        <w:t>海域</w:t>
      </w:r>
      <w:r>
        <w:rPr>
          <w:rFonts w:hint="eastAsia"/>
          <w:highlight w:val="none"/>
        </w:rPr>
        <w:t>水</w:t>
      </w:r>
      <w:r>
        <w:rPr>
          <w:highlight w:val="none"/>
        </w:rPr>
        <w:t>动力环境影响很小</w:t>
      </w:r>
      <w:r>
        <w:rPr>
          <w:rFonts w:hint="eastAsia"/>
          <w:highlight w:val="none"/>
        </w:rPr>
        <w:t>。</w:t>
      </w:r>
    </w:p>
    <w:p>
      <w:pPr>
        <w:pStyle w:val="19"/>
        <w:ind w:firstLine="480"/>
        <w:rPr>
          <w:rFonts w:hint="eastAsia"/>
          <w:highlight w:val="none"/>
        </w:rPr>
      </w:pPr>
      <w:r>
        <w:rPr>
          <w:rFonts w:hint="eastAsia"/>
          <w:highlight w:val="none"/>
        </w:rPr>
        <w:t>项目实施后无新增废水排放，</w:t>
      </w:r>
      <w:r>
        <w:rPr>
          <w:highlight w:val="none"/>
        </w:rPr>
        <w:t>对海域沉积物环境的影响较小。</w:t>
      </w:r>
    </w:p>
    <w:p>
      <w:pPr>
        <w:pStyle w:val="19"/>
        <w:ind w:firstLine="480"/>
      </w:pPr>
      <w:r>
        <w:rPr>
          <w:highlight w:val="none"/>
        </w:rPr>
        <w:t>本项目为现有码头</w:t>
      </w:r>
      <w:r>
        <w:rPr>
          <w:rFonts w:hint="eastAsia"/>
          <w:highlight w:val="none"/>
        </w:rPr>
        <w:t>及仓储</w:t>
      </w:r>
      <w:r>
        <w:rPr>
          <w:highlight w:val="none"/>
        </w:rPr>
        <w:t>货种</w:t>
      </w:r>
      <w:r>
        <w:rPr>
          <w:rFonts w:hint="eastAsia"/>
          <w:highlight w:val="none"/>
        </w:rPr>
        <w:t>调整</w:t>
      </w:r>
      <w:r>
        <w:rPr>
          <w:highlight w:val="none"/>
        </w:rPr>
        <w:t>项目，项目建设不涉及码头水</w:t>
      </w:r>
      <w:r>
        <w:t>工建筑物及海域疏浚等海域施工作业，运营过程中不新增废水，对海域生态环境影响较小。</w:t>
      </w:r>
    </w:p>
    <w:p>
      <w:pPr>
        <w:pStyle w:val="25"/>
      </w:pPr>
      <w:r>
        <w:t xml:space="preserve">5.1.2.2 </w:t>
      </w:r>
      <w:bookmarkStart w:id="132" w:name="_Toc106619788"/>
      <w:r>
        <w:rPr>
          <w:rFonts w:hint="eastAsia"/>
          <w:lang w:val="en-US"/>
        </w:rPr>
        <w:t>地下水环境影响评价结论</w:t>
      </w:r>
      <w:bookmarkEnd w:id="132"/>
    </w:p>
    <w:p>
      <w:pPr>
        <w:pStyle w:val="19"/>
        <w:ind w:firstLine="480"/>
      </w:pPr>
      <w:r>
        <w:t>项目场地地下水总体流向由西侧流向东侧，流入东侧海域。项目周边居民点均位于地下水流向的上游，地下水下游附近海域分布有杜厝养殖区和黄干岛养殖区。库区均按照《石油化工工程防渗技术规范》</w:t>
      </w:r>
      <w:r>
        <w:rPr>
          <w:rFonts w:hint="eastAsia"/>
          <w:lang w:eastAsia="zh-CN"/>
        </w:rPr>
        <w:t>（GB/T50934-2013）</w:t>
      </w:r>
      <w:r>
        <w:t>要求，采取防渗措施。正常状况下，不会对地下水环境造成不利影响。</w:t>
      </w:r>
      <w:r>
        <w:rPr>
          <w:rFonts w:hint="eastAsia"/>
        </w:rPr>
        <w:t>但</w:t>
      </w:r>
      <w:r>
        <w:t>出现上述</w:t>
      </w:r>
      <w:r>
        <w:rPr>
          <w:rFonts w:hint="eastAsia"/>
        </w:rPr>
        <w:t>非正常</w:t>
      </w:r>
      <w:r>
        <w:t>泄漏，进入地下水的污染物可能对附近海域水质、杜厝养殖区和黄干岛养殖区造成不利影响。因此，建设单位应从源头控制泄漏，严格按照相关技术规范做好防渗，加强环境管理，维护防渗设施的正常运行，杜绝非正常排放。</w:t>
      </w:r>
    </w:p>
    <w:p>
      <w:pPr>
        <w:pStyle w:val="25"/>
      </w:pPr>
      <w:r>
        <w:t xml:space="preserve">5.1.2.3 </w:t>
      </w:r>
      <w:bookmarkStart w:id="133" w:name="_Toc106619789"/>
      <w:r>
        <w:rPr>
          <w:rFonts w:hint="eastAsia"/>
          <w:lang w:val="en-US"/>
        </w:rPr>
        <w:t>大气环境影响评价结论</w:t>
      </w:r>
      <w:bookmarkEnd w:id="133"/>
    </w:p>
    <w:p>
      <w:pPr>
        <w:pStyle w:val="19"/>
        <w:ind w:firstLine="480"/>
      </w:pPr>
      <w:r>
        <w:t>项目所在区域为二类环境功能区，属于环境空气达标区，根据AERMOD进一步预测结果，项目正常运行时，新增污染源正常排放下污染物短期浓度贡献值的最大浓度占标率≤100%；叠加现状浓度后，主要污染物NMHC</w:t>
      </w:r>
      <w:r>
        <w:rPr>
          <w:rFonts w:hint="eastAsia"/>
        </w:rPr>
        <w:t>、苯、甲苯、二甲苯、苯乙烯、甲醇、丙酮、氨、硫化氢的小时平均质量浓度</w:t>
      </w:r>
      <w:r>
        <w:t>均符合环境质量标准。综上所述，项目的大气环境影响可以接受。</w:t>
      </w:r>
    </w:p>
    <w:p>
      <w:pPr>
        <w:pStyle w:val="19"/>
        <w:ind w:firstLine="480"/>
      </w:pPr>
      <w:r>
        <w:t>项目环境防护距离为后方</w:t>
      </w:r>
      <w:r>
        <w:rPr>
          <w:rFonts w:hint="eastAsia"/>
        </w:rPr>
        <w:t>库区</w:t>
      </w:r>
      <w:r>
        <w:t>边界外延100m</w:t>
      </w:r>
      <w:r>
        <w:rPr>
          <w:rFonts w:hint="eastAsia"/>
        </w:rPr>
        <w:t>以及码头装卸区</w:t>
      </w:r>
      <w:r>
        <w:t>边界外延50m范围，该范围内主要为</w:t>
      </w:r>
      <w:r>
        <w:rPr>
          <w:rFonts w:hint="eastAsia"/>
        </w:rPr>
        <w:t>企业用地</w:t>
      </w:r>
      <w:r>
        <w:t>，无居民住宅、学校、医院等敏感目标，符合环境防护距离要求。</w:t>
      </w:r>
    </w:p>
    <w:p>
      <w:pPr>
        <w:pStyle w:val="25"/>
        <w:rPr>
          <w:lang w:val="en-US"/>
        </w:rPr>
      </w:pPr>
      <w:r>
        <w:t xml:space="preserve">5.1.2.4 </w:t>
      </w:r>
      <w:bookmarkStart w:id="134" w:name="_Toc106619790"/>
      <w:r>
        <w:rPr>
          <w:rFonts w:hint="eastAsia"/>
          <w:lang w:val="en-US"/>
        </w:rPr>
        <w:t>声环境影响评价结论</w:t>
      </w:r>
      <w:bookmarkEnd w:id="134"/>
    </w:p>
    <w:p>
      <w:pPr>
        <w:pStyle w:val="19"/>
        <w:ind w:firstLine="480"/>
        <w:rPr>
          <w:lang w:val="en-US"/>
        </w:rPr>
      </w:pPr>
      <w:r>
        <w:t>本项目主要噪声源周边200m范围内为海域</w:t>
      </w:r>
      <w:r>
        <w:rPr>
          <w:rFonts w:hint="eastAsia"/>
        </w:rPr>
        <w:t>和其他企业等</w:t>
      </w:r>
      <w:r>
        <w:t>，无声环境敏感目标</w:t>
      </w:r>
      <w:r>
        <w:rPr>
          <w:rFonts w:hint="eastAsia"/>
        </w:rPr>
        <w:t>；</w:t>
      </w:r>
      <w:r>
        <w:t>本项目实施后</w:t>
      </w:r>
      <w:r>
        <w:rPr>
          <w:rFonts w:hint="eastAsia"/>
        </w:rPr>
        <w:t>，</w:t>
      </w:r>
      <w:r>
        <w:t>噪声源与现有工程基本一致</w:t>
      </w:r>
      <w:r>
        <w:rPr>
          <w:rFonts w:hint="eastAsia"/>
        </w:rPr>
        <w:t>。</w:t>
      </w:r>
      <w:r>
        <w:t>类比</w:t>
      </w:r>
      <w:r>
        <w:rPr>
          <w:rFonts w:hint="eastAsia"/>
        </w:rPr>
        <w:t>现有</w:t>
      </w:r>
      <w:r>
        <w:t>工程厂界噪声</w:t>
      </w:r>
      <w:r>
        <w:rPr>
          <w:rFonts w:hint="eastAsia"/>
        </w:rPr>
        <w:t>预测、监测</w:t>
      </w:r>
      <w:r>
        <w:t>结果</w:t>
      </w:r>
      <w:r>
        <w:rPr>
          <w:rFonts w:hint="eastAsia"/>
        </w:rPr>
        <w:t>，</w:t>
      </w:r>
      <w:r>
        <w:t>本项目实施后厂界噪声可以达标</w:t>
      </w:r>
      <w:r>
        <w:rPr>
          <w:rFonts w:hint="eastAsia"/>
        </w:rPr>
        <w:t>，</w:t>
      </w:r>
      <w:r>
        <w:t>噪声对外环境影响基本不会发生太大的变化</w:t>
      </w:r>
      <w:r>
        <w:rPr>
          <w:rFonts w:hint="eastAsia"/>
        </w:rPr>
        <w:t>，</w:t>
      </w:r>
      <w:r>
        <w:t>对周边声环境的影响较小。</w:t>
      </w:r>
    </w:p>
    <w:p>
      <w:pPr>
        <w:pStyle w:val="25"/>
      </w:pPr>
      <w:r>
        <w:t>5</w:t>
      </w:r>
      <w:r>
        <w:rPr>
          <w:lang w:val="en-US"/>
        </w:rPr>
        <w:t>.</w:t>
      </w:r>
      <w:r>
        <w:t>1</w:t>
      </w:r>
      <w:r>
        <w:rPr>
          <w:lang w:val="en-US"/>
        </w:rPr>
        <w:t>.</w:t>
      </w:r>
      <w:r>
        <w:t>2</w:t>
      </w:r>
      <w:r>
        <w:rPr>
          <w:lang w:val="en-US"/>
        </w:rPr>
        <w:t>.</w:t>
      </w:r>
      <w:r>
        <w:t xml:space="preserve">5 </w:t>
      </w:r>
      <w:bookmarkStart w:id="135" w:name="_Toc106619791"/>
      <w:r>
        <w:rPr>
          <w:rFonts w:hint="eastAsia"/>
        </w:rPr>
        <w:t>固体废物影响评价结论</w:t>
      </w:r>
      <w:bookmarkEnd w:id="135"/>
    </w:p>
    <w:p>
      <w:pPr>
        <w:pStyle w:val="19"/>
        <w:ind w:firstLine="480"/>
      </w:pPr>
      <w:r>
        <w:rPr>
          <w:rFonts w:hint="eastAsia"/>
        </w:rPr>
        <w:t>本项目货种调整后，港区内现有设置的固体废物分类暂存设施的规模和管理制度等符合</w:t>
      </w:r>
      <w:r>
        <w:rPr>
          <w:rFonts w:hint="eastAsia"/>
          <w:lang w:eastAsia="zh-CN"/>
        </w:rPr>
        <w:t>《危险废物贮存污染控制标准》（18597-2001）</w:t>
      </w:r>
      <w:r>
        <w:rPr>
          <w:rFonts w:hint="eastAsia"/>
        </w:rPr>
        <w:t>和《危险废物转移联单管理办法》的相关要求，其规模可满足货种调整后的固体废物暂存要求。</w:t>
      </w:r>
    </w:p>
    <w:p>
      <w:pPr>
        <w:pStyle w:val="19"/>
        <w:ind w:firstLine="480"/>
      </w:pPr>
      <w:r>
        <w:rPr>
          <w:rFonts w:hint="eastAsia"/>
        </w:rPr>
        <w:t>建议业主单位在现有基础上进一步加强落实规范要求，防止二次污染，并遵循固体废物减量化、资源化和无害化的要求，分别采用综合利用、安全处置的方法予以处置，做到固体废物零排放，环境影响较小。</w:t>
      </w:r>
    </w:p>
    <w:p>
      <w:pPr>
        <w:pStyle w:val="25"/>
      </w:pPr>
      <w:r>
        <w:t>5.1.</w:t>
      </w:r>
      <w:r>
        <w:rPr>
          <w:rFonts w:hint="eastAsia"/>
          <w:lang w:val="en-US" w:eastAsia="zh-CN"/>
        </w:rPr>
        <w:t>2.6</w:t>
      </w:r>
      <w:r>
        <w:t xml:space="preserve"> </w:t>
      </w:r>
      <w:bookmarkStart w:id="136" w:name="_Toc106619792"/>
      <w:r>
        <w:rPr>
          <w:rFonts w:hint="eastAsia"/>
        </w:rPr>
        <w:t>土壤环境评价结论</w:t>
      </w:r>
      <w:bookmarkEnd w:id="136"/>
    </w:p>
    <w:p>
      <w:pPr>
        <w:pStyle w:val="19"/>
        <w:ind w:firstLine="480"/>
      </w:pPr>
      <w:r>
        <w:t>由土壤环境质量现状评价结果可知，项目占地范围内各土壤评价因子均满足《土壤环境质量 建设用地污染风险管控标准》</w:t>
      </w:r>
      <w:r>
        <w:rPr>
          <w:rFonts w:hint="eastAsia"/>
          <w:lang w:eastAsia="zh-CN"/>
        </w:rPr>
        <w:t>（GB36600-2018）</w:t>
      </w:r>
      <w:r>
        <w:t>第二类用地筛选值标准要求，土壤环境质量良好。在建设单位采取报告所述土壤环境保护措施的前提下，可有效控制物料、废水渗漏污染土壤环境。项目运营不会对土壤环境质量产生明显不利影响。从土壤环境影响的角度，项目建设可行。</w:t>
      </w:r>
    </w:p>
    <w:p>
      <w:pPr>
        <w:pStyle w:val="25"/>
      </w:pPr>
      <w:r>
        <w:t>5.1.</w:t>
      </w:r>
      <w:r>
        <w:rPr>
          <w:rFonts w:hint="eastAsia"/>
          <w:lang w:val="en-US" w:eastAsia="zh-CN"/>
        </w:rPr>
        <w:t>2.7</w:t>
      </w:r>
      <w:r>
        <w:t xml:space="preserve"> </w:t>
      </w:r>
      <w:bookmarkStart w:id="137" w:name="_Toc106619793"/>
      <w:r>
        <w:rPr>
          <w:rFonts w:hint="eastAsia"/>
        </w:rPr>
        <w:t>环境风险评价结论</w:t>
      </w:r>
      <w:bookmarkEnd w:id="137"/>
    </w:p>
    <w:p>
      <w:pPr>
        <w:pStyle w:val="19"/>
        <w:ind w:firstLine="480"/>
      </w:pPr>
      <w:r>
        <w:rPr>
          <w:rFonts w:hint="eastAsia"/>
          <w:lang w:eastAsia="zh-CN"/>
        </w:rPr>
        <w:t>（</w:t>
      </w:r>
      <w:r>
        <w:rPr>
          <w:rFonts w:hint="eastAsia"/>
          <w:lang w:val="en-US" w:eastAsia="zh-CN"/>
        </w:rPr>
        <w:t>1</w:t>
      </w:r>
      <w:r>
        <w:rPr>
          <w:rFonts w:hint="eastAsia"/>
          <w:lang w:eastAsia="zh-CN"/>
        </w:rPr>
        <w:t>）</w:t>
      </w:r>
      <w:r>
        <w:rPr>
          <w:rFonts w:hint="eastAsia"/>
        </w:rPr>
        <w:t>项目危险因素</w:t>
      </w:r>
    </w:p>
    <w:p>
      <w:pPr>
        <w:pStyle w:val="19"/>
        <w:ind w:firstLine="480"/>
        <w:rPr>
          <w:lang w:val="zh-CN"/>
        </w:rPr>
      </w:pPr>
      <w:r>
        <w:rPr>
          <w:rFonts w:hint="eastAsia"/>
        </w:rPr>
        <w:t>本次货种调整，港丰公司的码头、储罐及管道主体设施不变，主要危险单元仍为码头装卸区及前沿水域、库区各罐组及货种管道管廊区。涉及的主要危险物质为现有工程保留的汽油、柴油、3#喷气燃料、煤油(航空煤油)、抽余油、轻循环油、润滑油(基础油)、甲醇汽油、乙醇汽油、石脑油、生物柴油、轻油、有机热载体、粗白油、溶剂油等油类物质，环己烷、己烷、二氯甲烷、1,2-二氯乙烷、甲醇、正丁醇、异丙醇、环己酮、丙酮、丁酮、邻苯二甲酸二辛酯、乙酸乙酯、乙酸甲酯、丙烯酸丁酯、乙酸乙烯酯(乙酸乙烯</w:t>
      </w:r>
      <w:r>
        <w:t>)</w:t>
      </w:r>
      <w:r>
        <w:rPr>
          <w:rFonts w:hint="eastAsia"/>
        </w:rPr>
        <w:t>、甲苯、二甲苯、苯、苯乙烯、甲基叔丁基醚、苯酚、乙酸(冰醋酸)、二甲基甲酰胺、混合芳烃、重芳烃等化工品，和本次新增的凝析油、变压器油、棕榈酸油等油品，1,2-二氯丙烷、碳九(裂解碳九)、甲醛缩二甲醇(甲缩醛)、甲基丙烯酸甲酯、丙烯酸甲酯等化工品，以及船舶燃料油。本项目</w:t>
      </w:r>
      <w:r>
        <w:rPr>
          <w:lang w:val="zh-CN"/>
        </w:rPr>
        <w:t>环境风险类型主要是</w:t>
      </w:r>
      <w:r>
        <w:rPr>
          <w:rFonts w:hint="eastAsia"/>
          <w:lang w:val="zh-CN"/>
        </w:rPr>
        <w:t>危险物质</w:t>
      </w:r>
      <w:r>
        <w:rPr>
          <w:lang w:val="zh-CN"/>
        </w:rPr>
        <w:t>的泄漏以及火灾、爆炸等引发的伴生/次生污染排放。本评价主要考虑</w:t>
      </w:r>
      <w:r>
        <w:rPr>
          <w:rFonts w:hint="eastAsia"/>
        </w:rPr>
        <w:t>码头前沿货船发生苯酚、1,2-二氯乙烷、船舶燃料油泄漏入海污染海洋环境的影响</w:t>
      </w:r>
      <w:r>
        <w:rPr>
          <w:rFonts w:hint="eastAsia"/>
          <w:lang w:val="zh-CN"/>
        </w:rPr>
        <w:t>；以及库区</w:t>
      </w:r>
      <w:r>
        <w:rPr>
          <w:lang w:val="zh-CN"/>
        </w:rPr>
        <w:t>辛烷储罐泄漏后遇明火发生火灾次生污染物CO，</w:t>
      </w:r>
      <w:r>
        <w:rPr>
          <w:rFonts w:hint="eastAsia"/>
        </w:rPr>
        <w:t>乙酸乙烯酯、甲基丙烯酸甲酯</w:t>
      </w:r>
      <w:r>
        <w:rPr>
          <w:lang w:val="zh-CN"/>
        </w:rPr>
        <w:t>储罐泄漏对大气环境的影响。</w:t>
      </w:r>
    </w:p>
    <w:p>
      <w:pPr>
        <w:pStyle w:val="19"/>
        <w:ind w:firstLine="480"/>
      </w:pPr>
      <w:r>
        <w:rPr>
          <w:rFonts w:hint="eastAsia"/>
          <w:lang w:eastAsia="zh-CN"/>
        </w:rPr>
        <w:t>（</w:t>
      </w:r>
      <w:r>
        <w:rPr>
          <w:rFonts w:hint="eastAsia"/>
          <w:lang w:val="en-US" w:eastAsia="zh-CN"/>
        </w:rPr>
        <w:t>2</w:t>
      </w:r>
      <w:r>
        <w:rPr>
          <w:rFonts w:hint="eastAsia"/>
          <w:lang w:eastAsia="zh-CN"/>
        </w:rPr>
        <w:t>）</w:t>
      </w:r>
      <w:r>
        <w:rPr>
          <w:rFonts w:hint="eastAsia"/>
        </w:rPr>
        <w:t>环境敏感性及事故环境影响</w:t>
      </w:r>
    </w:p>
    <w:p>
      <w:pPr>
        <w:pStyle w:val="19"/>
        <w:ind w:firstLine="480"/>
        <w:rPr>
          <w:lang w:val="zh-CN"/>
        </w:rPr>
      </w:pPr>
      <w:r>
        <w:rPr>
          <w:rFonts w:hint="eastAsia"/>
        </w:rPr>
        <w:t>项目周边海域环境敏感保护目标主要有湄洲湾生态廊道保护区、湄洲湾口重要渔业水域生态保护红线区、湄洲岛国家海洋公园海洋保护区生态保护红线区(一)、湄洲岛国家海洋公园海洋保护区生态保护红线区(二)、湄洲湾重要滨海湿地生态保护红线区、周边海水养殖区等，水环境敏感程度为中度敏感区；</w:t>
      </w:r>
      <w:r>
        <w:rPr>
          <w:lang w:val="zh-CN"/>
        </w:rPr>
        <w:t>项目</w:t>
      </w:r>
      <w:r>
        <w:rPr>
          <w:rFonts w:hint="eastAsia"/>
          <w:lang w:val="zh-CN"/>
        </w:rPr>
        <w:t>周边大气</w:t>
      </w:r>
      <w:r>
        <w:rPr>
          <w:lang w:val="zh-CN"/>
        </w:rPr>
        <w:t>环境敏感目标主要有杜厝村、</w:t>
      </w:r>
      <w:r>
        <w:rPr>
          <w:rFonts w:hint="eastAsia"/>
          <w:lang w:val="zh-CN"/>
        </w:rPr>
        <w:t>松村村、城前村、</w:t>
      </w:r>
      <w:r>
        <w:rPr>
          <w:lang w:val="zh-CN"/>
        </w:rPr>
        <w:t>塘头村等，大气环境敏感程度为中度敏感区</w:t>
      </w:r>
      <w:r>
        <w:rPr>
          <w:rFonts w:hint="eastAsia"/>
          <w:lang w:val="zh-CN"/>
        </w:rPr>
        <w:t>；项目区属填海区，无地下水环境保护目标，评价区</w:t>
      </w:r>
      <w:r>
        <w:rPr>
          <w:lang w:val="zh-CN"/>
        </w:rPr>
        <w:t>地下水环境敏感程度为低敏感区。</w:t>
      </w:r>
    </w:p>
    <w:p>
      <w:pPr>
        <w:pStyle w:val="19"/>
        <w:ind w:firstLine="480"/>
      </w:pPr>
      <w:r>
        <w:rPr>
          <w:rFonts w:hint="eastAsia"/>
          <w:lang w:val="zh-CN"/>
        </w:rPr>
        <w:t>有毒物质货种及船舶燃料油泄漏入海，会对海水水质和周边养殖区等产生影响；</w:t>
      </w:r>
      <w:r>
        <w:t>易燃物质</w:t>
      </w:r>
      <w:r>
        <w:rPr>
          <w:lang w:val="zh-CN"/>
        </w:rPr>
        <w:t>储罐发生泄漏火灾、爆炸等引发的伴生/次生污染物CO、泄漏物质排放可能对项目区域的环境空气产生影响；泄漏物料物料渗入土壤影响地下水水质。企业必须</w:t>
      </w:r>
      <w:r>
        <w:rPr>
          <w:rFonts w:hint="eastAsia"/>
          <w:lang w:val="zh-CN"/>
        </w:rPr>
        <w:t>加强环境风险防控及应急管理，</w:t>
      </w:r>
      <w:r>
        <w:rPr>
          <w:lang w:val="zh-CN"/>
        </w:rPr>
        <w:t>按照本环评提出的环境保护措施和要求进行建设和管理</w:t>
      </w:r>
      <w:r>
        <w:rPr>
          <w:rFonts w:hint="eastAsia"/>
          <w:lang w:val="zh-CN"/>
        </w:rPr>
        <w:t>，最大程度避免发生风险事故</w:t>
      </w:r>
      <w:r>
        <w:rPr>
          <w:lang w:val="zh-CN"/>
        </w:rPr>
        <w:t>。</w:t>
      </w:r>
    </w:p>
    <w:p>
      <w:pPr>
        <w:pStyle w:val="19"/>
        <w:ind w:firstLine="480"/>
      </w:pPr>
      <w:r>
        <w:rPr>
          <w:rFonts w:hint="eastAsia"/>
          <w:lang w:eastAsia="zh-CN"/>
        </w:rPr>
        <w:t>（</w:t>
      </w:r>
      <w:r>
        <w:rPr>
          <w:rFonts w:hint="eastAsia"/>
          <w:lang w:val="en-US" w:eastAsia="zh-CN"/>
        </w:rPr>
        <w:t>3</w:t>
      </w:r>
      <w:r>
        <w:rPr>
          <w:rFonts w:hint="eastAsia"/>
          <w:lang w:eastAsia="zh-CN"/>
        </w:rPr>
        <w:t>）</w:t>
      </w:r>
      <w:r>
        <w:rPr>
          <w:rFonts w:hint="eastAsia"/>
        </w:rPr>
        <w:t>环境风险防范措施和应急预案</w:t>
      </w:r>
    </w:p>
    <w:p>
      <w:pPr>
        <w:pStyle w:val="19"/>
        <w:ind w:firstLine="480"/>
        <w:rPr>
          <w:lang w:val="zh-CN"/>
        </w:rPr>
      </w:pPr>
      <w:r>
        <w:rPr>
          <w:lang w:val="zh-CN"/>
        </w:rPr>
        <w:t>项目环境风险场所配备可燃气体报警仪，预防火灾。配备灭火器，及时灭火，减缓火灾影响；建设容积为</w:t>
      </w:r>
      <w:r>
        <w:t>4000m3</w:t>
      </w:r>
      <w:r>
        <w:rPr>
          <w:lang w:val="zh-CN"/>
        </w:rPr>
        <w:t>的事故应急池及其导流系统，确保在事故状态下能顺利收集消防废水、泄漏物等</w:t>
      </w:r>
      <w:r>
        <w:rPr>
          <w:rFonts w:hint="eastAsia"/>
          <w:lang w:val="zh-CN"/>
        </w:rPr>
        <w:t>。</w:t>
      </w:r>
      <w:r>
        <w:t>项目设不燃烧材料实体围墙，其中临海侧围墙实体部分相对高度为2m</w:t>
      </w:r>
      <w:r>
        <w:rPr>
          <w:rFonts w:hint="eastAsia"/>
        </w:rPr>
        <w:t>，其他三面厂界实体围墙高2.5 m</w:t>
      </w:r>
      <w:r>
        <w:t>。</w:t>
      </w:r>
      <w:r>
        <w:rPr>
          <w:lang w:val="zh-CN"/>
        </w:rPr>
        <w:t>要求项目建成后按相关要求编制突发环境事件应急预案并报生态环境局备案，定期按预案进行演练。</w:t>
      </w:r>
    </w:p>
    <w:p>
      <w:pPr>
        <w:pStyle w:val="19"/>
        <w:ind w:firstLine="480"/>
      </w:pPr>
      <w:r>
        <w:rPr>
          <w:rFonts w:hint="eastAsia"/>
        </w:rPr>
        <w:t>加强码头靠泊的船舶管理，规范装卸作业，加强日常巡检，按船舶防治污染能力评价报告要求配备应急设备、设施、物资，并重新向海事管理机构和生态环境主管部门备案，定期开展应急培训和应急演练。</w:t>
      </w:r>
    </w:p>
    <w:p>
      <w:pPr>
        <w:pStyle w:val="19"/>
        <w:ind w:firstLine="480"/>
      </w:pPr>
      <w:r>
        <w:rPr>
          <w:rFonts w:hint="eastAsia"/>
        </w:rPr>
        <w:t>本次环评要求建设单位要切实落实环评提出的环境风险防范措施，并加强环境管理及风险演练等。从环境风险角度分析，环境风险事故可控，本项目建设可行。</w:t>
      </w:r>
    </w:p>
    <w:p>
      <w:pPr>
        <w:pStyle w:val="18"/>
      </w:pPr>
      <w:r>
        <w:t>5.1.</w:t>
      </w:r>
      <w:r>
        <w:rPr>
          <w:rFonts w:hint="eastAsia"/>
          <w:lang w:val="en-US" w:eastAsia="zh-CN"/>
        </w:rPr>
        <w:t>3</w:t>
      </w:r>
      <w:r>
        <w:t xml:space="preserve"> 环境影响报告书对策措施回顾</w:t>
      </w:r>
    </w:p>
    <w:p>
      <w:pPr>
        <w:pStyle w:val="25"/>
        <w:rPr>
          <w:lang w:val="en-US"/>
        </w:rPr>
      </w:pPr>
      <w:r>
        <w:t>5.1.</w:t>
      </w:r>
      <w:r>
        <w:rPr>
          <w:rFonts w:hint="eastAsia"/>
          <w:lang w:val="en-US" w:eastAsia="zh-CN"/>
        </w:rPr>
        <w:t>3</w:t>
      </w:r>
      <w:r>
        <w:t xml:space="preserve">.1 </w:t>
      </w:r>
      <w:r>
        <w:rPr>
          <w:rFonts w:hint="eastAsia"/>
        </w:rPr>
        <w:t>废水处理措施</w:t>
      </w:r>
    </w:p>
    <w:p>
      <w:pPr>
        <w:pStyle w:val="19"/>
        <w:ind w:firstLine="480"/>
        <w:rPr>
          <w:rFonts w:hint="eastAsia"/>
          <w:lang w:val="en-GB"/>
        </w:rPr>
      </w:pPr>
      <w:r>
        <w:rPr>
          <w:rFonts w:hint="eastAsia"/>
          <w:lang w:val="en-GB" w:eastAsia="zh-CN"/>
        </w:rPr>
        <w:t>（</w:t>
      </w:r>
      <w:r>
        <w:rPr>
          <w:rFonts w:hint="eastAsia"/>
          <w:lang w:val="en-US" w:eastAsia="zh-CN"/>
        </w:rPr>
        <w:t>1</w:t>
      </w:r>
      <w:r>
        <w:rPr>
          <w:rFonts w:hint="eastAsia"/>
          <w:lang w:val="en-GB" w:eastAsia="zh-CN"/>
        </w:rPr>
        <w:t>）</w:t>
      </w:r>
      <w:r>
        <w:rPr>
          <w:rFonts w:hint="eastAsia"/>
          <w:lang w:val="en-GB"/>
        </w:rPr>
        <w:t>废水分类收集处理方案</w:t>
      </w:r>
    </w:p>
    <w:p>
      <w:pPr>
        <w:pStyle w:val="19"/>
        <w:ind w:firstLine="480"/>
        <w:rPr>
          <w:rFonts w:hint="eastAsia"/>
          <w:lang w:val="en-GB"/>
        </w:rPr>
      </w:pPr>
      <w:r>
        <w:rPr>
          <w:rFonts w:hint="eastAsia"/>
          <w:lang w:val="en-GB"/>
        </w:rPr>
        <w:t>①各类废水收集后通过库区生产废水、生活污水及码头废水三根污水管道采用压力流输送至库区污水处理站。</w:t>
      </w:r>
    </w:p>
    <w:p>
      <w:pPr>
        <w:pStyle w:val="19"/>
        <w:ind w:firstLine="480"/>
        <w:rPr>
          <w:rFonts w:hint="eastAsia"/>
          <w:lang w:val="en-GB"/>
        </w:rPr>
      </w:pPr>
      <w:r>
        <w:rPr>
          <w:rFonts w:hint="eastAsia"/>
          <w:lang w:val="en-GB"/>
        </w:rPr>
        <w:t>②设有废水缓冲池和初期雨水池，并合理安排洗罐，可做到生产废水</w:t>
      </w:r>
      <w:r>
        <w:rPr>
          <w:rFonts w:hint="eastAsia"/>
          <w:lang w:val="en-GB" w:eastAsia="zh-CN"/>
        </w:rPr>
        <w:t>（包括化学品罐清洗废水、油罐清洗废水、初期雨水、地面冲洗废水等）</w:t>
      </w:r>
      <w:r>
        <w:rPr>
          <w:rFonts w:hint="eastAsia"/>
          <w:lang w:val="en-GB"/>
        </w:rPr>
        <w:t>不同时进入污水处理站。</w:t>
      </w:r>
    </w:p>
    <w:p>
      <w:pPr>
        <w:pStyle w:val="19"/>
        <w:ind w:firstLine="480"/>
        <w:rPr>
          <w:rFonts w:hint="eastAsia"/>
          <w:lang w:val="en-GB"/>
        </w:rPr>
      </w:pPr>
      <w:r>
        <w:rPr>
          <w:rFonts w:hint="eastAsia"/>
          <w:lang w:val="en-GB"/>
        </w:rPr>
        <w:t>③根据废水的水质特征，化学品罐清洗废水和码头初期雨水、含化学品废水进入化学品废水收集池，经fenton</w:t>
      </w:r>
      <w:r>
        <w:rPr>
          <w:rFonts w:hint="eastAsia"/>
        </w:rPr>
        <w:t>处理后汇入化学除油沉淀池，再经气浮预处理后生化处理；</w:t>
      </w:r>
      <w:r>
        <w:rPr>
          <w:rFonts w:hint="eastAsia"/>
          <w:lang w:val="en-GB"/>
        </w:rPr>
        <w:t>油罐清洗废水、码头含油废水进入含油废水收集池，经隔油</w:t>
      </w:r>
      <w:r>
        <w:rPr>
          <w:rFonts w:hint="eastAsia"/>
        </w:rPr>
        <w:t>后汇入化学除油沉淀池，再经气浮预处理后生化处理。生化处理后设置果壳过滤。</w:t>
      </w:r>
    </w:p>
    <w:p>
      <w:pPr>
        <w:pStyle w:val="19"/>
        <w:ind w:firstLine="480"/>
        <w:rPr>
          <w:rFonts w:hint="eastAsia"/>
          <w:lang w:val="en-GB"/>
        </w:rPr>
      </w:pPr>
      <w:r>
        <w:rPr>
          <w:rFonts w:hint="eastAsia"/>
          <w:lang w:val="en-GB"/>
        </w:rPr>
        <w:t>④事故废水根据废水水质类别，选择进入化学品废水收集池。</w:t>
      </w:r>
    </w:p>
    <w:p>
      <w:pPr>
        <w:pStyle w:val="19"/>
        <w:ind w:firstLine="480"/>
        <w:rPr>
          <w:rFonts w:hint="eastAsia"/>
          <w:lang w:val="en-GB"/>
        </w:rPr>
      </w:pPr>
      <w:r>
        <w:rPr>
          <w:rFonts w:hint="eastAsia"/>
          <w:lang w:val="en-GB"/>
        </w:rPr>
        <w:t>⑤生活污水进入生活污水收集池后提升至综合调节池，与预处理后的化学品废水、含油废水混合后由提升泵打入生化处理单元，经水解酸化、接触好氧、过滤处理后达标排放。废水处理站设监控池，废水不达标时返回综合调节池再处理确保达标排放。建立标准化排放口并设在线监测仪。</w:t>
      </w:r>
    </w:p>
    <w:p>
      <w:pPr>
        <w:pStyle w:val="19"/>
        <w:ind w:firstLine="480"/>
        <w:rPr>
          <w:rFonts w:hint="eastAsia"/>
          <w:lang w:val="en-GB"/>
        </w:rPr>
      </w:pPr>
      <w:r>
        <w:rPr>
          <w:rFonts w:hint="eastAsia"/>
          <w:lang w:val="en-GB" w:eastAsia="zh-CN"/>
        </w:rPr>
        <w:t>（</w:t>
      </w:r>
      <w:r>
        <w:rPr>
          <w:rFonts w:hint="eastAsia"/>
          <w:lang w:val="en-US" w:eastAsia="zh-CN"/>
        </w:rPr>
        <w:t>2</w:t>
      </w:r>
      <w:r>
        <w:rPr>
          <w:rFonts w:hint="eastAsia"/>
          <w:lang w:val="en-GB" w:eastAsia="zh-CN"/>
        </w:rPr>
        <w:t>）</w:t>
      </w:r>
      <w:r>
        <w:rPr>
          <w:rFonts w:hint="eastAsia"/>
          <w:lang w:val="en-GB"/>
        </w:rPr>
        <w:t>污水处理站处理工艺</w:t>
      </w:r>
    </w:p>
    <w:p>
      <w:pPr>
        <w:pStyle w:val="19"/>
        <w:ind w:firstLine="480"/>
        <w:rPr>
          <w:rFonts w:hint="eastAsia"/>
          <w:lang w:val="en-GB"/>
        </w:rPr>
      </w:pPr>
      <w:r>
        <w:rPr>
          <w:rFonts w:hint="eastAsia"/>
          <w:lang w:val="en-GB"/>
        </w:rPr>
        <w:t>港丰公司已建设污水处理站一座，设计处理规模15m</w:t>
      </w:r>
      <w:r>
        <w:rPr>
          <w:rFonts w:hint="eastAsia"/>
          <w:vertAlign w:val="superscript"/>
          <w:lang w:val="en-GB"/>
        </w:rPr>
        <w:t>3</w:t>
      </w:r>
      <w:r>
        <w:rPr>
          <w:rFonts w:hint="eastAsia"/>
          <w:lang w:val="en-GB"/>
        </w:rPr>
        <w:t>/h(360m</w:t>
      </w:r>
      <w:r>
        <w:rPr>
          <w:rFonts w:hint="eastAsia"/>
          <w:vertAlign w:val="superscript"/>
          <w:lang w:val="en-GB"/>
        </w:rPr>
        <w:t>3</w:t>
      </w:r>
      <w:r>
        <w:rPr>
          <w:rFonts w:hint="eastAsia"/>
          <w:lang w:val="en-GB"/>
        </w:rPr>
        <w:t>/d)。</w:t>
      </w:r>
    </w:p>
    <w:p>
      <w:pPr>
        <w:pStyle w:val="19"/>
        <w:ind w:firstLine="480"/>
        <w:rPr>
          <w:rFonts w:hint="eastAsia"/>
        </w:rPr>
      </w:pPr>
      <w:r>
        <w:rPr>
          <w:rFonts w:hint="eastAsia"/>
          <w:lang w:val="en-GB"/>
        </w:rPr>
        <w:t>①</w:t>
      </w:r>
      <w:r>
        <w:rPr>
          <w:rFonts w:hint="eastAsia"/>
        </w:rPr>
        <w:t>污水调节池有效容积设置</w:t>
      </w:r>
    </w:p>
    <w:p>
      <w:pPr>
        <w:pStyle w:val="19"/>
        <w:ind w:firstLine="480"/>
        <w:rPr>
          <w:rFonts w:hint="eastAsia"/>
        </w:rPr>
      </w:pPr>
      <w:r>
        <w:rPr>
          <w:rFonts w:hint="eastAsia"/>
        </w:rPr>
        <w:t>含油废水调节池有效容积：600m</w:t>
      </w:r>
      <w:r>
        <w:rPr>
          <w:rFonts w:hint="eastAsia"/>
          <w:vertAlign w:val="superscript"/>
        </w:rPr>
        <w:t>3</w:t>
      </w:r>
      <w:r>
        <w:rPr>
          <w:rFonts w:hint="eastAsia"/>
        </w:rPr>
        <w:t>；化学品废水调节池有效容积：800m</w:t>
      </w:r>
      <w:r>
        <w:rPr>
          <w:rFonts w:hint="eastAsia"/>
          <w:vertAlign w:val="superscript"/>
        </w:rPr>
        <w:t>3</w:t>
      </w:r>
      <w:r>
        <w:rPr>
          <w:rFonts w:hint="eastAsia"/>
        </w:rPr>
        <w:t>；综合污水调节池有效容积360m</w:t>
      </w:r>
      <w:r>
        <w:rPr>
          <w:rFonts w:hint="eastAsia"/>
          <w:vertAlign w:val="superscript"/>
        </w:rPr>
        <w:t>3</w:t>
      </w:r>
      <w:r>
        <w:rPr>
          <w:rFonts w:hint="eastAsia"/>
        </w:rPr>
        <w:t>；库区初期雨水收集池有效容积1888.6m</w:t>
      </w:r>
      <w:r>
        <w:rPr>
          <w:rFonts w:hint="eastAsia"/>
          <w:vertAlign w:val="superscript"/>
        </w:rPr>
        <w:t>3</w:t>
      </w:r>
      <w:r>
        <w:rPr>
          <w:rFonts w:hint="eastAsia"/>
        </w:rPr>
        <w:t>，事故废水池有效容积：4000m</w:t>
      </w:r>
      <w:r>
        <w:rPr>
          <w:rFonts w:hint="eastAsia"/>
          <w:vertAlign w:val="superscript"/>
        </w:rPr>
        <w:t>3</w:t>
      </w:r>
      <w:r>
        <w:rPr>
          <w:rFonts w:hint="eastAsia"/>
        </w:rPr>
        <w:t>，码头集污池有效容积171m</w:t>
      </w:r>
      <w:r>
        <w:rPr>
          <w:rFonts w:hint="eastAsia"/>
          <w:vertAlign w:val="superscript"/>
        </w:rPr>
        <w:t>3</w:t>
      </w:r>
      <w:r>
        <w:rPr>
          <w:rFonts w:hint="eastAsia"/>
        </w:rPr>
        <w:t>。</w:t>
      </w:r>
    </w:p>
    <w:p>
      <w:pPr>
        <w:pStyle w:val="19"/>
        <w:ind w:firstLine="480"/>
        <w:rPr>
          <w:rFonts w:hint="eastAsia"/>
        </w:rPr>
      </w:pPr>
      <w:r>
        <w:rPr>
          <w:rFonts w:hint="eastAsia"/>
          <w:lang w:val="en-GB"/>
        </w:rPr>
        <w:t>②</w:t>
      </w:r>
      <w:r>
        <w:rPr>
          <w:rFonts w:hint="eastAsia"/>
        </w:rPr>
        <w:t>废水处理规模</w:t>
      </w:r>
    </w:p>
    <w:p>
      <w:pPr>
        <w:pStyle w:val="19"/>
        <w:ind w:firstLine="480"/>
        <w:rPr>
          <w:rFonts w:hint="eastAsia"/>
        </w:rPr>
      </w:pPr>
      <w:r>
        <w:rPr>
          <w:rFonts w:hint="eastAsia"/>
        </w:rPr>
        <w:t>分别设置含化学品废水和含油废水预处理装置，规模均为10m</w:t>
      </w:r>
      <w:r>
        <w:rPr>
          <w:rFonts w:hint="eastAsia"/>
          <w:vertAlign w:val="superscript"/>
        </w:rPr>
        <w:t>3</w:t>
      </w:r>
      <w:r>
        <w:rPr>
          <w:rFonts w:hint="eastAsia"/>
        </w:rPr>
        <w:t>/h；设置1套后续生化(水解酸化+好氧)及深度处理装置，规模为15m</w:t>
      </w:r>
      <w:r>
        <w:rPr>
          <w:rFonts w:hint="eastAsia"/>
          <w:vertAlign w:val="superscript"/>
        </w:rPr>
        <w:t>3</w:t>
      </w:r>
      <w:r>
        <w:rPr>
          <w:rFonts w:hint="eastAsia"/>
        </w:rPr>
        <w:t>/h</w:t>
      </w:r>
      <w:r>
        <w:rPr>
          <w:rFonts w:hint="eastAsia"/>
          <w:lang w:eastAsia="zh-CN"/>
        </w:rPr>
        <w:t>（含生活污水）</w:t>
      </w:r>
      <w:r>
        <w:rPr>
          <w:rFonts w:hint="eastAsia"/>
        </w:rPr>
        <w:t>，每天平均处理厂区废水360m</w:t>
      </w:r>
      <w:r>
        <w:rPr>
          <w:rFonts w:hint="eastAsia"/>
          <w:vertAlign w:val="superscript"/>
        </w:rPr>
        <w:t>3</w:t>
      </w:r>
      <w:r>
        <w:rPr>
          <w:rFonts w:hint="eastAsia"/>
        </w:rPr>
        <w:t>。</w:t>
      </w:r>
    </w:p>
    <w:p>
      <w:pPr>
        <w:pStyle w:val="19"/>
        <w:ind w:firstLine="480"/>
        <w:rPr>
          <w:rFonts w:hint="eastAsia"/>
        </w:rPr>
      </w:pPr>
      <w:r>
        <w:rPr>
          <w:rFonts w:hint="eastAsia"/>
          <w:lang w:val="en-GB"/>
        </w:rPr>
        <w:t>③</w:t>
      </w:r>
      <w:r>
        <w:rPr>
          <w:rFonts w:hint="eastAsia"/>
        </w:rPr>
        <w:t>废水处理工艺</w:t>
      </w:r>
    </w:p>
    <w:p>
      <w:pPr>
        <w:pStyle w:val="19"/>
        <w:ind w:firstLine="480"/>
        <w:rPr>
          <w:rFonts w:hint="eastAsia"/>
        </w:rPr>
      </w:pPr>
      <w:r>
        <w:rPr>
          <w:rFonts w:hint="eastAsia"/>
        </w:rPr>
        <w:t>污水处理站</w:t>
      </w:r>
      <w:r>
        <w:rPr>
          <w:rFonts w:hint="eastAsia"/>
          <w:lang w:val="en-GB"/>
        </w:rPr>
        <w:t>处理工艺为“分类预处理</w:t>
      </w:r>
      <w:r>
        <w:rPr>
          <w:rFonts w:hint="eastAsia"/>
        </w:rPr>
        <w:t>+生化处理+过滤处理</w:t>
      </w:r>
      <w:r>
        <w:rPr>
          <w:rFonts w:hint="eastAsia"/>
          <w:lang w:val="en-GB"/>
        </w:rPr>
        <w:t>”，</w:t>
      </w:r>
      <w:r>
        <w:rPr>
          <w:rFonts w:hint="eastAsia"/>
        </w:rPr>
        <w:t>其中，预处理阶段</w:t>
      </w:r>
      <w:r>
        <w:rPr>
          <w:rFonts w:hint="eastAsia"/>
          <w:lang w:val="en-GB"/>
        </w:rPr>
        <w:t>含油废水经隔油</w:t>
      </w:r>
      <w:r>
        <w:rPr>
          <w:rFonts w:hint="eastAsia"/>
        </w:rPr>
        <w:t>后、</w:t>
      </w:r>
      <w:r>
        <w:rPr>
          <w:rFonts w:hint="eastAsia"/>
          <w:lang w:val="en-GB"/>
        </w:rPr>
        <w:t>含化学品废水经fenton</w:t>
      </w:r>
      <w:r>
        <w:rPr>
          <w:rFonts w:hint="eastAsia"/>
        </w:rPr>
        <w:t>处理后汇入化学除油沉淀池，再经气浮预处理后生化处理；生化处理后设置果壳过滤。污水处理达标后近期引至码头内侧海域排放。</w:t>
      </w:r>
    </w:p>
    <w:p>
      <w:pPr>
        <w:pStyle w:val="19"/>
        <w:ind w:firstLine="480"/>
        <w:rPr>
          <w:rFonts w:hint="eastAsia"/>
          <w:lang w:val="en-GB"/>
        </w:rPr>
      </w:pPr>
      <w:r>
        <w:rPr>
          <w:rFonts w:hint="eastAsia"/>
          <w:lang w:val="en-GB" w:eastAsia="zh-CN"/>
        </w:rPr>
        <w:t>（</w:t>
      </w:r>
      <w:r>
        <w:rPr>
          <w:rFonts w:hint="eastAsia"/>
          <w:lang w:val="en-US" w:eastAsia="zh-CN"/>
        </w:rPr>
        <w:t>3</w:t>
      </w:r>
      <w:r>
        <w:rPr>
          <w:rFonts w:hint="eastAsia"/>
          <w:lang w:val="en-GB" w:eastAsia="zh-CN"/>
        </w:rPr>
        <w:t>）</w:t>
      </w:r>
      <w:r>
        <w:rPr>
          <w:rFonts w:hint="eastAsia"/>
          <w:lang w:val="en-GB"/>
        </w:rPr>
        <w:t>排污口设置</w:t>
      </w:r>
    </w:p>
    <w:p>
      <w:pPr>
        <w:pStyle w:val="19"/>
        <w:ind w:firstLine="480"/>
      </w:pPr>
      <w:r>
        <w:rPr>
          <w:rFonts w:hint="eastAsia"/>
        </w:rPr>
        <w:t>现有工程废水经厂内污水处理站处理后由前方码头与栈桥结合处的临时排污口深水排放，设计排放规模为360m</w:t>
      </w:r>
      <w:r>
        <w:rPr>
          <w:rFonts w:hint="eastAsia"/>
          <w:vertAlign w:val="superscript"/>
        </w:rPr>
        <w:t>3</w:t>
      </w:r>
      <w:r>
        <w:rPr>
          <w:rFonts w:hint="eastAsia"/>
        </w:rPr>
        <w:t>/d。</w:t>
      </w:r>
    </w:p>
    <w:p>
      <w:pPr>
        <w:pStyle w:val="19"/>
        <w:ind w:firstLine="0" w:firstLineChars="0"/>
        <w:outlineLvl w:val="3"/>
      </w:pPr>
      <w:r>
        <w:rPr>
          <w:b/>
        </w:rPr>
        <w:t>5</w:t>
      </w:r>
      <w:r>
        <w:rPr>
          <w:b/>
          <w:lang w:val="zh-CN"/>
        </w:rPr>
        <w:t>.</w:t>
      </w:r>
      <w:r>
        <w:rPr>
          <w:b/>
        </w:rPr>
        <w:t>1</w:t>
      </w:r>
      <w:r>
        <w:rPr>
          <w:b/>
          <w:lang w:val="zh-CN"/>
        </w:rPr>
        <w:t>.</w:t>
      </w:r>
      <w:r>
        <w:rPr>
          <w:rFonts w:hint="default"/>
          <w:b/>
          <w:lang w:val="zh-CN" w:eastAsia="zh-CN"/>
        </w:rPr>
        <w:t>3</w:t>
      </w:r>
      <w:r>
        <w:rPr>
          <w:b/>
          <w:lang w:val="zh-CN"/>
        </w:rPr>
        <w:t>.</w:t>
      </w:r>
      <w:r>
        <w:rPr>
          <w:rFonts w:hint="default"/>
          <w:b/>
          <w:lang w:val="zh-CN" w:eastAsia="zh-CN"/>
        </w:rPr>
        <w:t>2</w:t>
      </w:r>
      <w:r>
        <w:rPr>
          <w:b/>
        </w:rPr>
        <w:t xml:space="preserve"> </w:t>
      </w:r>
      <w:r>
        <w:rPr>
          <w:rFonts w:hint="default"/>
          <w:b/>
          <w:lang w:val="zh-CN"/>
        </w:rPr>
        <w:t>废气处理措施</w:t>
      </w:r>
    </w:p>
    <w:p>
      <w:pPr>
        <w:pStyle w:val="19"/>
        <w:ind w:firstLine="480"/>
        <w:rPr>
          <w:rFonts w:hint="eastAsia"/>
          <w:lang w:val="en-GB"/>
        </w:rPr>
      </w:pPr>
      <w:r>
        <w:rPr>
          <w:rFonts w:hint="eastAsia"/>
          <w:lang w:val="en-GB" w:eastAsia="zh-CN"/>
        </w:rPr>
        <w:t>（</w:t>
      </w:r>
      <w:r>
        <w:rPr>
          <w:rFonts w:hint="eastAsia"/>
          <w:lang w:val="en-US" w:eastAsia="zh-CN"/>
        </w:rPr>
        <w:t>1</w:t>
      </w:r>
      <w:r>
        <w:rPr>
          <w:rFonts w:hint="eastAsia"/>
          <w:lang w:val="en-GB" w:eastAsia="zh-CN"/>
        </w:rPr>
        <w:t>）</w:t>
      </w:r>
      <w:r>
        <w:rPr>
          <w:rFonts w:hint="eastAsia"/>
          <w:lang w:val="en-GB"/>
        </w:rPr>
        <w:t>废气分类收集处理方案</w:t>
      </w:r>
    </w:p>
    <w:p>
      <w:pPr>
        <w:pStyle w:val="19"/>
        <w:ind w:firstLine="480"/>
        <w:rPr>
          <w:rFonts w:hint="eastAsia"/>
        </w:rPr>
      </w:pPr>
      <w:r>
        <w:rPr>
          <w:rFonts w:hint="eastAsia"/>
        </w:rPr>
        <w:t>①储罐大小呼吸废气</w:t>
      </w:r>
    </w:p>
    <w:p>
      <w:pPr>
        <w:pStyle w:val="19"/>
        <w:ind w:firstLine="480"/>
        <w:rPr>
          <w:rFonts w:hint="eastAsia"/>
          <w:lang w:val="en-GB"/>
        </w:rPr>
      </w:pPr>
      <w:r>
        <w:rPr>
          <w:rFonts w:hint="eastAsia"/>
          <w:lang w:val="en-GB"/>
        </w:rPr>
        <w:t>固定顶罐和内浮顶储罐都设置氮气密封保护系统，罐顶设氮封阀(自力式调节阀)和带接管的呼吸阀，可自动补气和密闭回收罐内排出的有机废气去废气处理装置处理。</w:t>
      </w:r>
    </w:p>
    <w:p>
      <w:pPr>
        <w:pStyle w:val="19"/>
        <w:ind w:firstLine="480"/>
        <w:rPr>
          <w:rFonts w:hint="eastAsia"/>
          <w:lang w:val="en-GB"/>
        </w:rPr>
      </w:pPr>
      <w:r>
        <w:rPr>
          <w:rFonts w:hint="eastAsia"/>
        </w:rPr>
        <w:t>②</w:t>
      </w:r>
      <w:r>
        <w:rPr>
          <w:rFonts w:hint="eastAsia"/>
          <w:lang w:val="en-GB"/>
        </w:rPr>
        <w:t>装车</w:t>
      </w:r>
      <w:r>
        <w:rPr>
          <w:rFonts w:hint="eastAsia"/>
          <w:lang w:val="en-GB" w:eastAsia="zh-CN"/>
        </w:rPr>
        <w:t>（含桶装）</w:t>
      </w:r>
      <w:r>
        <w:rPr>
          <w:rFonts w:hint="eastAsia"/>
          <w:lang w:val="en-GB"/>
        </w:rPr>
        <w:t>废气系统</w:t>
      </w:r>
    </w:p>
    <w:p>
      <w:pPr>
        <w:pStyle w:val="19"/>
        <w:ind w:firstLine="480"/>
        <w:rPr>
          <w:rFonts w:hint="eastAsia"/>
          <w:lang w:val="en-GB"/>
        </w:rPr>
      </w:pPr>
      <w:r>
        <w:rPr>
          <w:rFonts w:hint="eastAsia"/>
          <w:lang w:val="en-GB"/>
        </w:rPr>
        <w:t>装车鹤管选用撬装式密闭装车鹤管成套设备，并带有气相回收管；</w:t>
      </w:r>
      <w:r>
        <w:rPr>
          <w:rFonts w:hint="eastAsia"/>
        </w:rPr>
        <w:t>装桶过程采用</w:t>
      </w:r>
      <w:r>
        <w:rPr>
          <w:rFonts w:hint="eastAsia"/>
          <w:lang w:val="en-GB"/>
        </w:rPr>
        <w:t>闭装充装管道并带有气相回收管。气相回收有机气体去废气处理装置处理。</w:t>
      </w:r>
    </w:p>
    <w:p>
      <w:pPr>
        <w:pStyle w:val="19"/>
        <w:ind w:firstLine="480"/>
        <w:rPr>
          <w:rFonts w:hint="eastAsia"/>
          <w:lang w:val="en-GB"/>
        </w:rPr>
      </w:pPr>
      <w:r>
        <w:rPr>
          <w:rFonts w:hint="eastAsia"/>
        </w:rPr>
        <w:t>③</w:t>
      </w:r>
      <w:r>
        <w:rPr>
          <w:rFonts w:hint="eastAsia"/>
          <w:lang w:val="en-GB"/>
        </w:rPr>
        <w:t>燃油锅炉废气</w:t>
      </w:r>
    </w:p>
    <w:p>
      <w:pPr>
        <w:pStyle w:val="19"/>
        <w:ind w:firstLine="480"/>
        <w:rPr>
          <w:rFonts w:hint="eastAsia" w:eastAsia="宋体"/>
          <w:lang w:val="en-GB" w:eastAsia="zh-CN"/>
        </w:rPr>
      </w:pPr>
      <w:r>
        <w:rPr>
          <w:rFonts w:hint="eastAsia"/>
          <w:lang w:val="en-GB"/>
        </w:rPr>
        <w:t>燃油锅炉采用低氮燃烧器，燃料使用轻柴油，废气经</w:t>
      </w:r>
      <w:r>
        <w:rPr>
          <w:rFonts w:hint="eastAsia"/>
        </w:rPr>
        <w:t>8m高排气筒排放。</w:t>
      </w:r>
      <w:r>
        <w:rPr>
          <w:rFonts w:hint="eastAsia"/>
          <w:lang w:eastAsia="zh-CN"/>
        </w:rPr>
        <w:t>目前暂未建设。</w:t>
      </w:r>
    </w:p>
    <w:p>
      <w:pPr>
        <w:pStyle w:val="19"/>
        <w:ind w:firstLine="480"/>
        <w:rPr>
          <w:rFonts w:hint="eastAsia"/>
          <w:lang w:val="en-GB"/>
        </w:rPr>
      </w:pPr>
      <w:r>
        <w:rPr>
          <w:rFonts w:hint="eastAsia"/>
        </w:rPr>
        <w:t>④</w:t>
      </w:r>
      <w:r>
        <w:rPr>
          <w:rFonts w:hint="eastAsia"/>
          <w:lang w:val="en-GB"/>
        </w:rPr>
        <w:t>污水站和危废间废气</w:t>
      </w:r>
    </w:p>
    <w:p>
      <w:pPr>
        <w:pStyle w:val="19"/>
        <w:ind w:firstLine="480"/>
        <w:rPr>
          <w:rFonts w:hint="eastAsia"/>
          <w:lang w:val="en-GB"/>
        </w:rPr>
      </w:pPr>
      <w:r>
        <w:rPr>
          <w:rFonts w:hint="eastAsia"/>
          <w:lang w:val="en-GB"/>
        </w:rPr>
        <w:t>针对污水处理站调节池、厌氧池、污泥浓缩池、污泥脱水间以及危废间等产生含挥发性有机物、恶臭物质的构筑物、建筑物，采取加盖封闭、局部隔离及负压抽吸等措施，抽排废气送碱液喷淋+活性炭吸收处理系统处理。</w:t>
      </w:r>
    </w:p>
    <w:p>
      <w:pPr>
        <w:pStyle w:val="19"/>
        <w:ind w:firstLine="480"/>
        <w:rPr>
          <w:rFonts w:hint="eastAsia"/>
          <w:lang w:val="en-GB"/>
        </w:rPr>
      </w:pPr>
      <w:r>
        <w:rPr>
          <w:rFonts w:hint="eastAsia"/>
        </w:rPr>
        <w:t>⑤</w:t>
      </w:r>
      <w:r>
        <w:rPr>
          <w:rFonts w:hint="eastAsia"/>
          <w:lang w:val="en-GB"/>
        </w:rPr>
        <w:t>针对VOCs物料的设备与管线组件的密封点，开展泄漏检测与修复工作(LDAR)。落实设备与管线组件的定期巡查制度，及时发现泄漏问题及时维护保养。</w:t>
      </w:r>
    </w:p>
    <w:p>
      <w:pPr>
        <w:pStyle w:val="19"/>
        <w:ind w:firstLine="480"/>
        <w:rPr>
          <w:rFonts w:hint="eastAsia"/>
          <w:lang w:val="en-GB"/>
        </w:rPr>
      </w:pPr>
      <w:r>
        <w:rPr>
          <w:rFonts w:hint="eastAsia"/>
          <w:lang w:val="en-GB"/>
        </w:rPr>
        <w:t>⑥码头装船废气</w:t>
      </w:r>
    </w:p>
    <w:p>
      <w:pPr>
        <w:pStyle w:val="19"/>
        <w:ind w:firstLine="480"/>
        <w:rPr>
          <w:rFonts w:hint="eastAsia"/>
        </w:rPr>
      </w:pPr>
      <w:r>
        <w:rPr>
          <w:rFonts w:hint="eastAsia"/>
        </w:rPr>
        <w:t>由于码头平台空间有限，泊位未配置油气回收装置，配置了油气回收管，装船废气通过管道输送至后方库区油气回收装置处理。</w:t>
      </w:r>
    </w:p>
    <w:p>
      <w:pPr>
        <w:pStyle w:val="19"/>
        <w:ind w:firstLine="480"/>
        <w:rPr>
          <w:rFonts w:hint="eastAsia"/>
          <w:lang w:val="en-GB"/>
        </w:rPr>
      </w:pPr>
      <w:r>
        <w:rPr>
          <w:rFonts w:hint="eastAsia"/>
          <w:lang w:val="en-GB" w:eastAsia="zh-CN"/>
        </w:rPr>
        <w:t>（</w:t>
      </w:r>
      <w:r>
        <w:rPr>
          <w:rFonts w:hint="eastAsia"/>
          <w:lang w:val="en-US" w:eastAsia="zh-CN"/>
        </w:rPr>
        <w:t>2</w:t>
      </w:r>
      <w:r>
        <w:rPr>
          <w:rFonts w:hint="eastAsia"/>
          <w:lang w:val="en-GB" w:eastAsia="zh-CN"/>
        </w:rPr>
        <w:t>）</w:t>
      </w:r>
      <w:r>
        <w:rPr>
          <w:rFonts w:hint="eastAsia"/>
          <w:lang w:val="en-GB"/>
        </w:rPr>
        <w:t>储罐</w:t>
      </w:r>
      <w:r>
        <w:rPr>
          <w:rFonts w:hint="eastAsia"/>
        </w:rPr>
        <w:t>大小呼吸废气</w:t>
      </w:r>
      <w:r>
        <w:rPr>
          <w:rFonts w:hint="eastAsia"/>
          <w:lang w:val="en-GB"/>
        </w:rPr>
        <w:t>、装车</w:t>
      </w:r>
      <w:r>
        <w:rPr>
          <w:rFonts w:hint="eastAsia"/>
          <w:lang w:val="en-GB" w:eastAsia="zh-CN"/>
        </w:rPr>
        <w:t>（含桶装）</w:t>
      </w:r>
      <w:r>
        <w:rPr>
          <w:rFonts w:hint="eastAsia"/>
          <w:lang w:val="en-GB"/>
        </w:rPr>
        <w:t>废气及码头装船废气处理系统</w:t>
      </w:r>
    </w:p>
    <w:p>
      <w:pPr>
        <w:pStyle w:val="19"/>
        <w:ind w:firstLine="480"/>
        <w:rPr>
          <w:rFonts w:hint="eastAsia"/>
          <w:lang w:val="en-GB"/>
        </w:rPr>
      </w:pPr>
      <w:r>
        <w:rPr>
          <w:rFonts w:hint="eastAsia"/>
          <w:lang w:val="en-GB"/>
        </w:rPr>
        <w:t>储存三苯、挥发性大、毒性高物料的大小呼吸废气和装卸废气及码头装船废气</w:t>
      </w:r>
      <w:r>
        <w:rPr>
          <w:rFonts w:hint="eastAsia"/>
          <w:lang w:val="en-GB" w:eastAsia="zh-CN"/>
        </w:rPr>
        <w:t>（非水溶性及有毒物质）</w:t>
      </w:r>
      <w:r>
        <w:rPr>
          <w:rFonts w:hint="eastAsia"/>
          <w:lang w:val="en-GB"/>
        </w:rPr>
        <w:t>均接至废气处理装置处理。现有工程根据废气种类与水溶解性，设置三套废气处理装置，其中油品废气经收集后采用油气回收装置1处理后通过15m高排气筒(DA001)排放；水溶性的化工品经收集后采用水喷淋装置处理后通过15m高排气筒(DA002)排放；非水溶性</w:t>
      </w:r>
      <w:r>
        <w:rPr>
          <w:rFonts w:hint="eastAsia"/>
          <w:lang w:val="en-GB" w:eastAsia="zh-CN"/>
        </w:rPr>
        <w:t>的化工品废气</w:t>
      </w:r>
      <w:r>
        <w:rPr>
          <w:rFonts w:hint="eastAsia"/>
          <w:lang w:val="en-GB"/>
        </w:rPr>
        <w:t>经收集后采用废气净化装置2处理后通过15m高排气筒(DA004)排放。</w:t>
      </w:r>
    </w:p>
    <w:p>
      <w:pPr>
        <w:pStyle w:val="19"/>
        <w:ind w:firstLine="480"/>
        <w:rPr>
          <w:rFonts w:hint="eastAsia"/>
          <w:lang w:val="en-GB"/>
        </w:rPr>
      </w:pPr>
      <w:r>
        <w:rPr>
          <w:rFonts w:hint="eastAsia"/>
          <w:lang w:val="en-GB"/>
        </w:rPr>
        <w:t>①水喷淋处理装置</w:t>
      </w:r>
    </w:p>
    <w:p>
      <w:pPr>
        <w:pStyle w:val="19"/>
        <w:ind w:firstLine="480"/>
        <w:rPr>
          <w:rFonts w:hint="eastAsia"/>
        </w:rPr>
      </w:pPr>
      <w:r>
        <w:rPr>
          <w:rFonts w:hint="eastAsia"/>
        </w:rPr>
        <w:t>本项目</w:t>
      </w:r>
      <w:bookmarkStart w:id="138" w:name="OLE_LINK1"/>
      <w:r>
        <w:rPr>
          <w:rFonts w:hint="eastAsia"/>
        </w:rPr>
        <w:t>水溶性的化工品采用碱液洗涤进行喷淋处理。根据设计方案，</w:t>
      </w:r>
      <w:bookmarkEnd w:id="138"/>
      <w:r>
        <w:rPr>
          <w:rFonts w:hint="eastAsia"/>
        </w:rPr>
        <w:t>废气净化率将达到95％以上。</w:t>
      </w:r>
    </w:p>
    <w:p>
      <w:pPr>
        <w:pStyle w:val="19"/>
        <w:ind w:firstLine="480"/>
        <w:rPr>
          <w:rFonts w:hint="eastAsia"/>
          <w:lang w:val="en-GB"/>
        </w:rPr>
      </w:pPr>
      <w:r>
        <w:rPr>
          <w:rFonts w:hint="eastAsia"/>
          <w:lang w:val="en-GB"/>
        </w:rPr>
        <w:t>②油气回收装置1</w:t>
      </w:r>
    </w:p>
    <w:p>
      <w:pPr>
        <w:pStyle w:val="19"/>
        <w:ind w:firstLine="480"/>
        <w:rPr>
          <w:rFonts w:hint="eastAsia"/>
        </w:rPr>
      </w:pPr>
      <w:r>
        <w:rPr>
          <w:rFonts w:hint="eastAsia"/>
        </w:rPr>
        <w:t>本项目</w:t>
      </w:r>
      <w:r>
        <w:rPr>
          <w:rFonts w:hint="eastAsia"/>
          <w:lang w:eastAsia="zh-CN"/>
        </w:rPr>
        <w:t>油品废气</w:t>
      </w:r>
      <w:r>
        <w:rPr>
          <w:rFonts w:hint="eastAsia"/>
          <w:lang w:val="en-GB"/>
        </w:rPr>
        <w:t>经收集后采用油气回收装置1处理后15m高排气筒(DA001)排放，</w:t>
      </w:r>
      <w:r>
        <w:rPr>
          <w:rFonts w:hint="eastAsia"/>
        </w:rPr>
        <w:t>油气回收装置1处理工艺流程为冷凝+活性炭吸附。</w:t>
      </w:r>
    </w:p>
    <w:p>
      <w:pPr>
        <w:pStyle w:val="19"/>
        <w:ind w:firstLine="480"/>
        <w:rPr>
          <w:rFonts w:hint="eastAsia"/>
          <w:lang w:val="en-GB"/>
        </w:rPr>
      </w:pPr>
      <w:r>
        <w:rPr>
          <w:rFonts w:hint="eastAsia"/>
          <w:lang w:val="en-GB"/>
        </w:rPr>
        <w:t>③废气净化装置2</w:t>
      </w:r>
    </w:p>
    <w:p>
      <w:pPr>
        <w:pStyle w:val="19"/>
        <w:ind w:firstLine="480"/>
        <w:rPr>
          <w:rFonts w:hint="eastAsia"/>
          <w:lang w:val="en-GB" w:eastAsia="zh-CN"/>
        </w:rPr>
      </w:pPr>
      <w:r>
        <w:rPr>
          <w:rFonts w:hint="eastAsia"/>
          <w:lang w:val="en-GB"/>
        </w:rPr>
        <w:t>非水溶性</w:t>
      </w:r>
      <w:r>
        <w:rPr>
          <w:rFonts w:hint="eastAsia"/>
          <w:lang w:val="en-GB" w:eastAsia="zh-CN"/>
        </w:rPr>
        <w:t>的化工品废气</w:t>
      </w:r>
      <w:r>
        <w:rPr>
          <w:rFonts w:hint="eastAsia"/>
          <w:lang w:val="en-GB"/>
        </w:rPr>
        <w:t>经收集后采用废气净化装置2处理后15m高排气筒(DA004)排放</w:t>
      </w:r>
      <w:r>
        <w:rPr>
          <w:rFonts w:hint="eastAsia"/>
          <w:lang w:val="en-GB" w:eastAsia="zh-CN"/>
        </w:rPr>
        <w:t>。生物设备的工艺主体为生物滤床，采用“化学洗涤塔-生物滤床-活性炭吸附”组合处理工艺实现废气中污染物的降解。废气先进入碱洗段进行预处理，然后进入生物段进行处理，经过生化床去除污染物，出气经过除雾器除湿处理后高空排放。</w:t>
      </w:r>
    </w:p>
    <w:p>
      <w:pPr>
        <w:pStyle w:val="19"/>
        <w:ind w:firstLine="480"/>
        <w:rPr>
          <w:rFonts w:hint="eastAsia"/>
          <w:lang w:val="en-GB"/>
        </w:rPr>
      </w:pPr>
      <w:r>
        <w:rPr>
          <w:rFonts w:hint="eastAsia"/>
          <w:lang w:val="en-GB" w:eastAsia="zh-CN"/>
        </w:rPr>
        <w:t>（</w:t>
      </w:r>
      <w:r>
        <w:rPr>
          <w:rFonts w:hint="eastAsia"/>
          <w:lang w:val="en-US" w:eastAsia="zh-CN"/>
        </w:rPr>
        <w:t>3</w:t>
      </w:r>
      <w:r>
        <w:rPr>
          <w:rFonts w:hint="eastAsia"/>
          <w:lang w:val="en-GB" w:eastAsia="zh-CN"/>
        </w:rPr>
        <w:t>）</w:t>
      </w:r>
      <w:r>
        <w:rPr>
          <w:rFonts w:hint="eastAsia"/>
          <w:lang w:val="en-GB"/>
        </w:rPr>
        <w:t>污水站和危废间废气处理系统</w:t>
      </w:r>
    </w:p>
    <w:p>
      <w:pPr>
        <w:pStyle w:val="19"/>
        <w:ind w:firstLine="480"/>
        <w:rPr>
          <w:rFonts w:hint="eastAsia"/>
        </w:rPr>
      </w:pPr>
      <w:r>
        <w:rPr>
          <w:rFonts w:hint="eastAsia"/>
        </w:rPr>
        <w:t>现有工程</w:t>
      </w:r>
      <w:r>
        <w:rPr>
          <w:rFonts w:hint="eastAsia"/>
          <w:lang w:val="en-GB"/>
        </w:rPr>
        <w:t>污水站和危废间废气采用</w:t>
      </w:r>
      <w:r>
        <w:rPr>
          <w:rFonts w:hint="eastAsia"/>
        </w:rPr>
        <w:t>碱洗喷淋洗涤塔+活性炭吸附的处理工艺</w:t>
      </w:r>
      <w:r>
        <w:rPr>
          <w:rFonts w:hint="eastAsia"/>
          <w:lang w:eastAsia="zh-CN"/>
        </w:rPr>
        <w:t>。</w:t>
      </w:r>
      <w:r>
        <w:rPr>
          <w:rFonts w:hint="eastAsia"/>
        </w:rPr>
        <w:t>污水处理站臭气源</w:t>
      </w:r>
      <w:r>
        <w:rPr>
          <w:rFonts w:hint="eastAsia"/>
          <w:lang w:eastAsia="zh-CN"/>
        </w:rPr>
        <w:t>（综合调节池、好氧池、水解酸化池、含油污水调节池、污泥池、沉淀池、危废间等）</w:t>
      </w:r>
      <w:r>
        <w:rPr>
          <w:rFonts w:hint="eastAsia"/>
        </w:rPr>
        <w:t>进行加盖密闭，密闭后恶臭气体通过吸风管输送至“碱液喷淋塔+活性炭吸附设备”进行处理，处理后达标排放。</w:t>
      </w:r>
    </w:p>
    <w:p>
      <w:pPr>
        <w:pStyle w:val="25"/>
        <w:ind w:firstLine="480"/>
        <w:rPr>
          <w:lang w:val="en-US"/>
        </w:rPr>
      </w:pPr>
      <w:r>
        <w:rPr>
          <w:lang w:val="en-US"/>
        </w:rPr>
        <w:t>5.1.</w:t>
      </w:r>
      <w:r>
        <w:rPr>
          <w:rFonts w:hint="default"/>
          <w:lang w:val="en-US" w:eastAsia="zh-CN"/>
        </w:rPr>
        <w:t>3</w:t>
      </w:r>
      <w:r>
        <w:rPr>
          <w:lang w:val="en-US"/>
        </w:rPr>
        <w:t>.</w:t>
      </w:r>
      <w:r>
        <w:rPr>
          <w:rFonts w:hint="default"/>
          <w:lang w:val="en-US" w:eastAsia="zh-CN"/>
        </w:rPr>
        <w:t>3</w:t>
      </w:r>
      <w:r>
        <w:rPr>
          <w:lang w:val="en-US"/>
        </w:rPr>
        <w:t xml:space="preserve"> </w:t>
      </w:r>
      <w:r>
        <w:rPr>
          <w:rFonts w:hint="eastAsia"/>
          <w:lang w:val="en-US" w:eastAsia="zh-CN"/>
        </w:rPr>
        <w:t>噪声</w:t>
      </w:r>
      <w:r>
        <w:rPr>
          <w:rFonts w:hint="eastAsia"/>
          <w:lang w:val="en-US"/>
        </w:rPr>
        <w:t>污染防治措施</w:t>
      </w:r>
    </w:p>
    <w:p>
      <w:pPr>
        <w:pStyle w:val="19"/>
        <w:ind w:firstLine="480"/>
        <w:rPr>
          <w:lang w:val="en-US"/>
        </w:rPr>
      </w:pPr>
      <w:r>
        <w:rPr>
          <w:rFonts w:hint="eastAsia"/>
          <w:lang w:val="en-GB"/>
        </w:rPr>
        <w:t>现有工程为码头及仓储储运项目，主要噪声来源库区的装卸泵、污水泵、空压站以及车辆运输。因此主要采用隔声减震，四周设置绿化等措施降低噪声，确保厂界四周达到《工业企业厂界环境噪声排放标准》</w:t>
      </w:r>
      <w:r>
        <w:rPr>
          <w:rFonts w:hint="eastAsia"/>
          <w:lang w:val="en-GB" w:eastAsia="zh-CN"/>
        </w:rPr>
        <w:t>（GB12348-2008）</w:t>
      </w:r>
      <w:r>
        <w:rPr>
          <w:rFonts w:hint="eastAsia"/>
          <w:lang w:val="en-GB"/>
        </w:rPr>
        <w:t>中3类标准要求。</w:t>
      </w:r>
    </w:p>
    <w:p>
      <w:pPr>
        <w:pStyle w:val="25"/>
      </w:pPr>
      <w:r>
        <w:t>5</w:t>
      </w:r>
      <w:r>
        <w:rPr>
          <w:lang w:val="en-US"/>
        </w:rPr>
        <w:t>.</w:t>
      </w:r>
      <w:r>
        <w:t>1</w:t>
      </w:r>
      <w:r>
        <w:rPr>
          <w:lang w:val="en-US"/>
        </w:rPr>
        <w:t>.</w:t>
      </w:r>
      <w:r>
        <w:rPr>
          <w:rFonts w:hint="eastAsia"/>
          <w:lang w:val="en-US" w:eastAsia="zh-CN"/>
        </w:rPr>
        <w:t>3</w:t>
      </w:r>
      <w:r>
        <w:rPr>
          <w:lang w:val="en-US"/>
        </w:rPr>
        <w:t>.</w:t>
      </w:r>
      <w:r>
        <w:rPr>
          <w:rFonts w:hint="eastAsia"/>
          <w:lang w:val="en-US" w:eastAsia="zh-CN"/>
        </w:rPr>
        <w:t>4</w:t>
      </w:r>
      <w:r>
        <w:t xml:space="preserve"> </w:t>
      </w:r>
      <w:r>
        <w:rPr>
          <w:lang w:val="en-US"/>
        </w:rPr>
        <w:t>固体废物/危险废物</w:t>
      </w:r>
      <w:r>
        <w:rPr>
          <w:rFonts w:hint="eastAsia"/>
          <w:lang w:val="en-US"/>
        </w:rPr>
        <w:t>污染防治措施</w:t>
      </w:r>
    </w:p>
    <w:p>
      <w:pPr>
        <w:pStyle w:val="19"/>
        <w:ind w:firstLine="480"/>
      </w:pPr>
      <w:r>
        <w:rPr>
          <w:rFonts w:hint="eastAsia"/>
        </w:rPr>
        <w:t>港丰公司码头及后方仓储区建设危险废物暂存间</w:t>
      </w:r>
      <w:r>
        <w:t>1</w:t>
      </w:r>
      <w:r>
        <w:rPr>
          <w:rFonts w:hint="eastAsia"/>
        </w:rPr>
        <w:t>座，</w:t>
      </w:r>
      <w:r>
        <w:t>位于污水站区域，</w:t>
      </w:r>
      <w:r>
        <w:rPr>
          <w:rFonts w:hint="eastAsia"/>
        </w:rPr>
        <w:t>建筑面积</w:t>
      </w:r>
      <w:r>
        <w:t>171m</w:t>
      </w:r>
      <w:r>
        <w:rPr>
          <w:vertAlign w:val="superscript"/>
        </w:rPr>
        <w:t>2</w:t>
      </w:r>
      <w:r>
        <w:t>，分为</w:t>
      </w:r>
      <w:r>
        <w:rPr>
          <w:rFonts w:hint="eastAsia"/>
        </w:rPr>
        <w:t>液体危废和固体危废</w:t>
      </w:r>
      <w:r>
        <w:t>分区。</w:t>
      </w:r>
    </w:p>
    <w:p>
      <w:pPr>
        <w:pStyle w:val="19"/>
        <w:ind w:firstLine="480"/>
      </w:pPr>
      <w:r>
        <w:rPr>
          <w:rFonts w:hint="eastAsia"/>
        </w:rPr>
        <w:t>危废暂存间内危险废物分区分类贮存，中间设置隔档，采取防风、防雨、防渗措施，设置标志牌。运营期产生的危险废物收集后委托福建兴业东江环保科技有限公司统一进行处置；生活垃圾收集后由当地环卫部门统一处置，机修油棉纱混入生活垃圾处置。</w:t>
      </w:r>
    </w:p>
    <w:p>
      <w:pPr>
        <w:pStyle w:val="25"/>
      </w:pPr>
      <w:r>
        <w:t>5</w:t>
      </w:r>
      <w:r>
        <w:rPr>
          <w:lang w:val="en-US"/>
        </w:rPr>
        <w:t>.</w:t>
      </w:r>
      <w:r>
        <w:t>1</w:t>
      </w:r>
      <w:r>
        <w:rPr>
          <w:lang w:val="en-US"/>
        </w:rPr>
        <w:t>.</w:t>
      </w:r>
      <w:r>
        <w:rPr>
          <w:rFonts w:hint="eastAsia"/>
          <w:lang w:val="en-US" w:eastAsia="zh-CN"/>
        </w:rPr>
        <w:t>3</w:t>
      </w:r>
      <w:r>
        <w:rPr>
          <w:lang w:val="en-US"/>
        </w:rPr>
        <w:t>.</w:t>
      </w:r>
      <w:r>
        <w:rPr>
          <w:rFonts w:hint="eastAsia"/>
          <w:lang w:val="en-US" w:eastAsia="zh-CN"/>
        </w:rPr>
        <w:t>5</w:t>
      </w:r>
      <w:r>
        <w:t xml:space="preserve"> </w:t>
      </w:r>
      <w:r>
        <w:rPr>
          <w:rFonts w:hint="eastAsia"/>
          <w:lang w:val="en-US" w:eastAsia="zh-CN"/>
        </w:rPr>
        <w:t>地下水、土壤污染防治</w:t>
      </w:r>
      <w:r>
        <w:t>措施</w:t>
      </w:r>
    </w:p>
    <w:p>
      <w:pPr>
        <w:pStyle w:val="19"/>
        <w:ind w:firstLine="480"/>
        <w:rPr>
          <w:rFonts w:hint="eastAsia"/>
        </w:rPr>
      </w:pPr>
      <w:r>
        <w:rPr>
          <w:rFonts w:hint="eastAsia"/>
          <w:lang w:eastAsia="zh-CN"/>
        </w:rPr>
        <w:t>（</w:t>
      </w:r>
      <w:r>
        <w:rPr>
          <w:rFonts w:hint="eastAsia"/>
          <w:lang w:val="en-US" w:eastAsia="zh-CN"/>
        </w:rPr>
        <w:t>1</w:t>
      </w:r>
      <w:r>
        <w:rPr>
          <w:rFonts w:hint="eastAsia"/>
          <w:lang w:eastAsia="zh-CN"/>
        </w:rPr>
        <w:t>）</w:t>
      </w:r>
      <w:r>
        <w:rPr>
          <w:rFonts w:hint="eastAsia"/>
        </w:rPr>
        <w:t>主动防渗漏：对管道、事故应急池及处理构筑物采取了相应的措施，以防止可能发生的污染物跑、冒、滴、漏，将事故废水泄漏的环境风险事故降低到最低程度。防止危险品泄漏从源头抓起，从工程技术方面采取措施，加强储运操作防泄漏技术措施，严 防运输车辆、装卸设备、及人员操作过程等发生事故或产生泄漏，一旦发生泄漏，结合“三级防控措施”，加强疏导、收集、处理。</w:t>
      </w:r>
    </w:p>
    <w:p>
      <w:pPr>
        <w:pStyle w:val="19"/>
        <w:ind w:firstLine="480"/>
        <w:rPr>
          <w:rFonts w:hint="eastAsia"/>
        </w:rPr>
      </w:pPr>
      <w:r>
        <w:rPr>
          <w:rFonts w:hint="eastAsia"/>
          <w:lang w:eastAsia="zh-CN"/>
        </w:rPr>
        <w:t>（</w:t>
      </w:r>
      <w:r>
        <w:rPr>
          <w:rFonts w:hint="eastAsia"/>
          <w:lang w:val="en-US" w:eastAsia="zh-CN"/>
        </w:rPr>
        <w:t>2</w:t>
      </w:r>
      <w:r>
        <w:rPr>
          <w:rFonts w:hint="eastAsia"/>
          <w:lang w:eastAsia="zh-CN"/>
        </w:rPr>
        <w:t>）</w:t>
      </w:r>
      <w:r>
        <w:rPr>
          <w:rFonts w:hint="eastAsia"/>
        </w:rPr>
        <w:t>被动防渗漏：主要包括堆场地面的防渗措施和泄漏、渗漏污染物收集措施。本项目在污染区地面进行防渗处理，防止洒落地面的污染物渗入地下，并把滞留在地面的污染物及时收集起来，集中处理。</w:t>
      </w:r>
    </w:p>
    <w:p>
      <w:pPr>
        <w:pStyle w:val="19"/>
        <w:ind w:firstLine="480"/>
        <w:rPr>
          <w:rFonts w:hint="eastAsia"/>
        </w:rPr>
      </w:pPr>
      <w:r>
        <w:rPr>
          <w:rFonts w:hint="eastAsia"/>
          <w:lang w:eastAsia="zh-CN"/>
        </w:rPr>
        <w:t>（</w:t>
      </w:r>
      <w:r>
        <w:rPr>
          <w:rFonts w:hint="eastAsia"/>
          <w:lang w:val="en-US" w:eastAsia="zh-CN"/>
        </w:rPr>
        <w:t>3</w:t>
      </w:r>
      <w:r>
        <w:rPr>
          <w:rFonts w:hint="eastAsia"/>
          <w:lang w:eastAsia="zh-CN"/>
        </w:rPr>
        <w:t>）</w:t>
      </w:r>
      <w:r>
        <w:rPr>
          <w:rFonts w:hint="eastAsia"/>
        </w:rPr>
        <w:t>分区防治，以特殊装置区为主，一般生产区为辅；事故易发区为主，一般区为辅。</w:t>
      </w:r>
    </w:p>
    <w:p>
      <w:pPr>
        <w:pStyle w:val="19"/>
        <w:ind w:firstLine="480"/>
        <w:rPr>
          <w:rFonts w:hint="eastAsia"/>
        </w:rPr>
      </w:pPr>
      <w:r>
        <w:rPr>
          <w:rFonts w:hint="eastAsia"/>
          <w:lang w:eastAsia="zh-CN"/>
        </w:rPr>
        <w:t>（</w:t>
      </w:r>
      <w:r>
        <w:rPr>
          <w:rFonts w:hint="eastAsia"/>
          <w:lang w:val="en-US" w:eastAsia="zh-CN"/>
        </w:rPr>
        <w:t>4</w:t>
      </w:r>
      <w:r>
        <w:rPr>
          <w:rFonts w:hint="eastAsia"/>
          <w:lang w:eastAsia="zh-CN"/>
        </w:rPr>
        <w:t>）</w:t>
      </w:r>
      <w:r>
        <w:rPr>
          <w:rFonts w:hint="eastAsia"/>
        </w:rPr>
        <w:t>配备了先进的检测仪器和设备，对厂区及其周边的地下水环境进行定期监测，以达到及时发现、及时控制地下水污染的目的。</w:t>
      </w:r>
    </w:p>
    <w:p>
      <w:pPr>
        <w:pStyle w:val="19"/>
        <w:ind w:firstLine="480"/>
      </w:pPr>
      <w:r>
        <w:rPr>
          <w:rFonts w:hint="eastAsia"/>
          <w:lang w:eastAsia="zh-CN"/>
        </w:rPr>
        <w:t>（</w:t>
      </w:r>
      <w:r>
        <w:rPr>
          <w:rFonts w:hint="eastAsia"/>
          <w:lang w:val="en-US" w:eastAsia="zh-CN"/>
        </w:rPr>
        <w:t>5</w:t>
      </w:r>
      <w:r>
        <w:rPr>
          <w:rFonts w:hint="eastAsia"/>
          <w:lang w:eastAsia="zh-CN"/>
        </w:rPr>
        <w:t>）</w:t>
      </w:r>
      <w:r>
        <w:rPr>
          <w:rFonts w:hint="eastAsia"/>
        </w:rPr>
        <w:t>本项目输送含有污染物的管道已尽可能“可视化”地上铺设，减少由于埋地管道泄漏而造成的地下水污染。</w:t>
      </w:r>
    </w:p>
    <w:p>
      <w:pPr>
        <w:pStyle w:val="25"/>
      </w:pPr>
      <w:r>
        <w:t>5</w:t>
      </w:r>
      <w:r>
        <w:rPr>
          <w:lang w:val="en-US"/>
        </w:rPr>
        <w:t>.</w:t>
      </w:r>
      <w:r>
        <w:t>1</w:t>
      </w:r>
      <w:r>
        <w:rPr>
          <w:lang w:val="en-US"/>
        </w:rPr>
        <w:t>.</w:t>
      </w:r>
      <w:r>
        <w:rPr>
          <w:rFonts w:hint="eastAsia"/>
          <w:lang w:val="en-US" w:eastAsia="zh-CN"/>
        </w:rPr>
        <w:t>3</w:t>
      </w:r>
      <w:r>
        <w:rPr>
          <w:lang w:val="en-US"/>
        </w:rPr>
        <w:t>.</w:t>
      </w:r>
      <w:r>
        <w:rPr>
          <w:rFonts w:hint="eastAsia"/>
          <w:lang w:val="en-US" w:eastAsia="zh-CN"/>
        </w:rPr>
        <w:t>6</w:t>
      </w:r>
      <w:r>
        <w:t xml:space="preserve"> </w:t>
      </w:r>
      <w:r>
        <w:rPr>
          <w:rFonts w:hint="eastAsia"/>
          <w:lang w:val="en-US" w:eastAsia="zh-CN"/>
        </w:rPr>
        <w:t>风险防范</w:t>
      </w:r>
      <w:r>
        <w:t>措施</w:t>
      </w:r>
    </w:p>
    <w:p>
      <w:pPr>
        <w:pStyle w:val="19"/>
        <w:ind w:firstLine="480"/>
        <w:rPr>
          <w:rFonts w:hint="eastAsia"/>
        </w:rPr>
      </w:pPr>
      <w:r>
        <w:rPr>
          <w:rFonts w:hint="eastAsia"/>
          <w:lang w:eastAsia="zh-CN"/>
        </w:rPr>
        <w:t>（</w:t>
      </w:r>
      <w:r>
        <w:rPr>
          <w:rFonts w:hint="eastAsia"/>
          <w:lang w:val="en-US" w:eastAsia="zh-CN"/>
        </w:rPr>
        <w:t>1</w:t>
      </w:r>
      <w:r>
        <w:rPr>
          <w:rFonts w:hint="eastAsia"/>
          <w:lang w:eastAsia="zh-CN"/>
        </w:rPr>
        <w:t>）</w:t>
      </w:r>
      <w:r>
        <w:rPr>
          <w:rFonts w:hint="eastAsia"/>
        </w:rPr>
        <w:t>船舶溢油风险防范措施</w:t>
      </w:r>
    </w:p>
    <w:p>
      <w:pPr>
        <w:pStyle w:val="19"/>
        <w:ind w:firstLine="480"/>
        <w:rPr>
          <w:rFonts w:hint="eastAsia"/>
        </w:rPr>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轮船进出港和进出锚地实施引航员制度，并规定引航员的培训与考核制度，引航员的职责、以及引航员对航道、浅滩、礁石、港口水文气象条件熟悉的培训。</w:t>
      </w:r>
    </w:p>
    <w:p>
      <w:pPr>
        <w:pStyle w:val="19"/>
        <w:ind w:firstLine="480"/>
        <w:rPr>
          <w:rFonts w:hint="eastAsia"/>
        </w:rPr>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实施船舶码头靠泊和锚地锚泊制度。包括使用锚地申请、锚泊密度</w:t>
      </w:r>
      <w:r>
        <w:rPr>
          <w:rFonts w:hint="eastAsia"/>
          <w:lang w:eastAsia="zh-CN"/>
        </w:rPr>
        <w:t>（间隔）</w:t>
      </w:r>
      <w:r>
        <w:rPr>
          <w:rFonts w:hint="eastAsia"/>
        </w:rPr>
        <w:t>、船只进出锚地航速，各种天气条件下的锚地船只的嘹望制度等，以防锚地船只拖锚、碰撞、挤压、搁浅、触礁等事故发生。</w:t>
      </w:r>
    </w:p>
    <w:p>
      <w:pPr>
        <w:pStyle w:val="19"/>
        <w:ind w:firstLine="480"/>
        <w:rPr>
          <w:rFonts w:hint="eastAsia"/>
        </w:rPr>
      </w:pPr>
      <w:r>
        <w:rPr>
          <w:rFonts w:hint="eastAsia"/>
        </w:rPr>
        <w:fldChar w:fldCharType="begin"/>
      </w:r>
      <w:r>
        <w:rPr>
          <w:rFonts w:hint="eastAsia"/>
        </w:rPr>
        <w:instrText xml:space="preserve"> = 3 \* GB3 </w:instrText>
      </w:r>
      <w:r>
        <w:rPr>
          <w:rFonts w:hint="eastAsia"/>
        </w:rPr>
        <w:fldChar w:fldCharType="separate"/>
      </w:r>
      <w:r>
        <w:rPr>
          <w:rFonts w:hint="eastAsia"/>
        </w:rPr>
        <w:t>③</w:t>
      </w:r>
      <w:r>
        <w:rPr>
          <w:rFonts w:hint="eastAsia"/>
        </w:rPr>
        <w:fldChar w:fldCharType="end"/>
      </w:r>
      <w:r>
        <w:rPr>
          <w:rFonts w:hint="eastAsia"/>
        </w:rPr>
        <w:t>按《防治船舶污染海洋环境管理条例》，港区对所用船舶及其人员应提出严格的书面管理要求及所应承担的防止船舶溢油责任和义务，并落实本条例规定的防治污染有关措施。</w:t>
      </w:r>
    </w:p>
    <w:p>
      <w:pPr>
        <w:pStyle w:val="19"/>
        <w:ind w:firstLine="480"/>
        <w:rPr>
          <w:rFonts w:hint="eastAsia"/>
        </w:rPr>
      </w:pPr>
      <w:r>
        <w:rPr>
          <w:rFonts w:hint="eastAsia"/>
        </w:rPr>
        <w:fldChar w:fldCharType="begin"/>
      </w:r>
      <w:r>
        <w:rPr>
          <w:rFonts w:hint="eastAsia"/>
        </w:rPr>
        <w:instrText xml:space="preserve"> = 4 \* GB3 </w:instrText>
      </w:r>
      <w:r>
        <w:rPr>
          <w:rFonts w:hint="eastAsia"/>
        </w:rPr>
        <w:fldChar w:fldCharType="separate"/>
      </w:r>
      <w:r>
        <w:rPr>
          <w:rFonts w:hint="eastAsia"/>
        </w:rPr>
        <w:t>④</w:t>
      </w:r>
      <w:r>
        <w:rPr>
          <w:rFonts w:hint="eastAsia"/>
        </w:rPr>
        <w:fldChar w:fldCharType="end"/>
      </w:r>
      <w:r>
        <w:rPr>
          <w:rFonts w:hint="eastAsia"/>
        </w:rPr>
        <w:t>在港轮船应实施值班、瞭望制度。</w:t>
      </w:r>
    </w:p>
    <w:p>
      <w:pPr>
        <w:pStyle w:val="19"/>
        <w:ind w:firstLine="480"/>
        <w:rPr>
          <w:rFonts w:hint="eastAsia"/>
        </w:rPr>
      </w:pPr>
      <w:r>
        <w:rPr>
          <w:rFonts w:hint="eastAsia"/>
        </w:rPr>
        <w:fldChar w:fldCharType="begin"/>
      </w:r>
      <w:r>
        <w:rPr>
          <w:rFonts w:hint="eastAsia"/>
        </w:rPr>
        <w:instrText xml:space="preserve"> = 5 \* GB3 </w:instrText>
      </w:r>
      <w:r>
        <w:rPr>
          <w:rFonts w:hint="eastAsia"/>
        </w:rPr>
        <w:fldChar w:fldCharType="separate"/>
      </w:r>
      <w:r>
        <w:rPr>
          <w:rFonts w:hint="eastAsia"/>
        </w:rPr>
        <w:t>⑤</w:t>
      </w:r>
      <w:r>
        <w:rPr>
          <w:rFonts w:hint="eastAsia"/>
        </w:rPr>
        <w:fldChar w:fldCharType="end"/>
      </w:r>
      <w:r>
        <w:rPr>
          <w:rFonts w:hint="eastAsia"/>
        </w:rPr>
        <w:t>在码头及后方应急物资仓库区域，配置了围油栏、收油机、油拖网、吸油毡、溢油分散剂等风险防范设施。在船舶靠泊时，码头泊位四周布设围油栏。此外，建设单位与泉州兴通港口服务有限公司签订了防溢油应急作业协议。</w:t>
      </w:r>
    </w:p>
    <w:p>
      <w:pPr>
        <w:pStyle w:val="19"/>
        <w:ind w:firstLine="480"/>
        <w:rPr>
          <w:rFonts w:hint="eastAsia"/>
        </w:rPr>
      </w:pPr>
      <w:r>
        <w:rPr>
          <w:rFonts w:hint="eastAsia"/>
          <w:lang w:eastAsia="zh-CN"/>
        </w:rPr>
        <w:t>（</w:t>
      </w:r>
      <w:r>
        <w:rPr>
          <w:rFonts w:hint="eastAsia"/>
          <w:lang w:val="en-US" w:eastAsia="zh-CN"/>
        </w:rPr>
        <w:t>2</w:t>
      </w:r>
      <w:r>
        <w:rPr>
          <w:rFonts w:hint="eastAsia"/>
          <w:lang w:eastAsia="zh-CN"/>
        </w:rPr>
        <w:t>）</w:t>
      </w:r>
      <w:r>
        <w:rPr>
          <w:rFonts w:hint="eastAsia"/>
        </w:rPr>
        <w:t>码头装卸作业区风险防范措施</w:t>
      </w:r>
    </w:p>
    <w:p>
      <w:pPr>
        <w:pStyle w:val="19"/>
        <w:ind w:firstLine="480"/>
        <w:rPr>
          <w:rFonts w:hint="eastAsia"/>
        </w:rPr>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码头作业区设置围坎及污水收集池，并配套动力泵及污水输送管线。</w:t>
      </w:r>
    </w:p>
    <w:p>
      <w:pPr>
        <w:pStyle w:val="19"/>
        <w:ind w:firstLine="480"/>
        <w:rPr>
          <w:rFonts w:hint="eastAsia"/>
        </w:rPr>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在码头栈桥、平台区设防爆人工报警按钮、声光报警器，卸油口附近设防爆可燃气体探测器。</w:t>
      </w:r>
    </w:p>
    <w:p>
      <w:pPr>
        <w:pStyle w:val="19"/>
        <w:ind w:firstLine="480"/>
        <w:rPr>
          <w:rFonts w:hint="eastAsia"/>
        </w:rPr>
      </w:pPr>
      <w:r>
        <w:rPr>
          <w:rFonts w:hint="eastAsia"/>
        </w:rPr>
        <w:fldChar w:fldCharType="begin"/>
      </w:r>
      <w:r>
        <w:rPr>
          <w:rFonts w:hint="eastAsia"/>
        </w:rPr>
        <w:instrText xml:space="preserve"> = 3 \* GB3 </w:instrText>
      </w:r>
      <w:r>
        <w:rPr>
          <w:rFonts w:hint="eastAsia"/>
        </w:rPr>
        <w:fldChar w:fldCharType="separate"/>
      </w:r>
      <w:r>
        <w:rPr>
          <w:rFonts w:hint="eastAsia"/>
        </w:rPr>
        <w:t>③</w:t>
      </w:r>
      <w:r>
        <w:rPr>
          <w:rFonts w:hint="eastAsia"/>
        </w:rPr>
        <w:fldChar w:fldCharType="end"/>
      </w:r>
      <w:r>
        <w:rPr>
          <w:rFonts w:hint="eastAsia"/>
        </w:rPr>
        <w:t>根椐现行规范在航道设置导标、浮标，码头设置灯桩，所有导助航系统，严格按规范进行锚地停靠和卸船作业。</w:t>
      </w:r>
    </w:p>
    <w:p>
      <w:pPr>
        <w:pStyle w:val="19"/>
        <w:ind w:firstLine="480"/>
        <w:rPr>
          <w:rFonts w:hint="eastAsia"/>
        </w:rPr>
      </w:pPr>
      <w:r>
        <w:rPr>
          <w:rFonts w:hint="eastAsia"/>
        </w:rPr>
        <w:fldChar w:fldCharType="begin"/>
      </w:r>
      <w:r>
        <w:rPr>
          <w:rFonts w:hint="eastAsia"/>
        </w:rPr>
        <w:instrText xml:space="preserve"> = 4 \* GB3 </w:instrText>
      </w:r>
      <w:r>
        <w:rPr>
          <w:rFonts w:hint="eastAsia"/>
        </w:rPr>
        <w:fldChar w:fldCharType="separate"/>
      </w:r>
      <w:r>
        <w:rPr>
          <w:rFonts w:hint="eastAsia"/>
        </w:rPr>
        <w:t>④</w:t>
      </w:r>
      <w:r>
        <w:rPr>
          <w:rFonts w:hint="eastAsia"/>
        </w:rPr>
        <w:fldChar w:fldCharType="end"/>
      </w:r>
      <w:r>
        <w:rPr>
          <w:rFonts w:hint="eastAsia"/>
        </w:rPr>
        <w:t>码头上设4座消防炮塔，每座炮塔设置1门水炮和1门泡沫炮。栈桥、码头上消防水管和泡沫混合液管每隔不大于60m设消防水栓和泡沫栓各1个，并配消防箱一个，供移动式水-泡沫两用炮使用。</w:t>
      </w:r>
    </w:p>
    <w:p>
      <w:pPr>
        <w:pStyle w:val="19"/>
        <w:ind w:firstLine="480"/>
        <w:rPr>
          <w:rFonts w:hint="eastAsia"/>
        </w:rPr>
      </w:pPr>
      <w:r>
        <w:rPr>
          <w:rFonts w:hint="eastAsia"/>
          <w:lang w:eastAsia="zh-CN"/>
        </w:rPr>
        <w:t>（</w:t>
      </w:r>
      <w:r>
        <w:rPr>
          <w:rFonts w:hint="eastAsia"/>
          <w:lang w:val="en-US" w:eastAsia="zh-CN"/>
        </w:rPr>
        <w:t>3</w:t>
      </w:r>
      <w:r>
        <w:rPr>
          <w:rFonts w:hint="eastAsia"/>
          <w:lang w:eastAsia="zh-CN"/>
        </w:rPr>
        <w:t>）</w:t>
      </w:r>
      <w:r>
        <w:rPr>
          <w:rFonts w:hint="eastAsia"/>
        </w:rPr>
        <w:t>管线事故防范措施</w:t>
      </w:r>
    </w:p>
    <w:p>
      <w:pPr>
        <w:pStyle w:val="19"/>
        <w:ind w:firstLine="480"/>
        <w:rPr>
          <w:rFonts w:hint="eastAsia"/>
        </w:rPr>
      </w:pPr>
      <w:r>
        <w:rPr>
          <w:rFonts w:hint="eastAsia"/>
        </w:rPr>
        <w:t>①管道设有测压装置及超限报警装置；管道在码头平台装卸臂处和引桥根部均设置带有手动操作功能的防爆电动切断阀(引桥根部电动切断阀由后方库区考虑)，油品管线采用闸阀，化工品管线采用球阀。</w:t>
      </w:r>
    </w:p>
    <w:p>
      <w:pPr>
        <w:pStyle w:val="19"/>
        <w:ind w:firstLine="480"/>
        <w:rPr>
          <w:rFonts w:hint="eastAsia"/>
        </w:rPr>
      </w:pPr>
      <w:r>
        <w:rPr>
          <w:rFonts w:hint="eastAsia"/>
        </w:rPr>
        <w:t>②为预防管道压力超过最大允许积聚压力，管道应设有安全阀。管道高点设置排气阀，低点设有排空阀。</w:t>
      </w:r>
    </w:p>
    <w:p>
      <w:pPr>
        <w:pStyle w:val="19"/>
        <w:ind w:firstLine="480"/>
        <w:rPr>
          <w:rFonts w:hint="eastAsia"/>
        </w:rPr>
      </w:pPr>
      <w:r>
        <w:rPr>
          <w:rFonts w:hint="eastAsia"/>
        </w:rPr>
        <w:t>③管道、管托、管架均进行防腐处理，管道和管托、管架外涂无机富锌底漆一道，环氧云铁一道，聚氨脂面漆二道，涂层干膜总厚度≥240μm；隔热管道外涂冷底子油底漆二道，涂层干膜总厚度≥100μm。</w:t>
      </w:r>
    </w:p>
    <w:p>
      <w:pPr>
        <w:pStyle w:val="19"/>
        <w:ind w:firstLine="480"/>
        <w:rPr>
          <w:rFonts w:hint="eastAsia"/>
        </w:rPr>
      </w:pPr>
      <w:r>
        <w:rPr>
          <w:rFonts w:hint="eastAsia"/>
        </w:rPr>
        <w:t>④码头管廊下方设置围坎，用于管线泄漏事故状态情况下临时收集危险品，防止危险品进入海域。</w:t>
      </w:r>
    </w:p>
    <w:p>
      <w:pPr>
        <w:pStyle w:val="19"/>
        <w:ind w:firstLine="480"/>
        <w:rPr>
          <w:rFonts w:hint="eastAsia"/>
        </w:rPr>
      </w:pPr>
      <w:r>
        <w:rPr>
          <w:rFonts w:hint="eastAsia"/>
          <w:lang w:eastAsia="zh-CN"/>
        </w:rPr>
        <w:t>（</w:t>
      </w:r>
      <w:r>
        <w:rPr>
          <w:rFonts w:hint="eastAsia"/>
          <w:lang w:val="en-US" w:eastAsia="zh-CN"/>
        </w:rPr>
        <w:t>4</w:t>
      </w:r>
      <w:r>
        <w:rPr>
          <w:rFonts w:hint="eastAsia"/>
          <w:lang w:eastAsia="zh-CN"/>
        </w:rPr>
        <w:t>）</w:t>
      </w:r>
      <w:r>
        <w:rPr>
          <w:rFonts w:hint="eastAsia"/>
        </w:rPr>
        <w:t>仓储区风险防范措施</w:t>
      </w:r>
    </w:p>
    <w:p>
      <w:pPr>
        <w:pStyle w:val="19"/>
        <w:ind w:firstLine="480"/>
        <w:rPr>
          <w:rFonts w:hint="eastAsia"/>
        </w:rPr>
      </w:pPr>
      <w:r>
        <w:rPr>
          <w:rFonts w:hint="eastAsia"/>
        </w:rPr>
        <w:t>①环境风险场所配备可燃气体报警仪</w:t>
      </w:r>
      <w:r>
        <w:rPr>
          <w:rFonts w:hint="eastAsia"/>
          <w:lang w:val="en-GB"/>
        </w:rPr>
        <w:t>，并配备灭火器等消防器材</w:t>
      </w:r>
      <w:r>
        <w:rPr>
          <w:rFonts w:hint="eastAsia"/>
        </w:rPr>
        <w:t>。</w:t>
      </w:r>
    </w:p>
    <w:p>
      <w:pPr>
        <w:pStyle w:val="19"/>
        <w:ind w:firstLine="480"/>
        <w:rPr>
          <w:rFonts w:hint="eastAsia"/>
          <w:lang w:val="en-GB"/>
        </w:rPr>
      </w:pPr>
      <w:r>
        <w:rPr>
          <w:rFonts w:hint="eastAsia"/>
        </w:rPr>
        <w:t>②</w:t>
      </w:r>
      <w:r>
        <w:rPr>
          <w:rFonts w:hint="eastAsia"/>
          <w:lang w:val="en-GB"/>
        </w:rPr>
        <w:t>厂区内设容积4000m</w:t>
      </w:r>
      <w:r>
        <w:rPr>
          <w:rFonts w:hint="eastAsia"/>
          <w:vertAlign w:val="superscript"/>
          <w:lang w:val="en-GB"/>
        </w:rPr>
        <w:t>3</w:t>
      </w:r>
      <w:r>
        <w:rPr>
          <w:rFonts w:hint="eastAsia"/>
          <w:lang w:val="en-GB"/>
        </w:rPr>
        <w:t>的事故池及事故废水收集、导流系统及截断阀设施。</w:t>
      </w:r>
    </w:p>
    <w:p>
      <w:pPr>
        <w:pStyle w:val="19"/>
        <w:ind w:firstLine="480"/>
        <w:rPr>
          <w:rFonts w:hint="eastAsia"/>
        </w:rPr>
      </w:pPr>
      <w:r>
        <w:rPr>
          <w:rFonts w:hint="eastAsia"/>
        </w:rPr>
        <w:t>③项目设不燃烧材料实体围墙，其中临海侧围墙实体部分相对高度为2m，其他三面厂界实体围墙高2.5m。</w:t>
      </w:r>
    </w:p>
    <w:p>
      <w:pPr>
        <w:pStyle w:val="17"/>
      </w:pPr>
      <w:bookmarkStart w:id="139" w:name="_Toc2704419"/>
      <w:bookmarkStart w:id="140" w:name="_Toc456084780"/>
      <w:bookmarkStart w:id="141" w:name="_Toc21532"/>
      <w:bookmarkStart w:id="142" w:name="_Toc21523"/>
      <w:bookmarkStart w:id="143" w:name="_Toc18387"/>
      <w:bookmarkStart w:id="144" w:name="_Toc5678"/>
      <w:bookmarkStart w:id="145" w:name="_Toc13598_WPSOffice_Level1"/>
      <w:bookmarkStart w:id="146" w:name="_Toc16949"/>
      <w:bookmarkStart w:id="147" w:name="_Toc4010"/>
      <w:bookmarkStart w:id="148" w:name="_Toc13551"/>
      <w:bookmarkStart w:id="149" w:name="_Toc59319947"/>
      <w:bookmarkStart w:id="150" w:name="_Toc7825"/>
      <w:bookmarkStart w:id="151" w:name="_Toc6798"/>
      <w:bookmarkStart w:id="152" w:name="_Toc13997"/>
      <w:bookmarkStart w:id="153" w:name="_Toc25878_WPSOffice_Level1"/>
      <w:bookmarkStart w:id="154" w:name="_Toc22038"/>
      <w:r>
        <w:t>5.</w:t>
      </w:r>
      <w:r>
        <w:rPr>
          <w:rFonts w:hint="eastAsia"/>
          <w:lang w:val="en-US" w:eastAsia="zh-CN"/>
        </w:rPr>
        <w:t>2</w:t>
      </w:r>
      <w:r>
        <w:t xml:space="preserve"> 环境影响报告书批复意见</w:t>
      </w:r>
      <w:bookmarkEnd w:id="139"/>
      <w:bookmarkEnd w:id="140"/>
      <w:r>
        <w:t>（摘录）</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pPr>
        <w:pStyle w:val="18"/>
      </w:pPr>
      <w:bookmarkStart w:id="155" w:name="_Toc8404"/>
      <w:bookmarkStart w:id="156" w:name="_Toc14076"/>
      <w:bookmarkStart w:id="157" w:name="_Toc21104"/>
      <w:bookmarkStart w:id="158" w:name="_Toc28311"/>
      <w:bookmarkStart w:id="159" w:name="_Toc31548"/>
      <w:bookmarkStart w:id="160" w:name="_Toc22887"/>
      <w:bookmarkStart w:id="161" w:name="_Toc59319948"/>
      <w:bookmarkStart w:id="162" w:name="_Toc6777"/>
      <w:bookmarkStart w:id="163" w:name="_Toc17003"/>
      <w:bookmarkStart w:id="164" w:name="_Toc6806"/>
      <w:bookmarkStart w:id="165" w:name="_Toc1160"/>
      <w:r>
        <w:t>5.</w:t>
      </w:r>
      <w:r>
        <w:rPr>
          <w:rFonts w:hint="eastAsia"/>
          <w:lang w:val="en-US" w:eastAsia="zh-CN"/>
        </w:rPr>
        <w:t>2</w:t>
      </w:r>
      <w:r>
        <w:t>.1 《</w:t>
      </w:r>
      <w:r>
        <w:rPr>
          <w:rFonts w:hint="eastAsia"/>
        </w:rPr>
        <w:t>湄洲湾港斗尾港区斗尾作业区7#泊位及港丰石化仓储项目货种调整改扩建工程环境影响报告书</w:t>
      </w:r>
      <w:r>
        <w:t>》批复意见</w:t>
      </w:r>
      <w:bookmarkEnd w:id="155"/>
      <w:bookmarkEnd w:id="156"/>
      <w:bookmarkEnd w:id="157"/>
      <w:bookmarkEnd w:id="158"/>
      <w:bookmarkEnd w:id="159"/>
      <w:bookmarkEnd w:id="160"/>
      <w:bookmarkEnd w:id="161"/>
      <w:bookmarkEnd w:id="162"/>
      <w:bookmarkEnd w:id="163"/>
      <w:bookmarkEnd w:id="164"/>
      <w:bookmarkEnd w:id="165"/>
    </w:p>
    <w:p>
      <w:pPr>
        <w:pStyle w:val="19"/>
        <w:ind w:firstLine="480"/>
      </w:pPr>
      <w:r>
        <w:rPr>
          <w:rFonts w:hint="eastAsia"/>
          <w:lang w:eastAsia="zh-CN"/>
        </w:rPr>
        <w:t>你公司报送的《湄洲湾港斗尾港区斗尾作业区7#泊位及港丰石化仓储项目货种调整改扩建工程环境影响报告书》（报批本）及申请审批的相关材料收悉</w:t>
      </w:r>
      <w:r>
        <w:t>，</w:t>
      </w:r>
      <w:r>
        <w:rPr>
          <w:rFonts w:hint="eastAsia"/>
          <w:lang w:eastAsia="zh-CN"/>
        </w:rPr>
        <w:t>经组织专家评审，根据修编后的该项目环境影响报告书及专家评审复审意见，</w:t>
      </w:r>
      <w:r>
        <w:t>批复如下：</w:t>
      </w:r>
    </w:p>
    <w:p>
      <w:pPr>
        <w:pStyle w:val="19"/>
        <w:ind w:firstLine="480"/>
      </w:pPr>
      <w:bookmarkStart w:id="166" w:name="bookmark6"/>
      <w:r>
        <w:t>一</w:t>
      </w:r>
      <w:bookmarkEnd w:id="166"/>
      <w:r>
        <w:t>、由泉州华大环境影响评价有限公司编制的《</w:t>
      </w:r>
      <w:r>
        <w:rPr>
          <w:rFonts w:hint="eastAsia"/>
        </w:rPr>
        <w:t>湄洲湾港斗尾港区斗尾作业区7#泊位及港丰石化仓储项目货种调整改扩建工程环境影响报告书</w:t>
      </w:r>
      <w:r>
        <w:t>》（报批本</w:t>
      </w:r>
      <w:r>
        <w:rPr>
          <w:rFonts w:hint="eastAsia"/>
          <w:lang w:eastAsia="zh-CN"/>
        </w:rPr>
        <w:t>，以下简称“报告书”</w:t>
      </w:r>
      <w:r>
        <w:t>）基本符合环评技术导则规范要求，内容较全面，重点较突出，对策措施、结论基本可信。根据报告书评价结论及专家评审、复审意见，在落实报告书中提出的各项环保措施的前提下，从环保角度分析，该项目建设是可行的，同意在惠安县</w:t>
      </w:r>
      <w:r>
        <w:rPr>
          <w:rFonts w:hint="eastAsia"/>
          <w:lang w:eastAsia="zh-CN"/>
        </w:rPr>
        <w:t>净峰镇杜厝村</w:t>
      </w:r>
      <w:r>
        <w:rPr>
          <w:rFonts w:hint="eastAsia"/>
          <w:lang w:val="en-US" w:eastAsia="zh-CN"/>
        </w:rPr>
        <w:t>2025号斗尾作业区7#泊位及其后方库区建设“湄洲湾港斗尾港区斗尾作业区7#泊位及港丰石化仓储项目货种调整改扩建工程”</w:t>
      </w:r>
      <w:r>
        <w:t>。</w:t>
      </w:r>
    </w:p>
    <w:p>
      <w:pPr>
        <w:pStyle w:val="19"/>
        <w:ind w:firstLine="480"/>
      </w:pPr>
      <w:bookmarkStart w:id="167" w:name="bookmark7"/>
      <w:r>
        <w:t>二</w:t>
      </w:r>
      <w:bookmarkEnd w:id="167"/>
      <w:r>
        <w:t>、建设内容及规模。</w:t>
      </w:r>
      <w:r>
        <w:rPr>
          <w:rFonts w:hint="eastAsia"/>
          <w:lang w:eastAsia="zh-CN"/>
        </w:rPr>
        <w:t>项目位于泉州市惠安县湄洲湾港斗尾港区作业区</w:t>
      </w:r>
      <w:r>
        <w:rPr>
          <w:rFonts w:hint="eastAsia"/>
          <w:lang w:val="en-US" w:eastAsia="zh-CN"/>
        </w:rPr>
        <w:t>7#泊位及后方库区，在现有3万吨级码头货种基础上新增3#喷气燃料、抽余油等货种，码头货种扩增至74种；其后方库区在现有储存货种基础上新增变压器油、碳酸乙烯酯等货种，后方仓储区货种扩增至74种。对3万吨级码头及后方库区货种的储存方案进行相应调整，并根据实际运营的货种储存要求新增相应的制冷、保温、伴热、浮盘、水轮机等设施设备。码头、仓储货种调整后码头设计年吞吐量由157.5万吨增至178万吨，仓储区储罐及总罐容保持不变。具体建设内容及规模以报告书核定为准。</w:t>
      </w:r>
    </w:p>
    <w:p>
      <w:pPr>
        <w:pStyle w:val="19"/>
        <w:ind w:firstLine="480"/>
        <w:rPr>
          <w:rFonts w:hint="eastAsia" w:eastAsia="宋体"/>
          <w:lang w:eastAsia="zh-CN"/>
        </w:rPr>
      </w:pPr>
      <w:bookmarkStart w:id="168" w:name="bookmark8"/>
      <w:r>
        <w:t>三</w:t>
      </w:r>
      <w:bookmarkEnd w:id="168"/>
      <w:r>
        <w:t>、项目</w:t>
      </w:r>
      <w:r>
        <w:rPr>
          <w:rFonts w:hint="eastAsia"/>
          <w:lang w:eastAsia="zh-CN"/>
        </w:rPr>
        <w:t>实施过程中应重点做好以下工作</w:t>
      </w:r>
    </w:p>
    <w:p>
      <w:pPr>
        <w:pStyle w:val="19"/>
        <w:ind w:firstLine="480"/>
        <w:rPr>
          <w:rFonts w:hint="default" w:eastAsia="宋体"/>
          <w:lang w:val="en-US" w:eastAsia="zh-CN"/>
        </w:rPr>
      </w:pPr>
      <w:r>
        <w:t>1</w:t>
      </w:r>
      <w:r>
        <w:rPr>
          <w:rFonts w:hint="eastAsia"/>
          <w:lang w:val="en-US" w:eastAsia="zh-CN"/>
        </w:rPr>
        <w:t xml:space="preserve">. </w:t>
      </w:r>
      <w:r>
        <w:rPr>
          <w:rFonts w:hint="eastAsia"/>
          <w:lang w:eastAsia="zh-CN"/>
        </w:rPr>
        <w:t>项目船舶洗舱水、仓储区洗罐废水和废气净化装置</w:t>
      </w:r>
      <w:r>
        <w:rPr>
          <w:rFonts w:hint="eastAsia"/>
          <w:lang w:val="en-US" w:eastAsia="zh-CN"/>
        </w:rPr>
        <w:t>2的废气洗涤废水等废水经收集，依托现有的废水处理设施处理达到《石油化学工业污染物排放标准》（GB31571-2015）表1（直接排放标准）和表3废水中有机特征污染物排放限值后由前方码头与栈桥结合处的临时排污口深水排放。远期废水经预处理达《石油化学工业污染物排放标准》（GB31571-2015）表1（间接排放标准）和表3废水中有机特征污染物排放限值后纳入规划区污水处理厂处理。</w:t>
      </w:r>
    </w:p>
    <w:p>
      <w:pPr>
        <w:pStyle w:val="19"/>
        <w:ind w:firstLine="480"/>
        <w:rPr>
          <w:rFonts w:hint="default" w:eastAsia="宋体"/>
          <w:lang w:val="en-US" w:eastAsia="zh-CN"/>
        </w:rPr>
      </w:pPr>
      <w:r>
        <w:t>2</w:t>
      </w:r>
      <w:r>
        <w:rPr>
          <w:rFonts w:hint="eastAsia"/>
          <w:lang w:val="en-US" w:eastAsia="zh-CN"/>
        </w:rPr>
        <w:t xml:space="preserve">. </w:t>
      </w:r>
      <w:r>
        <w:rPr>
          <w:rFonts w:hint="eastAsia"/>
          <w:lang w:eastAsia="zh-CN"/>
        </w:rPr>
        <w:t>项目应采用先进和减少挥发的装置设施，严格遵守装卸和储运操作规程，做好清洁生产，防止跑、冒、滴、漏产生。本项目货种调整后油气回收装置废气排放执行《储油库大气污染物排放标准》（</w:t>
      </w:r>
      <w:r>
        <w:rPr>
          <w:rFonts w:hint="eastAsia"/>
          <w:lang w:val="en-US" w:eastAsia="zh-CN"/>
        </w:rPr>
        <w:t>GB20950-2020</w:t>
      </w:r>
      <w:r>
        <w:rPr>
          <w:rFonts w:hint="eastAsia"/>
          <w:lang w:eastAsia="zh-CN"/>
        </w:rPr>
        <w:t>）表</w:t>
      </w:r>
      <w:r>
        <w:rPr>
          <w:rFonts w:hint="eastAsia"/>
          <w:lang w:val="en-US" w:eastAsia="zh-CN"/>
        </w:rPr>
        <w:t>1规定要求，其他货种废气净化设施废气排放参考执行《挥发性有机物无组织排放控制标准》（GB37822-2019）中储罐及装载特别控制要求。</w:t>
      </w:r>
    </w:p>
    <w:p>
      <w:pPr>
        <w:pStyle w:val="19"/>
        <w:ind w:firstLine="480"/>
        <w:rPr>
          <w:rFonts w:hint="eastAsia"/>
          <w:lang w:val="en-US" w:eastAsia="zh-CN"/>
        </w:rPr>
      </w:pPr>
      <w:r>
        <w:rPr>
          <w:rFonts w:hint="eastAsia"/>
          <w:lang w:eastAsia="zh-CN"/>
        </w:rPr>
        <w:t>污水处理站和危废间废气经处理达到《恶臭污染物排放标准》（</w:t>
      </w:r>
      <w:r>
        <w:rPr>
          <w:rFonts w:hint="eastAsia"/>
          <w:lang w:val="en-US" w:eastAsia="zh-CN"/>
        </w:rPr>
        <w:t>GB14554-1993</w:t>
      </w:r>
      <w:r>
        <w:rPr>
          <w:rFonts w:hint="eastAsia"/>
          <w:lang w:eastAsia="zh-CN"/>
        </w:rPr>
        <w:t>）表</w:t>
      </w:r>
      <w:r>
        <w:rPr>
          <w:rFonts w:hint="eastAsia"/>
          <w:lang w:val="en-US" w:eastAsia="zh-CN"/>
        </w:rPr>
        <w:t>2标准及《石油化学工业污染物排放标准》（GB31571-2015）表4标准后通过15m高排气筒排放。</w:t>
      </w:r>
    </w:p>
    <w:p>
      <w:pPr>
        <w:pStyle w:val="19"/>
        <w:ind w:firstLine="480"/>
        <w:rPr>
          <w:rFonts w:hint="eastAsia"/>
          <w:lang w:val="en-US" w:eastAsia="zh-CN"/>
        </w:rPr>
      </w:pPr>
      <w:r>
        <w:rPr>
          <w:rFonts w:hint="eastAsia"/>
          <w:lang w:val="en-US" w:eastAsia="zh-CN"/>
        </w:rPr>
        <w:t>燃油锅炉废气应采用“低氮燃烧”方式，外排污染物应经处理达到《锅炉大气污染物排放标准》（GB13271-2014）中表2燃油锅炉排放标准后通过8m高排气筒排放。</w:t>
      </w:r>
    </w:p>
    <w:p>
      <w:pPr>
        <w:pStyle w:val="19"/>
        <w:ind w:firstLine="480"/>
        <w:rPr>
          <w:rFonts w:hint="eastAsia"/>
          <w:lang w:val="en-US" w:eastAsia="zh-CN"/>
        </w:rPr>
      </w:pPr>
      <w:r>
        <w:rPr>
          <w:rFonts w:hint="eastAsia"/>
          <w:lang w:val="en-US" w:eastAsia="zh-CN"/>
        </w:rPr>
        <w:t>VOCs物料的设备与管线组件的密封点，应开展泄露检测与修复工作。落实设备与管线组件的定期巡查制度，及时发现泄露问题及时维护保养。</w:t>
      </w:r>
    </w:p>
    <w:p>
      <w:pPr>
        <w:pStyle w:val="19"/>
        <w:ind w:firstLine="480"/>
        <w:rPr>
          <w:rFonts w:hint="eastAsia"/>
          <w:lang w:val="en-US" w:eastAsia="zh-CN"/>
        </w:rPr>
      </w:pPr>
      <w:r>
        <w:rPr>
          <w:rFonts w:hint="eastAsia"/>
          <w:lang w:val="en-US" w:eastAsia="zh-CN"/>
        </w:rPr>
        <w:t>苯、甲苯、二甲苯、非甲烷总烃厂界无组织排放执行《石油化学工业污染物排放标准》（GB31571-2015）中表7标准限值，氨、硫化氢、臭气浓度厂界无组织排放执行《恶臭污染物排放标准》（GB14554-1993）中表1的二级排放标准。</w:t>
      </w:r>
    </w:p>
    <w:p>
      <w:pPr>
        <w:pStyle w:val="19"/>
        <w:ind w:firstLine="480"/>
        <w:rPr>
          <w:rFonts w:hint="default"/>
          <w:lang w:val="en-US" w:eastAsia="zh-CN"/>
        </w:rPr>
      </w:pPr>
      <w:r>
        <w:rPr>
          <w:rFonts w:hint="eastAsia"/>
          <w:lang w:val="en-US" w:eastAsia="zh-CN"/>
        </w:rPr>
        <w:t>货种调整后项目的大气环境防护距离为后方库区边界外延100m、码头装卸区边界外延50m范围，防护距离内不得新建居住区、学校、医院等大气环境敏感目标。</w:t>
      </w:r>
    </w:p>
    <w:p>
      <w:pPr>
        <w:pStyle w:val="19"/>
        <w:ind w:firstLine="480"/>
        <w:rPr>
          <w:rFonts w:hint="default" w:eastAsia="宋体"/>
          <w:lang w:val="en-US" w:eastAsia="zh-CN"/>
        </w:rPr>
      </w:pPr>
      <w:r>
        <w:t>3</w:t>
      </w:r>
      <w:r>
        <w:rPr>
          <w:rFonts w:hint="eastAsia"/>
          <w:lang w:val="en-US" w:eastAsia="zh-CN"/>
        </w:rPr>
        <w:t xml:space="preserve">. </w:t>
      </w:r>
      <w:r>
        <w:rPr>
          <w:rFonts w:hint="eastAsia"/>
          <w:lang w:eastAsia="zh-CN"/>
        </w:rPr>
        <w:t>优化厂区布局，加强设备的定期检修和维护，采用有效的减振、隔声等措施，保证厂界噪声达标排放。项目厂界噪声执行《工业企业厂界环境噪声排放标准》（</w:t>
      </w:r>
      <w:r>
        <w:rPr>
          <w:rFonts w:hint="eastAsia"/>
          <w:lang w:val="en-US" w:eastAsia="zh-CN"/>
        </w:rPr>
        <w:t>GB12348-2008</w:t>
      </w:r>
      <w:r>
        <w:rPr>
          <w:rFonts w:hint="eastAsia"/>
          <w:lang w:eastAsia="zh-CN"/>
        </w:rPr>
        <w:t>）</w:t>
      </w:r>
      <w:r>
        <w:rPr>
          <w:rFonts w:hint="eastAsia"/>
          <w:lang w:val="en-US" w:eastAsia="zh-CN"/>
        </w:rPr>
        <w:t>3类标准。</w:t>
      </w:r>
    </w:p>
    <w:p>
      <w:pPr>
        <w:pStyle w:val="19"/>
        <w:ind w:firstLine="480"/>
        <w:rPr>
          <w:rFonts w:hint="default" w:eastAsia="宋体"/>
          <w:lang w:val="en-US" w:eastAsia="zh-CN"/>
        </w:rPr>
      </w:pPr>
      <w:r>
        <w:t>4</w:t>
      </w:r>
      <w:r>
        <w:rPr>
          <w:rFonts w:hint="eastAsia"/>
          <w:lang w:val="en-US" w:eastAsia="zh-CN"/>
        </w:rPr>
        <w:t xml:space="preserve">. </w:t>
      </w:r>
      <w:r>
        <w:rPr>
          <w:rFonts w:hint="eastAsia"/>
          <w:lang w:eastAsia="zh-CN"/>
        </w:rPr>
        <w:t>严禁固体废弃物排入海域。按“减量化、资源化、无害化”原则落实各类固体废物的收集、处置和综合利用措施。项目危险废物应参照执行《危险废物贮存污染控制标准》（</w:t>
      </w:r>
      <w:r>
        <w:rPr>
          <w:rFonts w:hint="eastAsia"/>
          <w:lang w:val="en-US" w:eastAsia="zh-CN"/>
        </w:rPr>
        <w:t>GB18597-2001</w:t>
      </w:r>
      <w:r>
        <w:rPr>
          <w:rFonts w:hint="eastAsia"/>
          <w:lang w:eastAsia="zh-CN"/>
        </w:rPr>
        <w:t>）及</w:t>
      </w:r>
      <w:r>
        <w:rPr>
          <w:rFonts w:hint="eastAsia"/>
          <w:lang w:val="en-US" w:eastAsia="zh-CN"/>
        </w:rPr>
        <w:t>2013年修改单中相关要求，按规范设置贮存场所并送交有资质单位处置。生活垃圾等固体废物应定点收集，并交由环卫部门统一清运处置。</w:t>
      </w:r>
    </w:p>
    <w:p>
      <w:pPr>
        <w:pStyle w:val="19"/>
        <w:ind w:firstLine="480"/>
        <w:rPr>
          <w:rFonts w:hint="eastAsia" w:eastAsia="宋体"/>
          <w:lang w:eastAsia="zh-CN"/>
        </w:rPr>
      </w:pPr>
      <w:r>
        <w:t>5</w:t>
      </w:r>
      <w:r>
        <w:rPr>
          <w:rFonts w:hint="eastAsia"/>
          <w:lang w:val="en-US" w:eastAsia="zh-CN"/>
        </w:rPr>
        <w:t xml:space="preserve">. </w:t>
      </w:r>
      <w:r>
        <w:rPr>
          <w:rFonts w:hint="eastAsia"/>
          <w:lang w:eastAsia="zh-CN"/>
        </w:rPr>
        <w:t>按照清洁生产要求，采用先进的生产装置、设备和生产工艺。加强管理，完善环境管理制度，强化风险防范意识；加强船舶安全航行管理，杜绝船舶污染事故发生。完善应急设施建设，配备必要的应急设备，提高应急反应和处理能力。按规定制定突发环境事件应急预案并定期演练，加强安全管理，做好风险防范措施，适时修订完善应急预案。</w:t>
      </w:r>
    </w:p>
    <w:p>
      <w:pPr>
        <w:pStyle w:val="19"/>
        <w:ind w:firstLine="480"/>
        <w:rPr>
          <w:rFonts w:hint="eastAsia" w:eastAsia="宋体"/>
          <w:lang w:eastAsia="zh-CN"/>
        </w:rPr>
      </w:pPr>
      <w:r>
        <w:t>6</w:t>
      </w:r>
      <w:r>
        <w:rPr>
          <w:rFonts w:hint="eastAsia"/>
          <w:lang w:val="en-US" w:eastAsia="zh-CN"/>
        </w:rPr>
        <w:t xml:space="preserve">. </w:t>
      </w:r>
      <w:r>
        <w:rPr>
          <w:rFonts w:hint="eastAsia"/>
          <w:lang w:eastAsia="zh-CN"/>
        </w:rPr>
        <w:t>以新带老，完善现有工程环保措施。完善环境监测计划，配备必要的检测仪器和设备，按报告书提出的要求，开展环境监测工作。</w:t>
      </w:r>
    </w:p>
    <w:p>
      <w:pPr>
        <w:pStyle w:val="19"/>
        <w:ind w:firstLine="480"/>
        <w:rPr>
          <w:rFonts w:hint="eastAsia" w:eastAsia="宋体"/>
          <w:lang w:eastAsia="zh-CN"/>
        </w:rPr>
      </w:pPr>
      <w:r>
        <w:rPr>
          <w:rFonts w:hint="eastAsia"/>
          <w:lang w:val="en-US" w:eastAsia="zh-CN"/>
        </w:rPr>
        <w:t xml:space="preserve">7. </w:t>
      </w:r>
      <w:r>
        <w:rPr>
          <w:rFonts w:hint="eastAsia"/>
          <w:lang w:eastAsia="zh-CN"/>
        </w:rPr>
        <w:t>项目不新增废水、废气排放量。项目实施后，污染物排放总量控制在原环评批复范围内。</w:t>
      </w:r>
    </w:p>
    <w:p>
      <w:pPr>
        <w:pStyle w:val="19"/>
        <w:ind w:firstLine="480"/>
        <w:rPr>
          <w:rFonts w:hint="eastAsia"/>
          <w:lang w:eastAsia="zh-CN"/>
        </w:rPr>
      </w:pPr>
      <w:r>
        <w:t>四、</w:t>
      </w:r>
      <w:r>
        <w:rPr>
          <w:rFonts w:hint="eastAsia"/>
          <w:lang w:eastAsia="zh-CN"/>
        </w:rPr>
        <w:t>你公司应根据报告书提出的环保对策措施和批复要求，做好各项环境风险防范和污染防治工作，严格执行配套建设的环保设施与主体工程同时设计、同时施工、同时投产使用的环保“三同时”制度。</w:t>
      </w:r>
    </w:p>
    <w:p>
      <w:pPr>
        <w:pStyle w:val="19"/>
        <w:ind w:firstLine="480"/>
        <w:rPr>
          <w:rFonts w:hint="eastAsia"/>
          <w:lang w:val="en-US" w:eastAsia="zh-CN"/>
        </w:rPr>
      </w:pPr>
      <w:r>
        <w:rPr>
          <w:rFonts w:hint="eastAsia"/>
          <w:lang w:val="en-US" w:eastAsia="zh-CN"/>
        </w:rPr>
        <w:t>1. 项目竣工后，你公司应按照国务院环境保护行政主管部门规定的标准和程序，对项目开展竣工环保验收。验收过程不得弄虚作假，并依法向社会公开验收报告。</w:t>
      </w:r>
    </w:p>
    <w:p>
      <w:pPr>
        <w:pStyle w:val="19"/>
        <w:ind w:firstLine="480"/>
        <w:rPr>
          <w:rFonts w:hint="eastAsia"/>
          <w:lang w:val="en-US" w:eastAsia="zh-CN"/>
        </w:rPr>
      </w:pPr>
      <w:r>
        <w:rPr>
          <w:rFonts w:hint="eastAsia"/>
          <w:lang w:val="en-US" w:eastAsia="zh-CN"/>
        </w:rPr>
        <w:t>2. 你公司应于投产前依法申领排污许可证，按证排污。</w:t>
      </w:r>
    </w:p>
    <w:p>
      <w:pPr>
        <w:pStyle w:val="19"/>
        <w:ind w:firstLine="480"/>
        <w:rPr>
          <w:rFonts w:hint="eastAsia"/>
          <w:lang w:val="en-US" w:eastAsia="zh-CN"/>
        </w:rPr>
      </w:pPr>
      <w:r>
        <w:rPr>
          <w:rFonts w:hint="eastAsia"/>
          <w:lang w:val="en-US" w:eastAsia="zh-CN"/>
        </w:rPr>
        <w:t>3. 项目的环境影响报告书经批准后，若项目的性质、规模、地点、采用的工艺或者防治污染、防治生态破坏的措施发生重大变动的，应当重新报批建设项目的环境影响评价文件。</w:t>
      </w:r>
      <w:bookmarkStart w:id="169" w:name="_Toc26199505"/>
    </w:p>
    <w:p>
      <w:pPr>
        <w:pStyle w:val="19"/>
        <w:ind w:left="0" w:leftChars="0" w:firstLine="0" w:firstLineChars="0"/>
        <w:rPr>
          <w:rFonts w:hint="eastAsia"/>
          <w:lang w:val="en-US" w:eastAsia="zh-CN"/>
        </w:rPr>
      </w:pPr>
    </w:p>
    <w:p>
      <w:pPr>
        <w:pStyle w:val="21"/>
        <w:numPr>
          <w:ilvl w:val="0"/>
          <w:numId w:val="0"/>
        </w:numPr>
        <w:tabs>
          <w:tab w:val="clear" w:pos="425"/>
        </w:tabs>
        <w:spacing w:before="156" w:after="156"/>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1"/>
        <w:numPr>
          <w:ilvl w:val="0"/>
          <w:numId w:val="0"/>
        </w:numPr>
        <w:tabs>
          <w:tab w:val="clear" w:pos="425"/>
        </w:tabs>
        <w:spacing w:before="156" w:after="156"/>
      </w:pPr>
      <w:bookmarkStart w:id="170" w:name="_Toc6594"/>
      <w:r>
        <w:t>6. 验收执行标准</w:t>
      </w:r>
      <w:bookmarkEnd w:id="169"/>
      <w:bookmarkEnd w:id="170"/>
    </w:p>
    <w:p>
      <w:pPr>
        <w:pStyle w:val="19"/>
        <w:ind w:firstLine="480"/>
      </w:pPr>
      <w:r>
        <w:t>根据环评及批复，本项目验收要求及验收标准详见表6.1.1，表6.1.2。</w:t>
      </w:r>
    </w:p>
    <w:p>
      <w:pPr>
        <w:pStyle w:val="23"/>
      </w:pPr>
      <w:r>
        <w:t>表</w:t>
      </w:r>
      <w:r>
        <w:rPr>
          <w:rFonts w:hint="eastAsia"/>
        </w:rPr>
        <w:t>6</w:t>
      </w:r>
      <w:r>
        <w:t>.1</w:t>
      </w:r>
      <w:r>
        <w:rPr>
          <w:rFonts w:hint="eastAsia"/>
        </w:rPr>
        <w:t>.</w:t>
      </w:r>
      <w:r>
        <w:t>1 污染</w:t>
      </w:r>
      <w:r>
        <w:rPr>
          <w:rFonts w:hint="eastAsia"/>
        </w:rPr>
        <w:t>物</w:t>
      </w:r>
      <w:r>
        <w:t>排放标准</w:t>
      </w:r>
    </w:p>
    <w:tbl>
      <w:tblPr>
        <w:tblStyle w:val="14"/>
        <w:tblW w:w="8522"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8"/>
        <w:gridCol w:w="1419"/>
        <w:gridCol w:w="1200"/>
        <w:gridCol w:w="1144"/>
        <w:gridCol w:w="1154"/>
        <w:gridCol w:w="30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8" w:type="dxa"/>
            <w:vAlign w:val="center"/>
          </w:tcPr>
          <w:p>
            <w:pPr>
              <w:pStyle w:val="24"/>
            </w:pPr>
            <w:r>
              <w:t>类别</w:t>
            </w:r>
          </w:p>
        </w:tc>
        <w:tc>
          <w:tcPr>
            <w:tcW w:w="1419" w:type="dxa"/>
            <w:vAlign w:val="center"/>
          </w:tcPr>
          <w:p>
            <w:pPr>
              <w:pStyle w:val="24"/>
            </w:pPr>
            <w:r>
              <w:t>装置名称</w:t>
            </w:r>
          </w:p>
        </w:tc>
        <w:tc>
          <w:tcPr>
            <w:tcW w:w="1200" w:type="dxa"/>
            <w:vAlign w:val="center"/>
          </w:tcPr>
          <w:p>
            <w:pPr>
              <w:pStyle w:val="24"/>
            </w:pPr>
            <w:r>
              <w:t>污染物名称</w:t>
            </w:r>
          </w:p>
        </w:tc>
        <w:tc>
          <w:tcPr>
            <w:tcW w:w="2298" w:type="dxa"/>
            <w:gridSpan w:val="2"/>
            <w:vAlign w:val="center"/>
          </w:tcPr>
          <w:p>
            <w:pPr>
              <w:pStyle w:val="24"/>
            </w:pPr>
            <w:r>
              <w:t>浓度限值</w:t>
            </w:r>
          </w:p>
        </w:tc>
        <w:tc>
          <w:tcPr>
            <w:tcW w:w="3027" w:type="dxa"/>
            <w:vAlign w:val="center"/>
          </w:tcPr>
          <w:p>
            <w:pPr>
              <w:pStyle w:val="24"/>
            </w:pPr>
            <w: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578" w:type="dxa"/>
            <w:vMerge w:val="restart"/>
            <w:vAlign w:val="center"/>
          </w:tcPr>
          <w:p>
            <w:pPr>
              <w:pStyle w:val="24"/>
            </w:pPr>
            <w:r>
              <w:t>废气</w:t>
            </w:r>
          </w:p>
        </w:tc>
        <w:tc>
          <w:tcPr>
            <w:tcW w:w="1419" w:type="dxa"/>
            <w:vMerge w:val="restart"/>
            <w:vAlign w:val="center"/>
          </w:tcPr>
          <w:p>
            <w:pPr>
              <w:pStyle w:val="24"/>
            </w:pPr>
            <w:r>
              <w:t>油气回收装置1废气</w:t>
            </w:r>
          </w:p>
        </w:tc>
        <w:tc>
          <w:tcPr>
            <w:tcW w:w="1200" w:type="dxa"/>
            <w:vMerge w:val="restart"/>
            <w:vAlign w:val="center"/>
          </w:tcPr>
          <w:p>
            <w:pPr>
              <w:pStyle w:val="24"/>
            </w:pPr>
            <w:r>
              <w:t>油气</w:t>
            </w:r>
          </w:p>
        </w:tc>
        <w:tc>
          <w:tcPr>
            <w:tcW w:w="1144" w:type="dxa"/>
            <w:vAlign w:val="center"/>
          </w:tcPr>
          <w:p>
            <w:pPr>
              <w:pStyle w:val="24"/>
            </w:pPr>
            <w:r>
              <w:rPr>
                <w:rFonts w:hint="eastAsia"/>
              </w:rPr>
              <w:t>/</w:t>
            </w:r>
          </w:p>
        </w:tc>
        <w:tc>
          <w:tcPr>
            <w:tcW w:w="1154" w:type="dxa"/>
            <w:vAlign w:val="center"/>
          </w:tcPr>
          <w:p>
            <w:pPr>
              <w:pStyle w:val="24"/>
            </w:pPr>
            <w:r>
              <w:t>≤25 g/m</w:t>
            </w:r>
            <w:r>
              <w:rPr>
                <w:vertAlign w:val="superscript"/>
              </w:rPr>
              <w:t>3</w:t>
            </w:r>
          </w:p>
        </w:tc>
        <w:tc>
          <w:tcPr>
            <w:tcW w:w="3027" w:type="dxa"/>
            <w:vMerge w:val="restart"/>
            <w:vAlign w:val="center"/>
          </w:tcPr>
          <w:p>
            <w:pPr>
              <w:pStyle w:val="24"/>
            </w:pPr>
            <w:r>
              <w:t>《储油库大气污染物排放标准》（GB20950-2020）的排放控制和排放限值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78" w:type="dxa"/>
            <w:vMerge w:val="continue"/>
            <w:vAlign w:val="center"/>
          </w:tcPr>
          <w:p>
            <w:pPr>
              <w:pStyle w:val="24"/>
            </w:pPr>
          </w:p>
        </w:tc>
        <w:tc>
          <w:tcPr>
            <w:tcW w:w="1419" w:type="dxa"/>
            <w:vMerge w:val="continue"/>
            <w:vAlign w:val="center"/>
          </w:tcPr>
          <w:p>
            <w:pPr>
              <w:pStyle w:val="24"/>
            </w:pPr>
          </w:p>
        </w:tc>
        <w:tc>
          <w:tcPr>
            <w:tcW w:w="1200" w:type="dxa"/>
            <w:vMerge w:val="continue"/>
            <w:vAlign w:val="center"/>
          </w:tcPr>
          <w:p>
            <w:pPr>
              <w:pStyle w:val="24"/>
            </w:pPr>
          </w:p>
        </w:tc>
        <w:tc>
          <w:tcPr>
            <w:tcW w:w="1144" w:type="dxa"/>
            <w:vAlign w:val="center"/>
          </w:tcPr>
          <w:p>
            <w:pPr>
              <w:pStyle w:val="24"/>
            </w:pPr>
            <w:r>
              <w:t>去除效率</w:t>
            </w:r>
          </w:p>
        </w:tc>
        <w:tc>
          <w:tcPr>
            <w:tcW w:w="1154" w:type="dxa"/>
            <w:vAlign w:val="center"/>
          </w:tcPr>
          <w:p>
            <w:pPr>
              <w:pStyle w:val="24"/>
            </w:pPr>
            <w:r>
              <w:t>≥95</w:t>
            </w:r>
          </w:p>
        </w:tc>
        <w:tc>
          <w:tcPr>
            <w:tcW w:w="3027" w:type="dxa"/>
            <w:vMerge w:val="continue"/>
            <w:tcBorders>
              <w:bottom w:val="single" w:color="000000" w:sz="4" w:space="0"/>
            </w:tcBorders>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58" w:hRule="atLeast"/>
          <w:jc w:val="center"/>
        </w:trPr>
        <w:tc>
          <w:tcPr>
            <w:tcW w:w="578" w:type="dxa"/>
            <w:vMerge w:val="continue"/>
            <w:vAlign w:val="center"/>
          </w:tcPr>
          <w:p>
            <w:pPr>
              <w:pStyle w:val="24"/>
            </w:pPr>
          </w:p>
        </w:tc>
        <w:tc>
          <w:tcPr>
            <w:tcW w:w="1419" w:type="dxa"/>
            <w:vAlign w:val="center"/>
          </w:tcPr>
          <w:p>
            <w:pPr>
              <w:pStyle w:val="24"/>
            </w:pPr>
            <w:r>
              <w:t>废气净化装置2废气</w:t>
            </w:r>
          </w:p>
        </w:tc>
        <w:tc>
          <w:tcPr>
            <w:tcW w:w="1200" w:type="dxa"/>
            <w:tcBorders>
              <w:top w:val="single" w:color="auto" w:sz="4" w:space="0"/>
              <w:bottom w:val="single" w:color="auto" w:sz="4" w:space="0"/>
            </w:tcBorders>
            <w:vAlign w:val="center"/>
          </w:tcPr>
          <w:p>
            <w:pPr>
              <w:pStyle w:val="24"/>
            </w:pPr>
            <w:r>
              <w:t>NMHC</w:t>
            </w:r>
          </w:p>
        </w:tc>
        <w:tc>
          <w:tcPr>
            <w:tcW w:w="1144" w:type="dxa"/>
            <w:tcBorders>
              <w:top w:val="single" w:color="auto" w:sz="4" w:space="0"/>
              <w:bottom w:val="single" w:color="auto" w:sz="4" w:space="0"/>
            </w:tcBorders>
            <w:vAlign w:val="center"/>
          </w:tcPr>
          <w:p>
            <w:pPr>
              <w:pStyle w:val="24"/>
            </w:pPr>
            <w:r>
              <w:t>/</w:t>
            </w:r>
          </w:p>
        </w:tc>
        <w:tc>
          <w:tcPr>
            <w:tcW w:w="1154" w:type="dxa"/>
            <w:tcBorders>
              <w:top w:val="single" w:color="auto" w:sz="4" w:space="0"/>
              <w:bottom w:val="single" w:color="auto" w:sz="4" w:space="0"/>
            </w:tcBorders>
            <w:vAlign w:val="center"/>
          </w:tcPr>
          <w:p>
            <w:pPr>
              <w:pStyle w:val="24"/>
            </w:pPr>
            <w:r>
              <w:t>≥90</w:t>
            </w:r>
          </w:p>
        </w:tc>
        <w:tc>
          <w:tcPr>
            <w:tcW w:w="3027" w:type="dxa"/>
            <w:vMerge w:val="restart"/>
            <w:tcBorders>
              <w:top w:val="single" w:color="000000" w:sz="4" w:space="0"/>
            </w:tcBorders>
            <w:vAlign w:val="center"/>
          </w:tcPr>
          <w:p>
            <w:pPr>
              <w:pStyle w:val="24"/>
            </w:pPr>
            <w:r>
              <w:t>《挥发性有机物无组织排放控制标准》（GB37822-2019）中“5.2.2储罐特别控制要求：采用固定顶罐，排放的废气应收集处理并满足相关行业标准，或者处理效率不低于90%。6.2.3装载特别控制要求：排放的废气应收集处理并满足相关行业排放标准要求，或者处理效率不低于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2" w:hRule="atLeast"/>
          <w:jc w:val="center"/>
        </w:trPr>
        <w:tc>
          <w:tcPr>
            <w:tcW w:w="578" w:type="dxa"/>
            <w:vMerge w:val="continue"/>
            <w:vAlign w:val="center"/>
          </w:tcPr>
          <w:p>
            <w:pPr>
              <w:pStyle w:val="24"/>
            </w:pPr>
          </w:p>
        </w:tc>
        <w:tc>
          <w:tcPr>
            <w:tcW w:w="1419" w:type="dxa"/>
            <w:vAlign w:val="center"/>
          </w:tcPr>
          <w:p>
            <w:pPr>
              <w:pStyle w:val="24"/>
            </w:pPr>
            <w:r>
              <w:t>水喷淋装置废气</w:t>
            </w:r>
          </w:p>
        </w:tc>
        <w:tc>
          <w:tcPr>
            <w:tcW w:w="1200" w:type="dxa"/>
            <w:tcBorders>
              <w:top w:val="single" w:color="auto" w:sz="4" w:space="0"/>
              <w:bottom w:val="single" w:color="auto" w:sz="4" w:space="0"/>
            </w:tcBorders>
            <w:vAlign w:val="center"/>
          </w:tcPr>
          <w:p>
            <w:pPr>
              <w:pStyle w:val="24"/>
            </w:pPr>
            <w:r>
              <w:t>NMHC</w:t>
            </w:r>
          </w:p>
        </w:tc>
        <w:tc>
          <w:tcPr>
            <w:tcW w:w="1144" w:type="dxa"/>
            <w:tcBorders>
              <w:top w:val="single" w:color="auto" w:sz="4" w:space="0"/>
              <w:bottom w:val="single" w:color="auto" w:sz="4" w:space="0"/>
            </w:tcBorders>
            <w:vAlign w:val="center"/>
          </w:tcPr>
          <w:p>
            <w:pPr>
              <w:pStyle w:val="24"/>
            </w:pPr>
            <w:r>
              <w:t>/</w:t>
            </w:r>
          </w:p>
        </w:tc>
        <w:tc>
          <w:tcPr>
            <w:tcW w:w="1154" w:type="dxa"/>
            <w:tcBorders>
              <w:top w:val="single" w:color="auto" w:sz="4" w:space="0"/>
              <w:bottom w:val="single" w:color="auto" w:sz="4" w:space="0"/>
            </w:tcBorders>
            <w:vAlign w:val="center"/>
          </w:tcPr>
          <w:p>
            <w:pPr>
              <w:pStyle w:val="24"/>
            </w:pPr>
            <w:r>
              <w:t>≥90</w:t>
            </w:r>
          </w:p>
        </w:tc>
        <w:tc>
          <w:tcPr>
            <w:tcW w:w="3027" w:type="dxa"/>
            <w:vMerge w:val="continue"/>
            <w:tcBorders>
              <w:top w:val="single" w:color="000000" w:sz="4" w:space="0"/>
              <w:bottom w:val="single" w:color="000000" w:sz="4" w:space="0"/>
            </w:tcBorders>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restart"/>
            <w:vAlign w:val="center"/>
          </w:tcPr>
          <w:p>
            <w:pPr>
              <w:pStyle w:val="24"/>
            </w:pPr>
            <w:r>
              <w:rPr>
                <w:lang w:val="en-GB"/>
              </w:rPr>
              <w:t>污水站和危废间废气</w:t>
            </w:r>
          </w:p>
        </w:tc>
        <w:tc>
          <w:tcPr>
            <w:tcW w:w="1200" w:type="dxa"/>
            <w:tcBorders>
              <w:top w:val="single" w:color="auto" w:sz="4" w:space="0"/>
              <w:bottom w:val="single" w:color="auto" w:sz="4" w:space="0"/>
            </w:tcBorders>
            <w:vAlign w:val="center"/>
          </w:tcPr>
          <w:p>
            <w:pPr>
              <w:pStyle w:val="24"/>
            </w:pPr>
            <w:r>
              <w:t>NMHC</w:t>
            </w:r>
          </w:p>
        </w:tc>
        <w:tc>
          <w:tcPr>
            <w:tcW w:w="2298" w:type="dxa"/>
            <w:gridSpan w:val="2"/>
            <w:tcBorders>
              <w:top w:val="single" w:color="auto" w:sz="4" w:space="0"/>
              <w:bottom w:val="single" w:color="auto" w:sz="4" w:space="0"/>
            </w:tcBorders>
            <w:vAlign w:val="center"/>
          </w:tcPr>
          <w:p>
            <w:pPr>
              <w:pStyle w:val="24"/>
            </w:pPr>
            <w:r>
              <w:t>120 mg/m</w:t>
            </w:r>
            <w:r>
              <w:rPr>
                <w:vertAlign w:val="superscript"/>
              </w:rPr>
              <w:t>3</w:t>
            </w:r>
          </w:p>
        </w:tc>
        <w:tc>
          <w:tcPr>
            <w:tcW w:w="3027" w:type="dxa"/>
            <w:tcBorders>
              <w:top w:val="single" w:color="000000" w:sz="4" w:space="0"/>
            </w:tcBorders>
            <w:vAlign w:val="center"/>
          </w:tcPr>
          <w:p>
            <w:pPr>
              <w:pStyle w:val="24"/>
            </w:pPr>
            <w:r>
              <w:t>《石油化学工业污染物排放标准》（GB31571-2015）表4标准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pPr>
            <w:r>
              <w:rPr>
                <w:rFonts w:hint="eastAsia"/>
              </w:rPr>
              <w:t>硫化氢</w:t>
            </w:r>
          </w:p>
        </w:tc>
        <w:tc>
          <w:tcPr>
            <w:tcW w:w="2298" w:type="dxa"/>
            <w:gridSpan w:val="2"/>
            <w:tcBorders>
              <w:top w:val="single" w:color="auto" w:sz="4" w:space="0"/>
              <w:bottom w:val="single" w:color="auto" w:sz="4" w:space="0"/>
            </w:tcBorders>
            <w:vAlign w:val="center"/>
          </w:tcPr>
          <w:p>
            <w:pPr>
              <w:pStyle w:val="24"/>
            </w:pPr>
            <w:r>
              <w:t>0.33 kg/h</w:t>
            </w:r>
          </w:p>
        </w:tc>
        <w:tc>
          <w:tcPr>
            <w:tcW w:w="3027" w:type="dxa"/>
            <w:vMerge w:val="restart"/>
            <w:vAlign w:val="center"/>
          </w:tcPr>
          <w:p>
            <w:pPr>
              <w:pStyle w:val="24"/>
            </w:pPr>
            <w:r>
              <w:t>《恶臭污染物排放标准》（GB14554-</w:t>
            </w:r>
            <w:r>
              <w:rPr>
                <w:rFonts w:hint="eastAsia"/>
                <w:lang w:val="en-US" w:eastAsia="zh-CN"/>
              </w:rPr>
              <w:t>19</w:t>
            </w:r>
            <w:r>
              <w:t>93）中表2标准15m高度排放量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pPr>
            <w:r>
              <w:rPr>
                <w:rFonts w:hint="eastAsia"/>
              </w:rPr>
              <w:t>氨</w:t>
            </w:r>
          </w:p>
        </w:tc>
        <w:tc>
          <w:tcPr>
            <w:tcW w:w="2298" w:type="dxa"/>
            <w:gridSpan w:val="2"/>
            <w:tcBorders>
              <w:top w:val="single" w:color="auto" w:sz="4" w:space="0"/>
              <w:bottom w:val="single" w:color="auto" w:sz="4" w:space="0"/>
            </w:tcBorders>
            <w:vAlign w:val="center"/>
          </w:tcPr>
          <w:p>
            <w:pPr>
              <w:pStyle w:val="24"/>
            </w:pPr>
            <w:r>
              <w:t>4.9 kg/h</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pPr>
            <w:r>
              <w:t>臭气浓度</w:t>
            </w:r>
          </w:p>
        </w:tc>
        <w:tc>
          <w:tcPr>
            <w:tcW w:w="2298" w:type="dxa"/>
            <w:gridSpan w:val="2"/>
            <w:tcBorders>
              <w:top w:val="single" w:color="auto" w:sz="4" w:space="0"/>
              <w:bottom w:val="single" w:color="auto" w:sz="4" w:space="0"/>
            </w:tcBorders>
            <w:vAlign w:val="center"/>
          </w:tcPr>
          <w:p>
            <w:pPr>
              <w:pStyle w:val="24"/>
            </w:pPr>
            <w:r>
              <w:t>2000（无量纲）</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jc w:val="center"/>
        </w:trPr>
        <w:tc>
          <w:tcPr>
            <w:tcW w:w="578" w:type="dxa"/>
            <w:vMerge w:val="continue"/>
            <w:vAlign w:val="center"/>
          </w:tcPr>
          <w:p>
            <w:pPr>
              <w:pStyle w:val="24"/>
            </w:pPr>
          </w:p>
        </w:tc>
        <w:tc>
          <w:tcPr>
            <w:tcW w:w="1419" w:type="dxa"/>
            <w:vMerge w:val="restart"/>
            <w:vAlign w:val="center"/>
          </w:tcPr>
          <w:p>
            <w:pPr>
              <w:pStyle w:val="24"/>
            </w:pPr>
            <w:r>
              <w:t>装置区边界</w:t>
            </w:r>
          </w:p>
        </w:tc>
        <w:tc>
          <w:tcPr>
            <w:tcW w:w="1200" w:type="dxa"/>
            <w:vMerge w:val="restart"/>
            <w:tcBorders>
              <w:top w:val="single" w:color="auto" w:sz="4" w:space="0"/>
            </w:tcBorders>
            <w:vAlign w:val="center"/>
          </w:tcPr>
          <w:p>
            <w:pPr>
              <w:pStyle w:val="24"/>
            </w:pPr>
            <w:r>
              <w:t>NMHC</w:t>
            </w:r>
          </w:p>
        </w:tc>
        <w:tc>
          <w:tcPr>
            <w:tcW w:w="2298" w:type="dxa"/>
            <w:gridSpan w:val="2"/>
            <w:tcBorders>
              <w:top w:val="single" w:color="auto" w:sz="4" w:space="0"/>
              <w:bottom w:val="single" w:color="auto" w:sz="4" w:space="0"/>
            </w:tcBorders>
            <w:vAlign w:val="center"/>
          </w:tcPr>
          <w:p>
            <w:pPr>
              <w:pStyle w:val="24"/>
            </w:pPr>
            <w:r>
              <w:t>10（1 h平均浓度值）</w:t>
            </w:r>
          </w:p>
          <w:p>
            <w:pPr>
              <w:pStyle w:val="24"/>
            </w:pPr>
            <w:r>
              <w:t>（厂内）</w:t>
            </w:r>
          </w:p>
        </w:tc>
        <w:tc>
          <w:tcPr>
            <w:tcW w:w="3027" w:type="dxa"/>
            <w:vMerge w:val="restart"/>
            <w:vAlign w:val="center"/>
          </w:tcPr>
          <w:p>
            <w:pPr>
              <w:pStyle w:val="24"/>
            </w:pPr>
            <w:r>
              <w:rPr>
                <w:lang w:val="en-GB"/>
              </w:rPr>
              <w:t>《挥发性有机物无组织排放控制标准》（GB37822-2019）表</w:t>
            </w:r>
            <w:r>
              <w:t>A.1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vMerge w:val="continue"/>
            <w:tcBorders>
              <w:bottom w:val="single" w:color="auto" w:sz="4" w:space="0"/>
            </w:tcBorders>
            <w:vAlign w:val="center"/>
          </w:tcPr>
          <w:p>
            <w:pPr>
              <w:pStyle w:val="24"/>
            </w:pPr>
          </w:p>
        </w:tc>
        <w:tc>
          <w:tcPr>
            <w:tcW w:w="2298" w:type="dxa"/>
            <w:gridSpan w:val="2"/>
            <w:tcBorders>
              <w:top w:val="single" w:color="auto" w:sz="4" w:space="0"/>
              <w:bottom w:val="single" w:color="auto" w:sz="4" w:space="0"/>
            </w:tcBorders>
            <w:vAlign w:val="center"/>
          </w:tcPr>
          <w:p>
            <w:pPr>
              <w:pStyle w:val="24"/>
            </w:pPr>
            <w:r>
              <w:t>30（任意一次浓度值）（厂内）</w:t>
            </w:r>
          </w:p>
        </w:tc>
        <w:tc>
          <w:tcPr>
            <w:tcW w:w="3027" w:type="dxa"/>
            <w:vMerge w:val="continue"/>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restart"/>
            <w:vAlign w:val="center"/>
          </w:tcPr>
          <w:p>
            <w:pPr>
              <w:pStyle w:val="24"/>
            </w:pPr>
            <w:r>
              <w:t>无组织厂界</w:t>
            </w:r>
          </w:p>
        </w:tc>
        <w:tc>
          <w:tcPr>
            <w:tcW w:w="1200" w:type="dxa"/>
            <w:tcBorders>
              <w:top w:val="single" w:color="auto" w:sz="4" w:space="0"/>
              <w:bottom w:val="single" w:color="auto" w:sz="4" w:space="0"/>
            </w:tcBorders>
            <w:vAlign w:val="center"/>
          </w:tcPr>
          <w:p>
            <w:pPr>
              <w:pStyle w:val="24"/>
            </w:pPr>
            <w:r>
              <w:t>NMHC</w:t>
            </w:r>
          </w:p>
        </w:tc>
        <w:tc>
          <w:tcPr>
            <w:tcW w:w="2298" w:type="dxa"/>
            <w:gridSpan w:val="2"/>
            <w:tcBorders>
              <w:top w:val="single" w:color="auto" w:sz="4" w:space="0"/>
              <w:bottom w:val="single" w:color="auto" w:sz="4" w:space="0"/>
            </w:tcBorders>
            <w:vAlign w:val="center"/>
          </w:tcPr>
          <w:p>
            <w:pPr>
              <w:pStyle w:val="24"/>
            </w:pPr>
            <w:r>
              <w:t>4.0 mg/m</w:t>
            </w:r>
            <w:r>
              <w:rPr>
                <w:vertAlign w:val="superscript"/>
              </w:rPr>
              <w:t>3</w:t>
            </w:r>
          </w:p>
        </w:tc>
        <w:tc>
          <w:tcPr>
            <w:tcW w:w="3027" w:type="dxa"/>
            <w:vMerge w:val="restart"/>
            <w:vAlign w:val="center"/>
          </w:tcPr>
          <w:p>
            <w:pPr>
              <w:pStyle w:val="24"/>
            </w:pPr>
            <w:r>
              <w:rPr>
                <w:lang w:val="en-GB"/>
              </w:rPr>
              <w:t>《石油化学工业污染物排放标准》（</w:t>
            </w:r>
            <w:r>
              <w:t>GB31571-2015</w:t>
            </w:r>
            <w:r>
              <w:rPr>
                <w:lang w:val="en-GB"/>
              </w:rPr>
              <w:t>）</w:t>
            </w:r>
            <w:r>
              <w:t>表7标准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rPr>
                <w:rFonts w:hint="eastAsia" w:eastAsia="宋体"/>
                <w:lang w:eastAsia="zh-CN"/>
              </w:rPr>
            </w:pPr>
            <w:r>
              <w:rPr>
                <w:rFonts w:hint="eastAsia"/>
                <w:lang w:eastAsia="zh-CN"/>
              </w:rPr>
              <w:t>苯</w:t>
            </w:r>
          </w:p>
        </w:tc>
        <w:tc>
          <w:tcPr>
            <w:tcW w:w="2298" w:type="dxa"/>
            <w:gridSpan w:val="2"/>
            <w:tcBorders>
              <w:top w:val="single" w:color="auto" w:sz="4" w:space="0"/>
              <w:bottom w:val="single" w:color="auto" w:sz="4" w:space="0"/>
            </w:tcBorders>
            <w:vAlign w:val="center"/>
          </w:tcPr>
          <w:p>
            <w:pPr>
              <w:pStyle w:val="24"/>
            </w:pPr>
            <w:r>
              <w:rPr>
                <w:rFonts w:hint="eastAsia"/>
                <w:lang w:val="en-US" w:eastAsia="zh-CN"/>
              </w:rPr>
              <w:t>0.4</w:t>
            </w:r>
            <w:r>
              <w:t xml:space="preserve"> mg/m</w:t>
            </w:r>
            <w:r>
              <w:rPr>
                <w:vertAlign w:val="superscript"/>
              </w:rPr>
              <w:t>3</w:t>
            </w:r>
          </w:p>
        </w:tc>
        <w:tc>
          <w:tcPr>
            <w:tcW w:w="3027" w:type="dxa"/>
            <w:vMerge w:val="continue"/>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rPr>
                <w:rFonts w:hint="eastAsia" w:eastAsia="宋体"/>
                <w:lang w:eastAsia="zh-CN"/>
              </w:rPr>
            </w:pPr>
            <w:r>
              <w:rPr>
                <w:rFonts w:hint="eastAsia"/>
                <w:lang w:eastAsia="zh-CN"/>
              </w:rPr>
              <w:t>甲苯</w:t>
            </w:r>
          </w:p>
        </w:tc>
        <w:tc>
          <w:tcPr>
            <w:tcW w:w="2298" w:type="dxa"/>
            <w:gridSpan w:val="2"/>
            <w:tcBorders>
              <w:top w:val="single" w:color="auto" w:sz="4" w:space="0"/>
              <w:bottom w:val="single" w:color="auto" w:sz="4" w:space="0"/>
            </w:tcBorders>
            <w:vAlign w:val="center"/>
          </w:tcPr>
          <w:p>
            <w:pPr>
              <w:pStyle w:val="24"/>
            </w:pPr>
            <w:r>
              <w:rPr>
                <w:rFonts w:hint="eastAsia"/>
                <w:lang w:val="en-US" w:eastAsia="zh-CN"/>
              </w:rPr>
              <w:t>0.8</w:t>
            </w:r>
            <w:r>
              <w:t xml:space="preserve"> mg/m</w:t>
            </w:r>
            <w:r>
              <w:rPr>
                <w:vertAlign w:val="superscript"/>
              </w:rPr>
              <w:t>3</w:t>
            </w:r>
          </w:p>
        </w:tc>
        <w:tc>
          <w:tcPr>
            <w:tcW w:w="3027" w:type="dxa"/>
            <w:vMerge w:val="continue"/>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rPr>
                <w:rFonts w:hint="eastAsia" w:eastAsia="宋体"/>
                <w:lang w:eastAsia="zh-CN"/>
              </w:rPr>
            </w:pPr>
            <w:r>
              <w:rPr>
                <w:rFonts w:hint="eastAsia"/>
                <w:lang w:eastAsia="zh-CN"/>
              </w:rPr>
              <w:t>二甲苯</w:t>
            </w:r>
          </w:p>
        </w:tc>
        <w:tc>
          <w:tcPr>
            <w:tcW w:w="2298" w:type="dxa"/>
            <w:gridSpan w:val="2"/>
            <w:tcBorders>
              <w:top w:val="single" w:color="auto" w:sz="4" w:space="0"/>
              <w:bottom w:val="single" w:color="auto" w:sz="4" w:space="0"/>
            </w:tcBorders>
            <w:vAlign w:val="center"/>
          </w:tcPr>
          <w:p>
            <w:pPr>
              <w:pStyle w:val="24"/>
            </w:pPr>
            <w:r>
              <w:rPr>
                <w:rFonts w:hint="eastAsia"/>
                <w:lang w:val="en-US" w:eastAsia="zh-CN"/>
              </w:rPr>
              <w:t>0.8</w:t>
            </w:r>
            <w:r>
              <w:t xml:space="preserve"> mg/m</w:t>
            </w:r>
            <w:r>
              <w:rPr>
                <w:vertAlign w:val="superscript"/>
              </w:rPr>
              <w:t>3</w:t>
            </w:r>
          </w:p>
        </w:tc>
        <w:tc>
          <w:tcPr>
            <w:tcW w:w="3027" w:type="dxa"/>
            <w:vMerge w:val="continue"/>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rPr>
                <w:rFonts w:hint="default"/>
                <w:lang w:val="en-US" w:eastAsia="zh-CN"/>
              </w:rPr>
            </w:pPr>
            <w:r>
              <w:rPr>
                <w:rFonts w:hint="eastAsia"/>
                <w:lang w:val="en-US" w:eastAsia="zh-CN"/>
              </w:rPr>
              <w:t>氨</w:t>
            </w:r>
          </w:p>
        </w:tc>
        <w:tc>
          <w:tcPr>
            <w:tcW w:w="2298" w:type="dxa"/>
            <w:gridSpan w:val="2"/>
            <w:tcBorders>
              <w:top w:val="single" w:color="auto" w:sz="4" w:space="0"/>
              <w:bottom w:val="single" w:color="auto" w:sz="4" w:space="0"/>
            </w:tcBorders>
            <w:vAlign w:val="center"/>
          </w:tcPr>
          <w:p>
            <w:pPr>
              <w:pStyle w:val="24"/>
              <w:rPr>
                <w:rFonts w:hint="eastAsia"/>
                <w:lang w:val="en-US" w:eastAsia="zh-CN"/>
              </w:rPr>
            </w:pPr>
            <w:r>
              <w:t>1.5 mg/m</w:t>
            </w:r>
            <w:r>
              <w:rPr>
                <w:vertAlign w:val="superscript"/>
              </w:rPr>
              <w:t>3</w:t>
            </w:r>
          </w:p>
        </w:tc>
        <w:tc>
          <w:tcPr>
            <w:tcW w:w="3027" w:type="dxa"/>
            <w:vMerge w:val="restart"/>
            <w:vAlign w:val="center"/>
          </w:tcPr>
          <w:p>
            <w:pPr>
              <w:pStyle w:val="24"/>
            </w:pPr>
            <w:r>
              <w:rPr>
                <w:lang w:val="en-GB"/>
              </w:rPr>
              <w:t>《恶臭污染物排放标准》</w:t>
            </w:r>
            <w:r>
              <w:rPr>
                <w:rFonts w:hint="eastAsia"/>
                <w:lang w:val="en-GB" w:eastAsia="zh-CN"/>
              </w:rPr>
              <w:t>（</w:t>
            </w:r>
            <w:r>
              <w:rPr>
                <w:lang w:val="en-GB"/>
              </w:rPr>
              <w:t>GB14554-</w:t>
            </w:r>
            <w:r>
              <w:rPr>
                <w:rFonts w:hint="eastAsia"/>
                <w:lang w:val="en-US" w:eastAsia="zh-CN"/>
              </w:rPr>
              <w:t>19</w:t>
            </w:r>
            <w:r>
              <w:rPr>
                <w:lang w:val="en-GB"/>
              </w:rPr>
              <w:t>93</w:t>
            </w:r>
            <w:r>
              <w:rPr>
                <w:rFonts w:hint="eastAsia"/>
                <w:lang w:val="en-GB" w:eastAsia="zh-CN"/>
              </w:rPr>
              <w:t>）</w:t>
            </w:r>
            <w:r>
              <w:rPr>
                <w:lang w:val="en-GB"/>
              </w:rPr>
              <w:t>中表1二级新扩改建厂界标准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rPr>
                <w:rFonts w:hint="default"/>
                <w:lang w:val="en-US" w:eastAsia="zh-CN"/>
              </w:rPr>
            </w:pPr>
            <w:r>
              <w:rPr>
                <w:rFonts w:hint="eastAsia"/>
                <w:lang w:val="en-US" w:eastAsia="zh-CN"/>
              </w:rPr>
              <w:t>硫化氢</w:t>
            </w:r>
          </w:p>
        </w:tc>
        <w:tc>
          <w:tcPr>
            <w:tcW w:w="2298" w:type="dxa"/>
            <w:gridSpan w:val="2"/>
            <w:tcBorders>
              <w:top w:val="single" w:color="auto" w:sz="4" w:space="0"/>
              <w:bottom w:val="single" w:color="auto" w:sz="4" w:space="0"/>
            </w:tcBorders>
            <w:vAlign w:val="center"/>
          </w:tcPr>
          <w:p>
            <w:pPr>
              <w:pStyle w:val="24"/>
              <w:rPr>
                <w:rFonts w:hint="eastAsia"/>
                <w:lang w:val="en-US" w:eastAsia="zh-CN"/>
              </w:rPr>
            </w:pPr>
            <w:r>
              <w:t>0.06 mg/m</w:t>
            </w:r>
            <w:r>
              <w:rPr>
                <w:vertAlign w:val="superscript"/>
              </w:rPr>
              <w:t>3</w:t>
            </w:r>
          </w:p>
        </w:tc>
        <w:tc>
          <w:tcPr>
            <w:tcW w:w="3027" w:type="dxa"/>
            <w:vMerge w:val="continue"/>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bottom w:val="single" w:color="auto" w:sz="4" w:space="0"/>
            </w:tcBorders>
            <w:vAlign w:val="center"/>
          </w:tcPr>
          <w:p>
            <w:pPr>
              <w:pStyle w:val="24"/>
            </w:pPr>
            <w:r>
              <w:t>臭气浓度</w:t>
            </w:r>
          </w:p>
        </w:tc>
        <w:tc>
          <w:tcPr>
            <w:tcW w:w="2298" w:type="dxa"/>
            <w:gridSpan w:val="2"/>
            <w:tcBorders>
              <w:top w:val="single" w:color="auto" w:sz="4" w:space="0"/>
              <w:bottom w:val="single" w:color="auto" w:sz="4" w:space="0"/>
            </w:tcBorders>
            <w:vAlign w:val="center"/>
          </w:tcPr>
          <w:p>
            <w:pPr>
              <w:pStyle w:val="24"/>
            </w:pPr>
            <w:r>
              <w:t>20（无量纲）</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70" w:hRule="atLeast"/>
          <w:jc w:val="center"/>
        </w:trPr>
        <w:tc>
          <w:tcPr>
            <w:tcW w:w="578" w:type="dxa"/>
            <w:vMerge w:val="restart"/>
            <w:vAlign w:val="center"/>
          </w:tcPr>
          <w:p>
            <w:pPr>
              <w:pStyle w:val="24"/>
            </w:pPr>
            <w:r>
              <w:t>废水</w:t>
            </w:r>
          </w:p>
        </w:tc>
        <w:tc>
          <w:tcPr>
            <w:tcW w:w="1419" w:type="dxa"/>
            <w:vMerge w:val="restart"/>
            <w:vAlign w:val="center"/>
          </w:tcPr>
          <w:p>
            <w:pPr>
              <w:pStyle w:val="24"/>
            </w:pPr>
            <w:r>
              <w:t>综合污水处理站</w:t>
            </w:r>
          </w:p>
        </w:tc>
        <w:tc>
          <w:tcPr>
            <w:tcW w:w="1200" w:type="dxa"/>
            <w:tcBorders>
              <w:top w:val="single" w:color="auto" w:sz="4" w:space="0"/>
              <w:bottom w:val="single" w:color="auto" w:sz="4" w:space="0"/>
            </w:tcBorders>
            <w:vAlign w:val="center"/>
          </w:tcPr>
          <w:p>
            <w:pPr>
              <w:pStyle w:val="24"/>
            </w:pPr>
            <w:r>
              <w:t>项目</w:t>
            </w:r>
          </w:p>
        </w:tc>
        <w:tc>
          <w:tcPr>
            <w:tcW w:w="1144" w:type="dxa"/>
            <w:tcBorders>
              <w:top w:val="single" w:color="auto" w:sz="4" w:space="0"/>
              <w:bottom w:val="single" w:color="auto" w:sz="4" w:space="0"/>
            </w:tcBorders>
            <w:vAlign w:val="center"/>
          </w:tcPr>
          <w:p>
            <w:pPr>
              <w:pStyle w:val="24"/>
            </w:pPr>
            <w:r>
              <w:t>近期</w:t>
            </w:r>
          </w:p>
          <w:p>
            <w:pPr>
              <w:pStyle w:val="24"/>
            </w:pPr>
            <w:r>
              <w:t>(除pH外，单位：mg/L)</w:t>
            </w:r>
          </w:p>
        </w:tc>
        <w:tc>
          <w:tcPr>
            <w:tcW w:w="1154" w:type="dxa"/>
            <w:tcBorders>
              <w:top w:val="single" w:color="auto" w:sz="4" w:space="0"/>
              <w:bottom w:val="single" w:color="auto" w:sz="4" w:space="0"/>
            </w:tcBorders>
            <w:vAlign w:val="center"/>
          </w:tcPr>
          <w:p>
            <w:pPr>
              <w:pStyle w:val="24"/>
            </w:pPr>
            <w:r>
              <w:t>远期</w:t>
            </w:r>
          </w:p>
          <w:p>
            <w:pPr>
              <w:pStyle w:val="24"/>
            </w:pPr>
            <w:r>
              <w:t>(除pH外，单位：mg/L)</w:t>
            </w:r>
          </w:p>
        </w:tc>
        <w:tc>
          <w:tcPr>
            <w:tcW w:w="3027" w:type="dxa"/>
            <w:vMerge w:val="restart"/>
            <w:vAlign w:val="center"/>
          </w:tcPr>
          <w:p>
            <w:pPr>
              <w:pStyle w:val="24"/>
            </w:pPr>
            <w:r>
              <w:t>近期：</w:t>
            </w:r>
            <w:r>
              <w:rPr>
                <w:lang w:val="en-GB"/>
              </w:rPr>
              <w:t>《石油化学工业污染物排放标准》（GB31571-2015）</w:t>
            </w:r>
            <w:r>
              <w:t>表1（直接排放标准）和表3废水中有机特征污染物排放限值</w:t>
            </w:r>
          </w:p>
          <w:p>
            <w:pPr>
              <w:pStyle w:val="24"/>
            </w:pPr>
            <w:r>
              <w:t>远期：项目废水拟处理达标后纳入规划区污水处理厂处理。项目废水污染物排放参照执行</w:t>
            </w:r>
            <w:r>
              <w:rPr>
                <w:lang w:val="en-GB"/>
              </w:rPr>
              <w:t>《石油化学工业污染物排放标准》（GB31571-2015）</w:t>
            </w:r>
            <w:r>
              <w:t>表1（间接排放标准）和表3 废水中有机特征污染物排放限值。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3"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vAlign w:val="center"/>
          </w:tcPr>
          <w:p>
            <w:pPr>
              <w:pStyle w:val="24"/>
            </w:pPr>
            <w:r>
              <w:t>pH</w:t>
            </w:r>
          </w:p>
        </w:tc>
        <w:tc>
          <w:tcPr>
            <w:tcW w:w="1144" w:type="dxa"/>
            <w:tcBorders>
              <w:top w:val="single" w:color="auto" w:sz="2" w:space="0"/>
            </w:tcBorders>
            <w:vAlign w:val="center"/>
          </w:tcPr>
          <w:p>
            <w:pPr>
              <w:pStyle w:val="24"/>
            </w:pPr>
            <w:r>
              <w:t>6～9</w:t>
            </w:r>
          </w:p>
        </w:tc>
        <w:tc>
          <w:tcPr>
            <w:tcW w:w="1154" w:type="dxa"/>
            <w:tcBorders>
              <w:top w:val="single" w:color="auto" w:sz="2" w:space="0"/>
            </w:tcBorders>
            <w:vAlign w:val="center"/>
          </w:tcPr>
          <w:p>
            <w:pPr>
              <w:pStyle w:val="24"/>
            </w:pPr>
            <w:r>
              <w:t>6～9</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pPr>
            <w:r>
              <w:t>SS</w:t>
            </w:r>
          </w:p>
        </w:tc>
        <w:tc>
          <w:tcPr>
            <w:tcW w:w="1144" w:type="dxa"/>
            <w:tcBorders>
              <w:top w:val="single" w:color="auto" w:sz="4" w:space="0"/>
            </w:tcBorders>
            <w:vAlign w:val="center"/>
          </w:tcPr>
          <w:p>
            <w:pPr>
              <w:pStyle w:val="24"/>
            </w:pPr>
            <w:r>
              <w:t>70</w:t>
            </w:r>
          </w:p>
        </w:tc>
        <w:tc>
          <w:tcPr>
            <w:tcW w:w="1154" w:type="dxa"/>
            <w:tcBorders>
              <w:top w:val="single" w:color="auto" w:sz="4" w:space="0"/>
            </w:tcBorders>
            <w:vAlign w:val="center"/>
          </w:tcPr>
          <w:p>
            <w:pPr>
              <w:pStyle w:val="24"/>
            </w:pPr>
            <w:r>
              <w:t>400</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pPr>
            <w:r>
              <w:t>CODcr</w:t>
            </w:r>
          </w:p>
        </w:tc>
        <w:tc>
          <w:tcPr>
            <w:tcW w:w="1144" w:type="dxa"/>
            <w:tcBorders>
              <w:top w:val="single" w:color="auto" w:sz="4" w:space="0"/>
            </w:tcBorders>
            <w:vAlign w:val="center"/>
          </w:tcPr>
          <w:p>
            <w:pPr>
              <w:pStyle w:val="24"/>
            </w:pPr>
            <w:r>
              <w:t>60</w:t>
            </w:r>
          </w:p>
        </w:tc>
        <w:tc>
          <w:tcPr>
            <w:tcW w:w="1154" w:type="dxa"/>
            <w:tcBorders>
              <w:top w:val="single" w:color="auto" w:sz="4" w:space="0"/>
            </w:tcBorders>
            <w:vAlign w:val="center"/>
          </w:tcPr>
          <w:p>
            <w:pPr>
              <w:pStyle w:val="24"/>
            </w:pPr>
            <w:r>
              <w:t>500</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pPr>
            <w:r>
              <w:t>BOD</w:t>
            </w:r>
            <w:r>
              <w:rPr>
                <w:vertAlign w:val="subscript"/>
              </w:rPr>
              <w:t>5</w:t>
            </w:r>
          </w:p>
        </w:tc>
        <w:tc>
          <w:tcPr>
            <w:tcW w:w="1144" w:type="dxa"/>
            <w:tcBorders>
              <w:top w:val="single" w:color="auto" w:sz="4" w:space="0"/>
            </w:tcBorders>
            <w:vAlign w:val="center"/>
          </w:tcPr>
          <w:p>
            <w:pPr>
              <w:pStyle w:val="24"/>
            </w:pPr>
            <w:r>
              <w:t>20</w:t>
            </w:r>
          </w:p>
        </w:tc>
        <w:tc>
          <w:tcPr>
            <w:tcW w:w="1154" w:type="dxa"/>
            <w:tcBorders>
              <w:top w:val="single" w:color="auto" w:sz="4" w:space="0"/>
            </w:tcBorders>
            <w:vAlign w:val="center"/>
          </w:tcPr>
          <w:p>
            <w:pPr>
              <w:pStyle w:val="24"/>
            </w:pPr>
            <w:r>
              <w:t>300</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pPr>
            <w:r>
              <w:t>氨氮</w:t>
            </w:r>
          </w:p>
        </w:tc>
        <w:tc>
          <w:tcPr>
            <w:tcW w:w="1144" w:type="dxa"/>
            <w:tcBorders>
              <w:top w:val="single" w:color="auto" w:sz="4" w:space="0"/>
            </w:tcBorders>
            <w:vAlign w:val="center"/>
          </w:tcPr>
          <w:p>
            <w:pPr>
              <w:pStyle w:val="24"/>
            </w:pPr>
            <w:r>
              <w:t>8.0</w:t>
            </w:r>
          </w:p>
        </w:tc>
        <w:tc>
          <w:tcPr>
            <w:tcW w:w="1154" w:type="dxa"/>
            <w:tcBorders>
              <w:top w:val="single" w:color="auto" w:sz="4" w:space="0"/>
            </w:tcBorders>
            <w:vAlign w:val="center"/>
          </w:tcPr>
          <w:p>
            <w:pPr>
              <w:pStyle w:val="24"/>
            </w:pPr>
            <w:r>
              <w:t>45</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pPr>
            <w:r>
              <w:t>石油类</w:t>
            </w:r>
          </w:p>
        </w:tc>
        <w:tc>
          <w:tcPr>
            <w:tcW w:w="1144" w:type="dxa"/>
            <w:tcBorders>
              <w:top w:val="single" w:color="auto" w:sz="4" w:space="0"/>
            </w:tcBorders>
            <w:vAlign w:val="center"/>
          </w:tcPr>
          <w:p>
            <w:pPr>
              <w:pStyle w:val="24"/>
            </w:pPr>
            <w:r>
              <w:t>5.0</w:t>
            </w:r>
          </w:p>
        </w:tc>
        <w:tc>
          <w:tcPr>
            <w:tcW w:w="1154" w:type="dxa"/>
            <w:tcBorders>
              <w:top w:val="single" w:color="auto" w:sz="4" w:space="0"/>
            </w:tcBorders>
            <w:vAlign w:val="center"/>
          </w:tcPr>
          <w:p>
            <w:pPr>
              <w:pStyle w:val="24"/>
            </w:pPr>
            <w:r>
              <w:t>20</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rPr>
                <w:rFonts w:hint="eastAsia" w:eastAsia="宋体"/>
                <w:lang w:eastAsia="zh-CN"/>
              </w:rPr>
            </w:pPr>
            <w:r>
              <w:rPr>
                <w:rFonts w:hint="eastAsia"/>
                <w:lang w:eastAsia="zh-CN"/>
              </w:rPr>
              <w:t>苯</w:t>
            </w:r>
          </w:p>
        </w:tc>
        <w:tc>
          <w:tcPr>
            <w:tcW w:w="1144" w:type="dxa"/>
            <w:tcBorders>
              <w:top w:val="single" w:color="auto" w:sz="4" w:space="0"/>
            </w:tcBorders>
            <w:vAlign w:val="center"/>
          </w:tcPr>
          <w:p>
            <w:pPr>
              <w:pStyle w:val="24"/>
              <w:rPr>
                <w:rFonts w:hint="default" w:eastAsia="宋体"/>
                <w:lang w:val="en-US" w:eastAsia="zh-CN"/>
              </w:rPr>
            </w:pPr>
            <w:r>
              <w:rPr>
                <w:rFonts w:hint="eastAsia"/>
                <w:lang w:val="en-US" w:eastAsia="zh-CN"/>
              </w:rPr>
              <w:t>0.1</w:t>
            </w:r>
          </w:p>
        </w:tc>
        <w:tc>
          <w:tcPr>
            <w:tcW w:w="1154" w:type="dxa"/>
            <w:tcBorders>
              <w:top w:val="single" w:color="auto" w:sz="4" w:space="0"/>
            </w:tcBorders>
            <w:vAlign w:val="center"/>
          </w:tcPr>
          <w:p>
            <w:pPr>
              <w:pStyle w:val="24"/>
              <w:rPr>
                <w:rFonts w:hint="default" w:eastAsia="宋体"/>
                <w:lang w:val="en-US" w:eastAsia="zh-CN"/>
              </w:rPr>
            </w:pPr>
            <w:r>
              <w:rPr>
                <w:rFonts w:hint="eastAsia"/>
                <w:lang w:val="en-US" w:eastAsia="zh-CN"/>
              </w:rPr>
              <w:t>0.1</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rPr>
                <w:rFonts w:hint="eastAsia" w:eastAsia="宋体"/>
                <w:lang w:eastAsia="zh-CN"/>
              </w:rPr>
            </w:pPr>
            <w:r>
              <w:rPr>
                <w:rFonts w:hint="eastAsia"/>
                <w:lang w:eastAsia="zh-CN"/>
              </w:rPr>
              <w:t>甲苯</w:t>
            </w:r>
          </w:p>
        </w:tc>
        <w:tc>
          <w:tcPr>
            <w:tcW w:w="1144" w:type="dxa"/>
            <w:tcBorders>
              <w:top w:val="single" w:color="auto" w:sz="4" w:space="0"/>
            </w:tcBorders>
            <w:vAlign w:val="center"/>
          </w:tcPr>
          <w:p>
            <w:pPr>
              <w:pStyle w:val="24"/>
              <w:rPr>
                <w:rFonts w:hint="default" w:eastAsia="宋体"/>
                <w:lang w:val="en-US" w:eastAsia="zh-CN"/>
              </w:rPr>
            </w:pPr>
            <w:r>
              <w:rPr>
                <w:rFonts w:hint="eastAsia"/>
                <w:lang w:val="en-US" w:eastAsia="zh-CN"/>
              </w:rPr>
              <w:t>0.1</w:t>
            </w:r>
          </w:p>
        </w:tc>
        <w:tc>
          <w:tcPr>
            <w:tcW w:w="1154" w:type="dxa"/>
            <w:tcBorders>
              <w:top w:val="single" w:color="auto" w:sz="4" w:space="0"/>
            </w:tcBorders>
            <w:vAlign w:val="center"/>
          </w:tcPr>
          <w:p>
            <w:pPr>
              <w:pStyle w:val="24"/>
              <w:rPr>
                <w:rFonts w:hint="default" w:eastAsia="宋体"/>
                <w:lang w:val="en-US" w:eastAsia="zh-CN"/>
              </w:rPr>
            </w:pPr>
            <w:r>
              <w:rPr>
                <w:rFonts w:hint="eastAsia"/>
                <w:lang w:val="en-US" w:eastAsia="zh-CN"/>
              </w:rPr>
              <w:t>0.1</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rPr>
                <w:rFonts w:hint="eastAsia" w:eastAsia="宋体"/>
                <w:lang w:eastAsia="zh-CN"/>
              </w:rPr>
            </w:pPr>
            <w:r>
              <w:rPr>
                <w:rFonts w:hint="eastAsia"/>
                <w:lang w:eastAsia="zh-CN"/>
              </w:rPr>
              <w:t>邻二甲苯</w:t>
            </w:r>
          </w:p>
        </w:tc>
        <w:tc>
          <w:tcPr>
            <w:tcW w:w="1144" w:type="dxa"/>
            <w:tcBorders>
              <w:top w:val="single" w:color="auto" w:sz="4" w:space="0"/>
            </w:tcBorders>
            <w:vAlign w:val="center"/>
          </w:tcPr>
          <w:p>
            <w:pPr>
              <w:pStyle w:val="24"/>
              <w:rPr>
                <w:rFonts w:hint="default" w:eastAsia="宋体"/>
                <w:lang w:val="en-US" w:eastAsia="zh-CN"/>
              </w:rPr>
            </w:pPr>
            <w:r>
              <w:rPr>
                <w:rFonts w:hint="eastAsia"/>
                <w:lang w:val="en-US" w:eastAsia="zh-CN"/>
              </w:rPr>
              <w:t>0.4</w:t>
            </w:r>
          </w:p>
        </w:tc>
        <w:tc>
          <w:tcPr>
            <w:tcW w:w="1154" w:type="dxa"/>
            <w:tcBorders>
              <w:top w:val="single" w:color="auto" w:sz="4" w:space="0"/>
            </w:tcBorders>
            <w:vAlign w:val="center"/>
          </w:tcPr>
          <w:p>
            <w:pPr>
              <w:pStyle w:val="24"/>
              <w:rPr>
                <w:rFonts w:hint="default" w:eastAsia="宋体"/>
                <w:lang w:val="en-US" w:eastAsia="zh-CN"/>
              </w:rPr>
            </w:pPr>
            <w:r>
              <w:rPr>
                <w:rFonts w:hint="eastAsia"/>
                <w:lang w:val="en-US" w:eastAsia="zh-CN"/>
              </w:rPr>
              <w:t>0.4</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rPr>
                <w:rFonts w:hint="eastAsia"/>
                <w:lang w:eastAsia="zh-CN"/>
              </w:rPr>
            </w:pPr>
            <w:r>
              <w:rPr>
                <w:rFonts w:hint="eastAsia"/>
                <w:lang w:eastAsia="zh-CN"/>
              </w:rPr>
              <w:t>间二甲苯</w:t>
            </w:r>
          </w:p>
        </w:tc>
        <w:tc>
          <w:tcPr>
            <w:tcW w:w="1144" w:type="dxa"/>
            <w:tcBorders>
              <w:top w:val="single" w:color="auto" w:sz="4" w:space="0"/>
            </w:tcBorders>
            <w:vAlign w:val="center"/>
          </w:tcPr>
          <w:p>
            <w:pPr>
              <w:pStyle w:val="24"/>
              <w:rPr>
                <w:rFonts w:hint="eastAsia"/>
                <w:lang w:val="en-US" w:eastAsia="zh-CN"/>
              </w:rPr>
            </w:pPr>
            <w:r>
              <w:rPr>
                <w:rFonts w:hint="eastAsia"/>
                <w:lang w:val="en-US" w:eastAsia="zh-CN"/>
              </w:rPr>
              <w:t>0.4</w:t>
            </w:r>
          </w:p>
        </w:tc>
        <w:tc>
          <w:tcPr>
            <w:tcW w:w="1154" w:type="dxa"/>
            <w:tcBorders>
              <w:top w:val="single" w:color="auto" w:sz="4" w:space="0"/>
            </w:tcBorders>
            <w:vAlign w:val="center"/>
          </w:tcPr>
          <w:p>
            <w:pPr>
              <w:pStyle w:val="24"/>
              <w:rPr>
                <w:rFonts w:hint="eastAsia"/>
                <w:lang w:val="en-US" w:eastAsia="zh-CN"/>
              </w:rPr>
            </w:pPr>
            <w:r>
              <w:rPr>
                <w:rFonts w:hint="eastAsia"/>
                <w:lang w:val="en-US" w:eastAsia="zh-CN"/>
              </w:rPr>
              <w:t>0.4</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tcBorders>
              <w:top w:val="single" w:color="auto" w:sz="4" w:space="0"/>
            </w:tcBorders>
            <w:vAlign w:val="center"/>
          </w:tcPr>
          <w:p>
            <w:pPr>
              <w:pStyle w:val="24"/>
              <w:rPr>
                <w:rFonts w:hint="eastAsia"/>
                <w:lang w:eastAsia="zh-CN"/>
              </w:rPr>
            </w:pPr>
            <w:r>
              <w:rPr>
                <w:rFonts w:hint="eastAsia"/>
                <w:lang w:eastAsia="zh-CN"/>
              </w:rPr>
              <w:t>对二甲苯</w:t>
            </w:r>
          </w:p>
        </w:tc>
        <w:tc>
          <w:tcPr>
            <w:tcW w:w="1144" w:type="dxa"/>
            <w:tcBorders>
              <w:top w:val="single" w:color="auto" w:sz="4" w:space="0"/>
            </w:tcBorders>
            <w:vAlign w:val="center"/>
          </w:tcPr>
          <w:p>
            <w:pPr>
              <w:pStyle w:val="24"/>
              <w:rPr>
                <w:rFonts w:hint="eastAsia"/>
                <w:lang w:val="en-US" w:eastAsia="zh-CN"/>
              </w:rPr>
            </w:pPr>
            <w:r>
              <w:rPr>
                <w:rFonts w:hint="eastAsia"/>
                <w:lang w:val="en-US" w:eastAsia="zh-CN"/>
              </w:rPr>
              <w:t>0.4</w:t>
            </w:r>
          </w:p>
        </w:tc>
        <w:tc>
          <w:tcPr>
            <w:tcW w:w="1154" w:type="dxa"/>
            <w:tcBorders>
              <w:top w:val="single" w:color="auto" w:sz="4" w:space="0"/>
            </w:tcBorders>
            <w:vAlign w:val="center"/>
          </w:tcPr>
          <w:p>
            <w:pPr>
              <w:pStyle w:val="24"/>
              <w:rPr>
                <w:rFonts w:hint="eastAsia"/>
                <w:lang w:val="en-US" w:eastAsia="zh-CN"/>
              </w:rPr>
            </w:pPr>
            <w:r>
              <w:rPr>
                <w:rFonts w:hint="eastAsia"/>
                <w:lang w:val="en-US" w:eastAsia="zh-CN"/>
              </w:rPr>
              <w:t>0.4</w:t>
            </w:r>
          </w:p>
        </w:tc>
        <w:tc>
          <w:tcPr>
            <w:tcW w:w="3027" w:type="dxa"/>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jc w:val="center"/>
        </w:trPr>
        <w:tc>
          <w:tcPr>
            <w:tcW w:w="578" w:type="dxa"/>
            <w:vMerge w:val="restart"/>
            <w:vAlign w:val="center"/>
          </w:tcPr>
          <w:p>
            <w:pPr>
              <w:pStyle w:val="24"/>
            </w:pPr>
            <w:r>
              <w:t>噪声</w:t>
            </w:r>
          </w:p>
        </w:tc>
        <w:tc>
          <w:tcPr>
            <w:tcW w:w="1419" w:type="dxa"/>
            <w:vMerge w:val="restart"/>
            <w:vAlign w:val="center"/>
          </w:tcPr>
          <w:p>
            <w:pPr>
              <w:pStyle w:val="24"/>
            </w:pPr>
            <w:r>
              <w:t>厂界</w:t>
            </w:r>
          </w:p>
        </w:tc>
        <w:tc>
          <w:tcPr>
            <w:tcW w:w="1200" w:type="dxa"/>
            <w:vMerge w:val="restart"/>
            <w:vAlign w:val="center"/>
          </w:tcPr>
          <w:p>
            <w:pPr>
              <w:pStyle w:val="24"/>
            </w:pPr>
            <w:r>
              <w:t>L</w:t>
            </w:r>
            <w:r>
              <w:rPr>
                <w:vertAlign w:val="subscript"/>
              </w:rPr>
              <w:t>Aeq</w:t>
            </w:r>
          </w:p>
        </w:tc>
        <w:tc>
          <w:tcPr>
            <w:tcW w:w="2298" w:type="dxa"/>
            <w:gridSpan w:val="2"/>
            <w:tcBorders>
              <w:top w:val="single" w:color="auto" w:sz="2" w:space="0"/>
              <w:bottom w:val="single" w:color="auto" w:sz="4" w:space="0"/>
            </w:tcBorders>
            <w:vAlign w:val="center"/>
          </w:tcPr>
          <w:p>
            <w:pPr>
              <w:pStyle w:val="24"/>
            </w:pPr>
            <w:r>
              <w:t>≤65 dB（昼间）</w:t>
            </w:r>
          </w:p>
        </w:tc>
        <w:tc>
          <w:tcPr>
            <w:tcW w:w="3027" w:type="dxa"/>
            <w:vMerge w:val="restart"/>
            <w:vAlign w:val="center"/>
          </w:tcPr>
          <w:p>
            <w:pPr>
              <w:pStyle w:val="24"/>
            </w:pPr>
            <w:r>
              <w:t>《工业企业厂界噪声排放标准》（GB12348-2008）3类标准，以及夜间频发性和偶发性噪声的最大声级控制要求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8" w:hRule="atLeast"/>
          <w:jc w:val="center"/>
        </w:trPr>
        <w:tc>
          <w:tcPr>
            <w:tcW w:w="578" w:type="dxa"/>
            <w:vMerge w:val="continue"/>
            <w:vAlign w:val="center"/>
          </w:tcPr>
          <w:p>
            <w:pPr>
              <w:pStyle w:val="24"/>
            </w:pPr>
          </w:p>
        </w:tc>
        <w:tc>
          <w:tcPr>
            <w:tcW w:w="1419" w:type="dxa"/>
            <w:vMerge w:val="continue"/>
            <w:vAlign w:val="center"/>
          </w:tcPr>
          <w:p>
            <w:pPr>
              <w:pStyle w:val="24"/>
            </w:pPr>
          </w:p>
        </w:tc>
        <w:tc>
          <w:tcPr>
            <w:tcW w:w="1200" w:type="dxa"/>
            <w:vMerge w:val="continue"/>
            <w:vAlign w:val="center"/>
          </w:tcPr>
          <w:p>
            <w:pPr>
              <w:pStyle w:val="24"/>
            </w:pPr>
          </w:p>
        </w:tc>
        <w:tc>
          <w:tcPr>
            <w:tcW w:w="2298" w:type="dxa"/>
            <w:gridSpan w:val="2"/>
            <w:tcBorders>
              <w:top w:val="single" w:color="auto" w:sz="4" w:space="0"/>
            </w:tcBorders>
            <w:vAlign w:val="center"/>
          </w:tcPr>
          <w:p>
            <w:pPr>
              <w:pStyle w:val="24"/>
            </w:pPr>
            <w:r>
              <w:t>≤55 dB（夜间）</w:t>
            </w:r>
          </w:p>
        </w:tc>
        <w:tc>
          <w:tcPr>
            <w:tcW w:w="3027" w:type="dxa"/>
            <w:vMerge w:val="continue"/>
            <w:vAlign w:val="center"/>
          </w:tcPr>
          <w:p>
            <w:pPr>
              <w:pStyle w:val="24"/>
            </w:pPr>
          </w:p>
        </w:tc>
      </w:tr>
    </w:tbl>
    <w:p>
      <w:pPr>
        <w:pStyle w:val="23"/>
        <w:spacing w:before="240"/>
      </w:pPr>
      <w:r>
        <w:t>表</w:t>
      </w:r>
      <w:r>
        <w:rPr>
          <w:rFonts w:hint="default"/>
        </w:rPr>
        <w:t>6</w:t>
      </w:r>
      <w:r>
        <w:rPr>
          <w:rFonts w:hint="eastAsia"/>
          <w:lang w:val="en-US" w:eastAsia="zh-Hans"/>
        </w:rPr>
        <w:t>.</w:t>
      </w:r>
      <w:r>
        <w:rPr>
          <w:rFonts w:hint="default"/>
          <w:lang w:eastAsia="zh-Hans"/>
        </w:rPr>
        <w:t>1</w:t>
      </w:r>
      <w:r>
        <w:rPr>
          <w:rFonts w:hint="eastAsia"/>
          <w:lang w:val="en-US" w:eastAsia="zh-Hans"/>
        </w:rPr>
        <w:t>.</w:t>
      </w:r>
      <w:r>
        <w:rPr>
          <w:rFonts w:hint="default"/>
          <w:lang w:eastAsia="zh-Hans"/>
        </w:rPr>
        <w:t>2</w:t>
      </w:r>
      <w:r>
        <w:t xml:space="preserve"> 环境质量标准</w:t>
      </w:r>
    </w:p>
    <w:tbl>
      <w:tblPr>
        <w:tblStyle w:val="14"/>
        <w:tblW w:w="8303"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709"/>
        <w:gridCol w:w="1206"/>
        <w:gridCol w:w="1450"/>
        <w:gridCol w:w="323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tcBorders>
              <w:right w:val="single" w:color="auto" w:sz="2" w:space="0"/>
            </w:tcBorders>
            <w:tcMar>
              <w:left w:w="0" w:type="dxa"/>
              <w:right w:w="0" w:type="dxa"/>
            </w:tcMar>
            <w:vAlign w:val="center"/>
          </w:tcPr>
          <w:p>
            <w:pPr>
              <w:pStyle w:val="24"/>
            </w:pPr>
            <w:r>
              <w:t>类别</w:t>
            </w:r>
          </w:p>
        </w:tc>
        <w:tc>
          <w:tcPr>
            <w:tcW w:w="1709" w:type="dxa"/>
            <w:tcBorders>
              <w:left w:val="single" w:color="auto" w:sz="2" w:space="0"/>
              <w:bottom w:val="single" w:color="auto" w:sz="4" w:space="0"/>
            </w:tcBorders>
            <w:vAlign w:val="center"/>
          </w:tcPr>
          <w:p>
            <w:pPr>
              <w:pStyle w:val="24"/>
            </w:pPr>
            <w:r>
              <w:t>污染物名称</w:t>
            </w:r>
          </w:p>
        </w:tc>
        <w:tc>
          <w:tcPr>
            <w:tcW w:w="1206" w:type="dxa"/>
            <w:tcMar>
              <w:left w:w="0" w:type="dxa"/>
              <w:right w:w="0" w:type="dxa"/>
            </w:tcMar>
            <w:vAlign w:val="center"/>
          </w:tcPr>
          <w:p>
            <w:pPr>
              <w:pStyle w:val="24"/>
            </w:pPr>
            <w:r>
              <w:t>取值时间</w:t>
            </w:r>
          </w:p>
        </w:tc>
        <w:tc>
          <w:tcPr>
            <w:tcW w:w="1450" w:type="dxa"/>
            <w:tcBorders>
              <w:bottom w:val="single" w:color="auto" w:sz="4" w:space="0"/>
            </w:tcBorders>
            <w:tcMar>
              <w:left w:w="0" w:type="dxa"/>
              <w:right w:w="0" w:type="dxa"/>
            </w:tcMar>
            <w:vAlign w:val="center"/>
          </w:tcPr>
          <w:p>
            <w:pPr>
              <w:pStyle w:val="24"/>
            </w:pPr>
            <w:r>
              <w:t>标准限值</w:t>
            </w:r>
          </w:p>
        </w:tc>
        <w:tc>
          <w:tcPr>
            <w:tcW w:w="3232" w:type="dxa"/>
            <w:tcBorders>
              <w:bottom w:val="single" w:color="auto" w:sz="4" w:space="0"/>
            </w:tcBorders>
            <w:tcMar>
              <w:left w:w="0" w:type="dxa"/>
              <w:right w:w="0" w:type="dxa"/>
            </w:tcMar>
            <w:vAlign w:val="center"/>
          </w:tcPr>
          <w:p>
            <w:pPr>
              <w:pStyle w:val="24"/>
            </w:pPr>
            <w: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4" w:hRule="atLeast"/>
          <w:jc w:val="center"/>
        </w:trPr>
        <w:tc>
          <w:tcPr>
            <w:tcW w:w="706" w:type="dxa"/>
            <w:vMerge w:val="restart"/>
            <w:tcBorders>
              <w:right w:val="single" w:color="auto" w:sz="2" w:space="0"/>
            </w:tcBorders>
            <w:tcMar>
              <w:left w:w="0" w:type="dxa"/>
              <w:right w:w="0" w:type="dxa"/>
            </w:tcMar>
            <w:vAlign w:val="center"/>
          </w:tcPr>
          <w:p>
            <w:pPr>
              <w:pStyle w:val="24"/>
            </w:pPr>
            <w:r>
              <w:t>环境</w:t>
            </w:r>
          </w:p>
          <w:p>
            <w:pPr>
              <w:pStyle w:val="24"/>
            </w:pPr>
            <w:r>
              <w:t>空气</w:t>
            </w:r>
          </w:p>
        </w:tc>
        <w:tc>
          <w:tcPr>
            <w:tcW w:w="1709" w:type="dxa"/>
            <w:tcBorders>
              <w:left w:val="single" w:color="auto" w:sz="2" w:space="0"/>
            </w:tcBorders>
            <w:vAlign w:val="center"/>
          </w:tcPr>
          <w:p>
            <w:pPr>
              <w:pStyle w:val="24"/>
            </w:pPr>
            <w:r>
              <w:t>TVOC</w:t>
            </w:r>
          </w:p>
        </w:tc>
        <w:tc>
          <w:tcPr>
            <w:tcW w:w="1206" w:type="dxa"/>
            <w:tcMar>
              <w:left w:w="0" w:type="dxa"/>
              <w:right w:w="0" w:type="dxa"/>
            </w:tcMar>
            <w:vAlign w:val="center"/>
          </w:tcPr>
          <w:p>
            <w:pPr>
              <w:pStyle w:val="24"/>
              <w:rPr>
                <w:rFonts w:hint="eastAsia" w:eastAsia="宋体"/>
                <w:lang w:val="en-US" w:eastAsia="zh-CN"/>
              </w:rPr>
            </w:pPr>
            <w:r>
              <w:t>8</w:t>
            </w:r>
            <w:r>
              <w:rPr>
                <w:rFonts w:hint="eastAsia"/>
                <w:lang w:val="en-US" w:eastAsia="zh-CN"/>
              </w:rPr>
              <w:t>h均值</w:t>
            </w:r>
          </w:p>
        </w:tc>
        <w:tc>
          <w:tcPr>
            <w:tcW w:w="1450" w:type="dxa"/>
            <w:tcMar>
              <w:left w:w="0" w:type="dxa"/>
              <w:right w:w="0" w:type="dxa"/>
            </w:tcMar>
            <w:vAlign w:val="center"/>
          </w:tcPr>
          <w:p>
            <w:pPr>
              <w:pStyle w:val="24"/>
              <w:rPr>
                <w:rFonts w:hint="default" w:ascii="Times New Roman" w:hAnsi="Times New Roman" w:cs="Times New Roman"/>
              </w:rPr>
            </w:pPr>
            <w:r>
              <w:rPr>
                <w:rFonts w:hint="default" w:ascii="Times New Roman" w:hAnsi="Times New Roman" w:cs="Times New Roman"/>
                <w:lang w:val="en-US" w:eastAsia="zh-CN"/>
              </w:rPr>
              <w:t>600</w:t>
            </w:r>
            <w:r>
              <w:rPr>
                <w:rFonts w:hint="default" w:ascii="Times New Roman" w:hAnsi="Times New Roman" w:cs="Times New Roman"/>
              </w:rPr>
              <w:t xml:space="preserve"> </w:t>
            </w:r>
            <w:r>
              <w:rPr>
                <w:rFonts w:hint="default" w:ascii="Times New Roman" w:hAnsi="Times New Roman" w:cs="Times New Roman"/>
                <w:lang w:eastAsia="zh-CN"/>
              </w:rPr>
              <w:t>μ</w:t>
            </w:r>
            <w:r>
              <w:rPr>
                <w:rFonts w:hint="default" w:ascii="Times New Roman" w:hAnsi="Times New Roman" w:cs="Times New Roman"/>
              </w:rPr>
              <w:t>g/m</w:t>
            </w:r>
            <w:r>
              <w:rPr>
                <w:rFonts w:hint="default" w:ascii="Times New Roman" w:hAnsi="Times New Roman" w:cs="Times New Roman"/>
                <w:vertAlign w:val="superscript"/>
              </w:rPr>
              <w:t>3</w:t>
            </w:r>
          </w:p>
        </w:tc>
        <w:tc>
          <w:tcPr>
            <w:tcW w:w="3232" w:type="dxa"/>
            <w:vMerge w:val="restart"/>
            <w:tcMar>
              <w:left w:w="0" w:type="dxa"/>
              <w:right w:w="0" w:type="dxa"/>
            </w:tcMar>
            <w:vAlign w:val="center"/>
          </w:tcPr>
          <w:p>
            <w:pPr>
              <w:pStyle w:val="24"/>
            </w:pPr>
            <w:r>
              <w:rPr>
                <w:lang w:val="en-GB"/>
              </w:rPr>
              <w:t>《环境影响评价技术导则大气环境》</w:t>
            </w:r>
            <w:r>
              <w:rPr>
                <w:rFonts w:hint="eastAsia"/>
                <w:lang w:val="en-GB" w:eastAsia="zh-CN"/>
              </w:rPr>
              <w:t>（HJ 2.2-2018）</w:t>
            </w:r>
            <w:r>
              <w:rPr>
                <w:lang w:val="en-GB"/>
              </w:rPr>
              <w:t>相关规定及附录D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4"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rPr>
                <w:rFonts w:hint="eastAsia" w:ascii="Times New Roman" w:hAnsi="Times New Roman" w:eastAsia="宋体" w:cs="Times New Roman"/>
                <w:kern w:val="0"/>
                <w:sz w:val="20"/>
                <w:szCs w:val="21"/>
                <w:lang w:val="en-US" w:eastAsia="zh-CN" w:bidi="ar-SA"/>
              </w:rPr>
            </w:pPr>
            <w:r>
              <w:rPr>
                <w:rFonts w:hint="eastAsia"/>
                <w:lang w:eastAsia="zh-CN"/>
              </w:rPr>
              <w:t>苯</w:t>
            </w:r>
          </w:p>
        </w:tc>
        <w:tc>
          <w:tcPr>
            <w:tcW w:w="1206" w:type="dxa"/>
            <w:tcMar>
              <w:left w:w="0" w:type="dxa"/>
              <w:right w:w="0" w:type="dxa"/>
            </w:tcMar>
            <w:vAlign w:val="center"/>
          </w:tcPr>
          <w:p>
            <w:pPr>
              <w:pStyle w:val="24"/>
              <w:bidi w:val="0"/>
            </w:pPr>
            <w:r>
              <w:rPr>
                <w:rFonts w:hint="eastAsia"/>
                <w:lang w:val="en-US" w:eastAsia="zh-CN"/>
              </w:rPr>
              <w:t>1h均值</w:t>
            </w:r>
          </w:p>
        </w:tc>
        <w:tc>
          <w:tcPr>
            <w:tcW w:w="1450" w:type="dxa"/>
            <w:tcMar>
              <w:left w:w="0" w:type="dxa"/>
              <w:right w:w="0" w:type="dxa"/>
            </w:tcMar>
            <w:vAlign w:val="center"/>
          </w:tcPr>
          <w:p>
            <w:pPr>
              <w:pStyle w:val="24"/>
              <w:rPr>
                <w:rFonts w:hint="default" w:ascii="Times New Roman" w:hAnsi="Times New Roman" w:cs="Times New Roman"/>
              </w:rPr>
            </w:pPr>
            <w:r>
              <w:rPr>
                <w:rFonts w:hint="default" w:ascii="Times New Roman" w:hAnsi="Times New Roman" w:cs="Times New Roman"/>
                <w:lang w:val="en-US" w:eastAsia="zh-CN"/>
              </w:rPr>
              <w:t>110</w:t>
            </w:r>
            <w:r>
              <w:rPr>
                <w:rFonts w:hint="default" w:ascii="Times New Roman" w:hAnsi="Times New Roman" w:cs="Times New Roman"/>
              </w:rPr>
              <w:t xml:space="preserve"> </w:t>
            </w:r>
            <w:r>
              <w:rPr>
                <w:rFonts w:hint="default" w:ascii="Times New Roman" w:hAnsi="Times New Roman" w:cs="Times New Roman"/>
                <w:lang w:eastAsia="zh-CN"/>
              </w:rPr>
              <w:t>μ</w:t>
            </w:r>
            <w:r>
              <w:rPr>
                <w:rFonts w:hint="default" w:ascii="Times New Roman" w:hAnsi="Times New Roman" w:cs="Times New Roman"/>
              </w:rPr>
              <w:t>g/m</w:t>
            </w:r>
            <w:r>
              <w:rPr>
                <w:rFonts w:hint="default" w:ascii="Times New Roman" w:hAnsi="Times New Roman" w:cs="Times New Roman"/>
                <w:vertAlign w:val="superscript"/>
              </w:rPr>
              <w:t>3</w:t>
            </w:r>
          </w:p>
        </w:tc>
        <w:tc>
          <w:tcPr>
            <w:tcW w:w="3232" w:type="dxa"/>
            <w:vMerge w:val="continue"/>
            <w:tcMar>
              <w:left w:w="0" w:type="dxa"/>
              <w:right w:w="0" w:type="dxa"/>
            </w:tcMar>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4"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rPr>
                <w:rFonts w:hint="eastAsia" w:ascii="Times New Roman" w:hAnsi="Times New Roman" w:eastAsia="宋体" w:cs="Times New Roman"/>
                <w:kern w:val="0"/>
                <w:sz w:val="20"/>
                <w:szCs w:val="21"/>
                <w:lang w:val="en-US" w:eastAsia="zh-CN" w:bidi="ar-SA"/>
              </w:rPr>
            </w:pPr>
            <w:r>
              <w:rPr>
                <w:rFonts w:hint="eastAsia"/>
                <w:lang w:eastAsia="zh-CN"/>
              </w:rPr>
              <w:t>甲苯</w:t>
            </w:r>
          </w:p>
        </w:tc>
        <w:tc>
          <w:tcPr>
            <w:tcW w:w="1206" w:type="dxa"/>
            <w:tcMar>
              <w:left w:w="0" w:type="dxa"/>
              <w:right w:w="0" w:type="dxa"/>
            </w:tcMar>
            <w:vAlign w:val="center"/>
          </w:tcPr>
          <w:p>
            <w:pPr>
              <w:pStyle w:val="24"/>
              <w:bidi w:val="0"/>
            </w:pPr>
            <w:r>
              <w:rPr>
                <w:rFonts w:hint="eastAsia"/>
                <w:lang w:val="en-US" w:eastAsia="zh-CN"/>
              </w:rPr>
              <w:t>1h均值</w:t>
            </w:r>
          </w:p>
        </w:tc>
        <w:tc>
          <w:tcPr>
            <w:tcW w:w="1450" w:type="dxa"/>
            <w:tcMar>
              <w:left w:w="0" w:type="dxa"/>
              <w:right w:w="0" w:type="dxa"/>
            </w:tcMar>
            <w:vAlign w:val="center"/>
          </w:tcPr>
          <w:p>
            <w:pPr>
              <w:pStyle w:val="24"/>
              <w:rPr>
                <w:rFonts w:hint="default" w:ascii="Times New Roman" w:hAnsi="Times New Roman" w:cs="Times New Roman"/>
              </w:rPr>
            </w:pPr>
            <w:r>
              <w:rPr>
                <w:rFonts w:hint="default" w:ascii="Times New Roman" w:hAnsi="Times New Roman" w:cs="Times New Roman"/>
                <w:lang w:val="en-US" w:eastAsia="zh-CN"/>
              </w:rPr>
              <w:t>200</w:t>
            </w:r>
            <w:r>
              <w:rPr>
                <w:rFonts w:hint="default" w:ascii="Times New Roman" w:hAnsi="Times New Roman" w:cs="Times New Roman"/>
              </w:rPr>
              <w:t xml:space="preserve"> </w:t>
            </w:r>
            <w:r>
              <w:rPr>
                <w:rFonts w:hint="default" w:ascii="Times New Roman" w:hAnsi="Times New Roman" w:cs="Times New Roman"/>
                <w:lang w:eastAsia="zh-CN"/>
              </w:rPr>
              <w:t>μ</w:t>
            </w:r>
            <w:r>
              <w:rPr>
                <w:rFonts w:hint="default" w:ascii="Times New Roman" w:hAnsi="Times New Roman" w:cs="Times New Roman"/>
              </w:rPr>
              <w:t>g/m</w:t>
            </w:r>
            <w:r>
              <w:rPr>
                <w:rFonts w:hint="default" w:ascii="Times New Roman" w:hAnsi="Times New Roman" w:cs="Times New Roman"/>
                <w:vertAlign w:val="superscript"/>
              </w:rPr>
              <w:t>3</w:t>
            </w:r>
          </w:p>
        </w:tc>
        <w:tc>
          <w:tcPr>
            <w:tcW w:w="3232" w:type="dxa"/>
            <w:vMerge w:val="continue"/>
            <w:tcMar>
              <w:left w:w="0" w:type="dxa"/>
              <w:right w:w="0" w:type="dxa"/>
            </w:tcMar>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4"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rPr>
                <w:rFonts w:hint="eastAsia" w:ascii="Times New Roman" w:hAnsi="Times New Roman" w:eastAsia="宋体" w:cs="Times New Roman"/>
                <w:kern w:val="0"/>
                <w:sz w:val="20"/>
                <w:szCs w:val="21"/>
                <w:lang w:val="en-US" w:eastAsia="zh-CN" w:bidi="ar-SA"/>
              </w:rPr>
            </w:pPr>
            <w:r>
              <w:rPr>
                <w:rFonts w:hint="eastAsia"/>
                <w:lang w:eastAsia="zh-CN"/>
              </w:rPr>
              <w:t>二甲苯</w:t>
            </w:r>
          </w:p>
        </w:tc>
        <w:tc>
          <w:tcPr>
            <w:tcW w:w="1206" w:type="dxa"/>
            <w:tcMar>
              <w:left w:w="0" w:type="dxa"/>
              <w:right w:w="0" w:type="dxa"/>
            </w:tcMar>
            <w:vAlign w:val="center"/>
          </w:tcPr>
          <w:p>
            <w:pPr>
              <w:pStyle w:val="24"/>
              <w:bidi w:val="0"/>
            </w:pPr>
            <w:r>
              <w:rPr>
                <w:rFonts w:hint="eastAsia"/>
                <w:lang w:val="en-US" w:eastAsia="zh-CN"/>
              </w:rPr>
              <w:t>1h均值</w:t>
            </w:r>
          </w:p>
        </w:tc>
        <w:tc>
          <w:tcPr>
            <w:tcW w:w="1450" w:type="dxa"/>
            <w:tcMar>
              <w:left w:w="0" w:type="dxa"/>
              <w:right w:w="0" w:type="dxa"/>
            </w:tcMar>
            <w:vAlign w:val="center"/>
          </w:tcPr>
          <w:p>
            <w:pPr>
              <w:pStyle w:val="24"/>
              <w:rPr>
                <w:rFonts w:hint="default" w:ascii="Times New Roman" w:hAnsi="Times New Roman" w:cs="Times New Roman"/>
              </w:rPr>
            </w:pPr>
            <w:r>
              <w:rPr>
                <w:rFonts w:hint="default" w:ascii="Times New Roman" w:hAnsi="Times New Roman" w:cs="Times New Roman"/>
                <w:lang w:val="en-US" w:eastAsia="zh-CN"/>
              </w:rPr>
              <w:t>200</w:t>
            </w:r>
            <w:r>
              <w:rPr>
                <w:rFonts w:hint="default" w:ascii="Times New Roman" w:hAnsi="Times New Roman" w:cs="Times New Roman"/>
              </w:rPr>
              <w:t xml:space="preserve"> </w:t>
            </w:r>
            <w:r>
              <w:rPr>
                <w:rFonts w:hint="default" w:ascii="Times New Roman" w:hAnsi="Times New Roman" w:cs="Times New Roman"/>
                <w:lang w:eastAsia="zh-CN"/>
              </w:rPr>
              <w:t>μ</w:t>
            </w:r>
            <w:r>
              <w:rPr>
                <w:rFonts w:hint="default" w:ascii="Times New Roman" w:hAnsi="Times New Roman" w:cs="Times New Roman"/>
              </w:rPr>
              <w:t>g/m</w:t>
            </w:r>
            <w:r>
              <w:rPr>
                <w:rFonts w:hint="default" w:ascii="Times New Roman" w:hAnsi="Times New Roman" w:cs="Times New Roman"/>
                <w:vertAlign w:val="superscript"/>
              </w:rPr>
              <w:t>3</w:t>
            </w:r>
          </w:p>
        </w:tc>
        <w:tc>
          <w:tcPr>
            <w:tcW w:w="3232" w:type="dxa"/>
            <w:vMerge w:val="continue"/>
            <w:tcMar>
              <w:left w:w="0" w:type="dxa"/>
              <w:right w:w="0" w:type="dxa"/>
            </w:tcMar>
            <w:vAlign w:val="center"/>
          </w:tcPr>
          <w:p>
            <w:pPr>
              <w:pStyle w:val="24"/>
              <w:rPr>
                <w:lang w:val="en-GB"/>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4"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NMHC</w:t>
            </w:r>
          </w:p>
        </w:tc>
        <w:tc>
          <w:tcPr>
            <w:tcW w:w="1206" w:type="dxa"/>
            <w:tcMar>
              <w:left w:w="0" w:type="dxa"/>
              <w:right w:w="0" w:type="dxa"/>
            </w:tcMar>
            <w:vAlign w:val="center"/>
          </w:tcPr>
          <w:p>
            <w:pPr>
              <w:pStyle w:val="24"/>
              <w:rPr>
                <w:rFonts w:hint="default" w:eastAsia="宋体"/>
                <w:lang w:val="en-US" w:eastAsia="zh-CN"/>
              </w:rPr>
            </w:pPr>
            <w:r>
              <w:rPr>
                <w:rFonts w:hint="eastAsia"/>
                <w:lang w:val="en-US" w:eastAsia="zh-CN"/>
              </w:rPr>
              <w:t>1h均值</w:t>
            </w:r>
          </w:p>
        </w:tc>
        <w:tc>
          <w:tcPr>
            <w:tcW w:w="1450" w:type="dxa"/>
            <w:tcMar>
              <w:left w:w="0" w:type="dxa"/>
              <w:right w:w="0" w:type="dxa"/>
            </w:tcMar>
            <w:vAlign w:val="center"/>
          </w:tcPr>
          <w:p>
            <w:pPr>
              <w:pStyle w:val="24"/>
            </w:pPr>
            <w:r>
              <w:t>2.0 mg/m</w:t>
            </w:r>
            <w:r>
              <w:rPr>
                <w:vertAlign w:val="superscript"/>
              </w:rPr>
              <w:t>3</w:t>
            </w:r>
          </w:p>
        </w:tc>
        <w:tc>
          <w:tcPr>
            <w:tcW w:w="3232" w:type="dxa"/>
            <w:tcMar>
              <w:left w:w="0" w:type="dxa"/>
              <w:right w:w="0" w:type="dxa"/>
            </w:tcMar>
            <w:vAlign w:val="center"/>
          </w:tcPr>
          <w:p>
            <w:pPr>
              <w:pStyle w:val="24"/>
            </w:pPr>
            <w:r>
              <w:t>《大气污染物综合排放标准详解》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706" w:type="dxa"/>
            <w:vMerge w:val="restart"/>
            <w:tcBorders>
              <w:right w:val="single" w:color="auto" w:sz="2" w:space="0"/>
            </w:tcBorders>
            <w:tcMar>
              <w:left w:w="0" w:type="dxa"/>
              <w:right w:w="0" w:type="dxa"/>
            </w:tcMar>
            <w:vAlign w:val="center"/>
          </w:tcPr>
          <w:p>
            <w:pPr>
              <w:pStyle w:val="24"/>
            </w:pPr>
            <w:r>
              <w:t>地下水</w:t>
            </w:r>
          </w:p>
        </w:tc>
        <w:tc>
          <w:tcPr>
            <w:tcW w:w="1709" w:type="dxa"/>
            <w:tcBorders>
              <w:left w:val="single" w:color="auto" w:sz="2" w:space="0"/>
            </w:tcBorders>
            <w:vAlign w:val="center"/>
          </w:tcPr>
          <w:p>
            <w:pPr>
              <w:pStyle w:val="24"/>
            </w:pPr>
            <w:r>
              <w:t>pH</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6.5~8.5</w:t>
            </w:r>
          </w:p>
        </w:tc>
        <w:tc>
          <w:tcPr>
            <w:tcW w:w="3232" w:type="dxa"/>
            <w:vMerge w:val="restart"/>
            <w:tcMar>
              <w:left w:w="0" w:type="dxa"/>
              <w:right w:w="0" w:type="dxa"/>
            </w:tcMar>
            <w:vAlign w:val="center"/>
          </w:tcPr>
          <w:p>
            <w:pPr>
              <w:pStyle w:val="24"/>
            </w:pPr>
            <w:r>
              <w:t>《地下水环境质量标准》（GB/T14848-2017）III类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总硬度</w:t>
            </w:r>
          </w:p>
          <w:p>
            <w:pPr>
              <w:pStyle w:val="24"/>
            </w:pPr>
            <w:r>
              <w:t>（以CaCO</w:t>
            </w:r>
            <w:r>
              <w:rPr>
                <w:vertAlign w:val="subscript"/>
              </w:rPr>
              <w:t>3</w:t>
            </w:r>
            <w:r>
              <w:t>计）</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≤450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2"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溶解性总固体</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≤1000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耗氧量（COD</w:t>
            </w:r>
            <w:r>
              <w:rPr>
                <w:vertAlign w:val="subscript"/>
              </w:rPr>
              <w:t>Mn</w:t>
            </w:r>
            <w:r>
              <w:t>法，以O</w:t>
            </w:r>
            <w:r>
              <w:rPr>
                <w:vertAlign w:val="subscript"/>
              </w:rPr>
              <w:t>2</w:t>
            </w:r>
            <w:r>
              <w:t>计）</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≤3.0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硝酸盐（以N计）</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≤20.0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亚硝酸盐</w:t>
            </w:r>
          </w:p>
          <w:p>
            <w:pPr>
              <w:pStyle w:val="24"/>
            </w:pPr>
            <w:r>
              <w:t>（以N计）</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≤1.00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氨氮（以N计）</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≤0.50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硫酸盐</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≤250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氯化物</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≤250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氰化物</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≤0.05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汞</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≤0.001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砷</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≤0.01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镉</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≤0.005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铬（六价）</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≤0.05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铅</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≤0.01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挥发性酚类</w:t>
            </w:r>
          </w:p>
          <w:p>
            <w:pPr>
              <w:pStyle w:val="24"/>
            </w:pPr>
            <w:r>
              <w:t>（以苯酚计）</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≤0.002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苯</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10 μ/L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甲苯</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700 μ/L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二甲苯</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500 μ/L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苯乙烯</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20 μ/L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rPr>
                <w:rFonts w:hint="eastAsia"/>
              </w:rPr>
              <w:t>钠</w:t>
            </w:r>
          </w:p>
        </w:tc>
        <w:tc>
          <w:tcPr>
            <w:tcW w:w="1206" w:type="dxa"/>
            <w:tcMar>
              <w:left w:w="0" w:type="dxa"/>
              <w:right w:w="0" w:type="dxa"/>
            </w:tcMar>
            <w:vAlign w:val="center"/>
          </w:tcPr>
          <w:p>
            <w:pPr>
              <w:pStyle w:val="24"/>
            </w:pPr>
            <w:r>
              <w:rPr>
                <w:rFonts w:hint="eastAsia"/>
              </w:rPr>
              <w:t>/</w:t>
            </w:r>
          </w:p>
        </w:tc>
        <w:tc>
          <w:tcPr>
            <w:tcW w:w="1450" w:type="dxa"/>
            <w:tcMar>
              <w:left w:w="0" w:type="dxa"/>
              <w:right w:w="0" w:type="dxa"/>
            </w:tcMar>
            <w:vAlign w:val="center"/>
          </w:tcPr>
          <w:p>
            <w:pPr>
              <w:pStyle w:val="24"/>
            </w:pPr>
            <w:r>
              <w:rPr>
                <w:rFonts w:hint="eastAsia"/>
              </w:rPr>
              <w:t>200</w:t>
            </w:r>
            <w:r>
              <w:t xml:space="preserve"> mg/L</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rPr>
                <w:rFonts w:hint="eastAsia"/>
              </w:rPr>
              <w:t>石油类</w:t>
            </w:r>
          </w:p>
        </w:tc>
        <w:tc>
          <w:tcPr>
            <w:tcW w:w="1206" w:type="dxa"/>
            <w:tcMar>
              <w:left w:w="0" w:type="dxa"/>
              <w:right w:w="0" w:type="dxa"/>
            </w:tcMar>
            <w:vAlign w:val="center"/>
          </w:tcPr>
          <w:p>
            <w:pPr>
              <w:pStyle w:val="24"/>
            </w:pPr>
            <w:r>
              <w:rPr>
                <w:rFonts w:hint="eastAsia"/>
              </w:rPr>
              <w:t>/</w:t>
            </w:r>
          </w:p>
        </w:tc>
        <w:tc>
          <w:tcPr>
            <w:tcW w:w="1450" w:type="dxa"/>
            <w:tcMar>
              <w:left w:w="0" w:type="dxa"/>
              <w:right w:w="0" w:type="dxa"/>
            </w:tcMar>
            <w:vAlign w:val="center"/>
          </w:tcPr>
          <w:p>
            <w:pPr>
              <w:pStyle w:val="24"/>
            </w:pPr>
            <w:r>
              <w:rPr>
                <w:rFonts w:hint="eastAsia"/>
              </w:rPr>
              <w:t>0.3</w:t>
            </w:r>
            <w:r>
              <w:t xml:space="preserve"> mg/L</w:t>
            </w:r>
          </w:p>
        </w:tc>
        <w:tc>
          <w:tcPr>
            <w:tcW w:w="3232" w:type="dxa"/>
            <w:tcMar>
              <w:left w:w="0" w:type="dxa"/>
              <w:right w:w="0" w:type="dxa"/>
            </w:tcMar>
            <w:vAlign w:val="center"/>
          </w:tcPr>
          <w:p>
            <w:pPr>
              <w:pStyle w:val="24"/>
            </w:pPr>
            <w:r>
              <w:rPr>
                <w:rFonts w:hint="eastAsia"/>
              </w:rPr>
              <w:t>参照《生活饮用水卫生标准》（GB5749-20</w:t>
            </w:r>
            <w:r>
              <w:rPr>
                <w:rFonts w:hint="eastAsia"/>
                <w:lang w:val="en-US" w:eastAsia="zh-CN"/>
              </w:rPr>
              <w:t>22</w:t>
            </w: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restart"/>
            <w:tcBorders>
              <w:right w:val="single" w:color="auto" w:sz="2" w:space="0"/>
            </w:tcBorders>
            <w:tcMar>
              <w:left w:w="0" w:type="dxa"/>
              <w:right w:w="0" w:type="dxa"/>
            </w:tcMar>
            <w:vAlign w:val="center"/>
          </w:tcPr>
          <w:p>
            <w:pPr>
              <w:pStyle w:val="24"/>
            </w:pPr>
            <w:r>
              <w:t>土壤</w:t>
            </w:r>
          </w:p>
        </w:tc>
        <w:tc>
          <w:tcPr>
            <w:tcW w:w="1709" w:type="dxa"/>
            <w:tcBorders>
              <w:left w:val="single" w:color="auto" w:sz="2" w:space="0"/>
            </w:tcBorders>
            <w:vAlign w:val="center"/>
          </w:tcPr>
          <w:p>
            <w:pPr>
              <w:pStyle w:val="24"/>
            </w:pPr>
            <w:r>
              <w:t>建设用地45项基本项目+pH、石油烃（C</w:t>
            </w:r>
            <w:r>
              <w:rPr>
                <w:vertAlign w:val="subscript"/>
              </w:rPr>
              <w:t>10</w:t>
            </w:r>
            <w:r>
              <w:t>~C</w:t>
            </w:r>
            <w:r>
              <w:rPr>
                <w:vertAlign w:val="subscript"/>
              </w:rPr>
              <w:t>40</w:t>
            </w:r>
            <w:r>
              <w:t>）、石油烃（C</w:t>
            </w:r>
            <w:r>
              <w:rPr>
                <w:vertAlign w:val="subscript"/>
              </w:rPr>
              <w:t>6</w:t>
            </w:r>
            <w:r>
              <w:t>~C</w:t>
            </w:r>
            <w:r>
              <w:rPr>
                <w:vertAlign w:val="subscript"/>
              </w:rPr>
              <w:t>9</w:t>
            </w:r>
            <w:r>
              <w:t>）</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w:t>
            </w:r>
          </w:p>
        </w:tc>
        <w:tc>
          <w:tcPr>
            <w:tcW w:w="3232" w:type="dxa"/>
            <w:tcBorders>
              <w:top w:val="single" w:color="000000" w:sz="8" w:space="0"/>
            </w:tcBorders>
            <w:tcMar>
              <w:left w:w="0" w:type="dxa"/>
              <w:right w:w="0" w:type="dxa"/>
            </w:tcMar>
            <w:vAlign w:val="center"/>
          </w:tcPr>
          <w:p>
            <w:pPr>
              <w:pStyle w:val="24"/>
            </w:pPr>
            <w:r>
              <w:t>《土壤环境质量 建设用地土壤污染风险管控标准》（GB36600-2018）表1</w:t>
            </w:r>
            <w:r>
              <w:rPr>
                <w:rFonts w:hint="eastAsia"/>
                <w:lang w:eastAsia="zh-CN"/>
              </w:rPr>
              <w:t>和表</w:t>
            </w:r>
            <w:r>
              <w:rPr>
                <w:rFonts w:hint="eastAsia"/>
                <w:lang w:val="en-US" w:eastAsia="zh-CN"/>
              </w:rPr>
              <w:t>2</w:t>
            </w:r>
            <w:r>
              <w:t>第二类用地 筛选值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tcBorders>
              <w:left w:val="single" w:color="auto" w:sz="2" w:space="0"/>
            </w:tcBorders>
            <w:vAlign w:val="center"/>
          </w:tcPr>
          <w:p>
            <w:pPr>
              <w:pStyle w:val="24"/>
            </w:pPr>
            <w:r>
              <w:t>pH、汞、砷、镉、铜、铅、铬、锌、镍、石油烃（C</w:t>
            </w:r>
            <w:r>
              <w:rPr>
                <w:vertAlign w:val="subscript"/>
              </w:rPr>
              <w:t>10</w:t>
            </w:r>
            <w:r>
              <w:t>~C</w:t>
            </w:r>
            <w:r>
              <w:rPr>
                <w:vertAlign w:val="subscript"/>
              </w:rPr>
              <w:t>40</w:t>
            </w:r>
            <w:r>
              <w:t>）、石油烃（C</w:t>
            </w:r>
            <w:r>
              <w:rPr>
                <w:vertAlign w:val="subscript"/>
              </w:rPr>
              <w:t>6</w:t>
            </w:r>
            <w:r>
              <w:t>~C</w:t>
            </w:r>
            <w:r>
              <w:rPr>
                <w:vertAlign w:val="subscript"/>
              </w:rPr>
              <w:t>9</w:t>
            </w:r>
            <w:r>
              <w:t>）</w:t>
            </w:r>
          </w:p>
        </w:tc>
        <w:tc>
          <w:tcPr>
            <w:tcW w:w="1206" w:type="dxa"/>
            <w:tcMar>
              <w:left w:w="0" w:type="dxa"/>
              <w:right w:w="0" w:type="dxa"/>
            </w:tcMar>
            <w:vAlign w:val="center"/>
          </w:tcPr>
          <w:p>
            <w:pPr>
              <w:pStyle w:val="24"/>
            </w:pPr>
            <w:r>
              <w:t>/</w:t>
            </w:r>
          </w:p>
        </w:tc>
        <w:tc>
          <w:tcPr>
            <w:tcW w:w="1450" w:type="dxa"/>
            <w:tcMar>
              <w:left w:w="0" w:type="dxa"/>
              <w:right w:w="0" w:type="dxa"/>
            </w:tcMar>
            <w:vAlign w:val="center"/>
          </w:tcPr>
          <w:p>
            <w:pPr>
              <w:pStyle w:val="24"/>
            </w:pPr>
            <w:r>
              <w:t>/</w:t>
            </w:r>
          </w:p>
        </w:tc>
        <w:tc>
          <w:tcPr>
            <w:tcW w:w="3232" w:type="dxa"/>
            <w:tcBorders>
              <w:top w:val="single" w:color="000000" w:sz="8" w:space="0"/>
            </w:tcBorders>
            <w:tcMar>
              <w:left w:w="0" w:type="dxa"/>
              <w:right w:w="0" w:type="dxa"/>
            </w:tcMar>
            <w:vAlign w:val="center"/>
          </w:tcPr>
          <w:p>
            <w:pPr>
              <w:pStyle w:val="24"/>
              <w:rPr>
                <w:rFonts w:hint="eastAsia" w:eastAsia="宋体"/>
                <w:lang w:val="en-US" w:eastAsia="zh-CN"/>
              </w:rPr>
            </w:pPr>
            <w:r>
              <w:t>《土壤环境质量 农用地土壤污染风险管控标准》（GB15618-2018）表1筛选值</w:t>
            </w:r>
            <w:r>
              <w:rPr>
                <w:rFonts w:hint="eastAsia"/>
                <w:lang w:eastAsia="zh-CN"/>
              </w:rPr>
              <w:t>，石油烃参照建设用地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6" w:hRule="atLeast"/>
          <w:jc w:val="center"/>
        </w:trPr>
        <w:tc>
          <w:tcPr>
            <w:tcW w:w="706" w:type="dxa"/>
            <w:vMerge w:val="restart"/>
            <w:tcBorders>
              <w:right w:val="single" w:color="auto" w:sz="2" w:space="0"/>
            </w:tcBorders>
            <w:tcMar>
              <w:left w:w="0" w:type="dxa"/>
              <w:right w:w="0" w:type="dxa"/>
            </w:tcMar>
            <w:vAlign w:val="center"/>
          </w:tcPr>
          <w:p>
            <w:pPr>
              <w:pStyle w:val="24"/>
            </w:pPr>
            <w:r>
              <w:t>噪声</w:t>
            </w:r>
          </w:p>
        </w:tc>
        <w:tc>
          <w:tcPr>
            <w:tcW w:w="1709" w:type="dxa"/>
            <w:vMerge w:val="restart"/>
            <w:tcBorders>
              <w:left w:val="single" w:color="auto" w:sz="2" w:space="0"/>
            </w:tcBorders>
            <w:vAlign w:val="center"/>
          </w:tcPr>
          <w:p>
            <w:pPr>
              <w:pStyle w:val="24"/>
            </w:pPr>
            <w:r>
              <w:t>L</w:t>
            </w:r>
            <w:r>
              <w:rPr>
                <w:vertAlign w:val="subscript"/>
              </w:rPr>
              <w:t>Aeq</w:t>
            </w:r>
            <w:r>
              <w:t>（敏感点）</w:t>
            </w:r>
          </w:p>
        </w:tc>
        <w:tc>
          <w:tcPr>
            <w:tcW w:w="1206" w:type="dxa"/>
            <w:tcBorders>
              <w:top w:val="single" w:color="auto" w:sz="2" w:space="0"/>
            </w:tcBorders>
            <w:tcMar>
              <w:left w:w="0" w:type="dxa"/>
              <w:right w:w="0" w:type="dxa"/>
            </w:tcMar>
            <w:vAlign w:val="center"/>
          </w:tcPr>
          <w:p>
            <w:pPr>
              <w:pStyle w:val="24"/>
            </w:pPr>
            <w:r>
              <w:t>昼间</w:t>
            </w:r>
          </w:p>
        </w:tc>
        <w:tc>
          <w:tcPr>
            <w:tcW w:w="1450" w:type="dxa"/>
            <w:tcBorders>
              <w:top w:val="single" w:color="auto" w:sz="2" w:space="0"/>
            </w:tcBorders>
            <w:tcMar>
              <w:left w:w="0" w:type="dxa"/>
              <w:right w:w="0" w:type="dxa"/>
            </w:tcMar>
            <w:vAlign w:val="center"/>
          </w:tcPr>
          <w:p>
            <w:pPr>
              <w:pStyle w:val="24"/>
            </w:pPr>
            <w:r>
              <w:t>≤60dB</w:t>
            </w:r>
          </w:p>
        </w:tc>
        <w:tc>
          <w:tcPr>
            <w:tcW w:w="3232" w:type="dxa"/>
            <w:vMerge w:val="restart"/>
            <w:tcMar>
              <w:left w:w="0" w:type="dxa"/>
              <w:right w:w="0" w:type="dxa"/>
            </w:tcMar>
            <w:vAlign w:val="center"/>
          </w:tcPr>
          <w:p>
            <w:pPr>
              <w:pStyle w:val="24"/>
            </w:pPr>
            <w:r>
              <w:t>《声环境质量标准》（GB3096-2008）2类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1" w:hRule="atLeast"/>
          <w:jc w:val="center"/>
        </w:trPr>
        <w:tc>
          <w:tcPr>
            <w:tcW w:w="706" w:type="dxa"/>
            <w:vMerge w:val="continue"/>
            <w:tcBorders>
              <w:right w:val="single" w:color="auto" w:sz="2" w:space="0"/>
            </w:tcBorders>
            <w:tcMar>
              <w:left w:w="0" w:type="dxa"/>
              <w:right w:w="0" w:type="dxa"/>
            </w:tcMar>
            <w:vAlign w:val="center"/>
          </w:tcPr>
          <w:p>
            <w:pPr>
              <w:pStyle w:val="24"/>
            </w:pPr>
          </w:p>
        </w:tc>
        <w:tc>
          <w:tcPr>
            <w:tcW w:w="1709" w:type="dxa"/>
            <w:vMerge w:val="continue"/>
            <w:tcBorders>
              <w:left w:val="single" w:color="auto" w:sz="2" w:space="0"/>
            </w:tcBorders>
            <w:vAlign w:val="center"/>
          </w:tcPr>
          <w:p>
            <w:pPr>
              <w:pStyle w:val="24"/>
            </w:pPr>
          </w:p>
        </w:tc>
        <w:tc>
          <w:tcPr>
            <w:tcW w:w="1206" w:type="dxa"/>
            <w:tcBorders>
              <w:top w:val="single" w:color="auto" w:sz="2" w:space="0"/>
              <w:bottom w:val="single" w:color="auto" w:sz="2" w:space="0"/>
            </w:tcBorders>
            <w:tcMar>
              <w:left w:w="0" w:type="dxa"/>
              <w:right w:w="0" w:type="dxa"/>
            </w:tcMar>
            <w:vAlign w:val="center"/>
          </w:tcPr>
          <w:p>
            <w:pPr>
              <w:pStyle w:val="24"/>
            </w:pPr>
            <w:r>
              <w:t>夜间</w:t>
            </w:r>
          </w:p>
        </w:tc>
        <w:tc>
          <w:tcPr>
            <w:tcW w:w="1450" w:type="dxa"/>
            <w:tcBorders>
              <w:top w:val="single" w:color="auto" w:sz="2" w:space="0"/>
              <w:bottom w:val="single" w:color="auto" w:sz="2" w:space="0"/>
            </w:tcBorders>
            <w:tcMar>
              <w:left w:w="0" w:type="dxa"/>
              <w:right w:w="0" w:type="dxa"/>
            </w:tcMar>
            <w:vAlign w:val="center"/>
          </w:tcPr>
          <w:p>
            <w:pPr>
              <w:pStyle w:val="24"/>
            </w:pPr>
            <w:r>
              <w:t>≤50dB</w:t>
            </w:r>
          </w:p>
        </w:tc>
        <w:tc>
          <w:tcPr>
            <w:tcW w:w="3232" w:type="dxa"/>
            <w:vMerge w:val="continue"/>
            <w:tcMar>
              <w:left w:w="0" w:type="dxa"/>
              <w:right w:w="0" w:type="dxa"/>
            </w:tcMar>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06" w:type="dxa"/>
            <w:tcBorders>
              <w:right w:val="single" w:color="auto" w:sz="2" w:space="0"/>
            </w:tcBorders>
            <w:tcMar>
              <w:left w:w="0" w:type="dxa"/>
              <w:right w:w="0" w:type="dxa"/>
            </w:tcMar>
            <w:vAlign w:val="center"/>
          </w:tcPr>
          <w:p>
            <w:pPr>
              <w:pStyle w:val="24"/>
              <w:rPr>
                <w:rFonts w:hint="eastAsia" w:eastAsia="宋体"/>
                <w:lang w:eastAsia="zh-CN"/>
              </w:rPr>
            </w:pPr>
            <w:r>
              <w:rPr>
                <w:rFonts w:hint="eastAsia"/>
                <w:lang w:eastAsia="zh-CN"/>
              </w:rPr>
              <w:t>海水</w:t>
            </w:r>
          </w:p>
        </w:tc>
        <w:tc>
          <w:tcPr>
            <w:tcW w:w="4365" w:type="dxa"/>
            <w:gridSpan w:val="3"/>
            <w:tcBorders>
              <w:left w:val="single" w:color="auto" w:sz="2" w:space="0"/>
            </w:tcBorders>
            <w:vAlign w:val="center"/>
          </w:tcPr>
          <w:p>
            <w:pPr>
              <w:pStyle w:val="24"/>
            </w:pPr>
            <w:r>
              <w:rPr>
                <w:lang w:val="en-US" w:eastAsia="zh-CN"/>
              </w:rPr>
              <w:t>pH、盐度、化学需氧量、溶解氧、悬浮物、无机氮(硝酸盐、亚硝酸盐、氨氮)、活性磷酸盐、铜、铅、镉、锌、六价铬、总铬、汞、砷、镍、石油类、硫化物、挥发酚、苯、甲苯、二甲苯、苯乙烯</w:t>
            </w:r>
          </w:p>
        </w:tc>
        <w:tc>
          <w:tcPr>
            <w:tcW w:w="3232" w:type="dxa"/>
            <w:tcMar>
              <w:left w:w="0" w:type="dxa"/>
              <w:right w:w="0" w:type="dxa"/>
            </w:tcMar>
            <w:vAlign w:val="center"/>
          </w:tcPr>
          <w:p>
            <w:pPr>
              <w:pStyle w:val="24"/>
            </w:pPr>
            <w:r>
              <w:rPr>
                <w:rFonts w:hint="eastAsia"/>
              </w:rPr>
              <w:t>《海水水质标准》</w:t>
            </w:r>
            <w:r>
              <w:rPr>
                <w:rFonts w:hint="eastAsia"/>
                <w:lang w:eastAsia="zh-CN"/>
              </w:rPr>
              <w:t>（GB3097-1997）</w:t>
            </w:r>
            <w:r>
              <w:rPr>
                <w:rFonts w:hint="eastAsia"/>
              </w:rPr>
              <w:t>中三类标准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1" w:hRule="atLeast"/>
          <w:jc w:val="center"/>
        </w:trPr>
        <w:tc>
          <w:tcPr>
            <w:tcW w:w="706" w:type="dxa"/>
            <w:tcBorders>
              <w:right w:val="single" w:color="auto" w:sz="2" w:space="0"/>
            </w:tcBorders>
            <w:tcMar>
              <w:left w:w="0" w:type="dxa"/>
              <w:right w:w="0" w:type="dxa"/>
            </w:tcMar>
            <w:vAlign w:val="center"/>
          </w:tcPr>
          <w:p>
            <w:pPr>
              <w:pStyle w:val="24"/>
              <w:rPr>
                <w:rFonts w:hint="eastAsia" w:eastAsia="宋体"/>
                <w:lang w:eastAsia="zh-CN"/>
              </w:rPr>
            </w:pPr>
            <w:r>
              <w:rPr>
                <w:rFonts w:hint="eastAsia"/>
                <w:lang w:eastAsia="zh-CN"/>
              </w:rPr>
              <w:t>沉积物</w:t>
            </w:r>
          </w:p>
        </w:tc>
        <w:tc>
          <w:tcPr>
            <w:tcW w:w="4365" w:type="dxa"/>
            <w:gridSpan w:val="3"/>
            <w:tcBorders>
              <w:left w:val="single" w:color="auto" w:sz="2" w:space="0"/>
            </w:tcBorders>
            <w:vAlign w:val="center"/>
          </w:tcPr>
          <w:p>
            <w:pPr>
              <w:pStyle w:val="24"/>
            </w:pPr>
            <w:r>
              <w:rPr>
                <w:rFonts w:hint="default"/>
                <w:lang w:val="en-US" w:eastAsia="zh-CN"/>
              </w:rPr>
              <w:t>汞、镉、铅、锌、铜、铬、砷、有机碳、硫化物、石油类</w:t>
            </w:r>
          </w:p>
        </w:tc>
        <w:tc>
          <w:tcPr>
            <w:tcW w:w="3232" w:type="dxa"/>
            <w:tcMar>
              <w:left w:w="0" w:type="dxa"/>
              <w:right w:w="0" w:type="dxa"/>
            </w:tcMar>
            <w:vAlign w:val="center"/>
          </w:tcPr>
          <w:p>
            <w:pPr>
              <w:pStyle w:val="24"/>
            </w:pPr>
            <w:r>
              <w:rPr>
                <w:rFonts w:hint="eastAsia"/>
              </w:rPr>
              <w:t>《</w:t>
            </w:r>
            <w:r>
              <w:t>海洋沉积物质量</w:t>
            </w:r>
            <w:r>
              <w:rPr>
                <w:rFonts w:hint="eastAsia"/>
              </w:rPr>
              <w:t>》</w:t>
            </w:r>
            <w:r>
              <w:rPr>
                <w:rFonts w:hint="eastAsia"/>
                <w:lang w:eastAsia="zh-CN"/>
              </w:rPr>
              <w:t>（GB18668-2002）</w:t>
            </w:r>
            <w:r>
              <w:rPr>
                <w:rFonts w:hint="eastAsia"/>
              </w:rPr>
              <w:t>中第</w:t>
            </w:r>
            <w:r>
              <w:rPr>
                <w:rFonts w:hint="eastAsia"/>
                <w:lang w:eastAsia="zh-CN"/>
              </w:rPr>
              <w:t>二</w:t>
            </w:r>
            <w:r>
              <w:rPr>
                <w:rFonts w:hint="eastAsia"/>
              </w:rPr>
              <w:t>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1" w:hRule="atLeast"/>
          <w:jc w:val="center"/>
        </w:trPr>
        <w:tc>
          <w:tcPr>
            <w:tcW w:w="706" w:type="dxa"/>
            <w:tcBorders>
              <w:right w:val="single" w:color="auto" w:sz="2" w:space="0"/>
            </w:tcBorders>
            <w:tcMar>
              <w:left w:w="0" w:type="dxa"/>
              <w:right w:w="0" w:type="dxa"/>
            </w:tcMar>
            <w:vAlign w:val="center"/>
          </w:tcPr>
          <w:p>
            <w:pPr>
              <w:pStyle w:val="24"/>
              <w:rPr>
                <w:rFonts w:hint="eastAsia"/>
                <w:lang w:val="en-US" w:eastAsia="zh-CN"/>
              </w:rPr>
            </w:pPr>
            <w:r>
              <w:rPr>
                <w:rFonts w:hint="eastAsia"/>
                <w:lang w:val="en-US" w:eastAsia="zh-CN"/>
              </w:rPr>
              <w:t>生物</w:t>
            </w:r>
          </w:p>
          <w:p>
            <w:pPr>
              <w:pStyle w:val="24"/>
              <w:rPr>
                <w:rFonts w:hint="default"/>
                <w:lang w:val="en-US" w:eastAsia="zh-CN"/>
              </w:rPr>
            </w:pPr>
            <w:r>
              <w:rPr>
                <w:rFonts w:hint="eastAsia"/>
                <w:lang w:val="en-US" w:eastAsia="zh-CN"/>
              </w:rPr>
              <w:t>质量</w:t>
            </w:r>
          </w:p>
        </w:tc>
        <w:tc>
          <w:tcPr>
            <w:tcW w:w="4365" w:type="dxa"/>
            <w:gridSpan w:val="3"/>
            <w:tcBorders>
              <w:left w:val="single" w:color="auto" w:sz="2" w:space="0"/>
            </w:tcBorders>
            <w:vAlign w:val="center"/>
          </w:tcPr>
          <w:p>
            <w:pPr>
              <w:pStyle w:val="24"/>
              <w:rPr>
                <w:rFonts w:hint="default"/>
                <w:lang w:val="en-US" w:eastAsia="zh-CN"/>
              </w:rPr>
            </w:pPr>
            <w:r>
              <w:rPr>
                <w:rFonts w:hint="eastAsia"/>
                <w:lang w:val="en-US" w:eastAsia="zh-CN"/>
              </w:rPr>
              <w:t>总汞、镉、铅、铬、砷、铜、锌、石油烃</w:t>
            </w:r>
          </w:p>
        </w:tc>
        <w:tc>
          <w:tcPr>
            <w:tcW w:w="3232" w:type="dxa"/>
            <w:tcMar>
              <w:left w:w="0" w:type="dxa"/>
              <w:right w:w="0" w:type="dxa"/>
            </w:tcMar>
            <w:vAlign w:val="center"/>
          </w:tcPr>
          <w:p>
            <w:pPr>
              <w:pStyle w:val="24"/>
              <w:rPr>
                <w:rFonts w:hint="eastAsia"/>
              </w:rPr>
            </w:pPr>
            <w:r>
              <w:rPr>
                <w:rFonts w:hint="eastAsia"/>
              </w:rPr>
              <w:t>《</w:t>
            </w:r>
            <w:r>
              <w:t>海洋</w:t>
            </w:r>
            <w:r>
              <w:rPr>
                <w:rFonts w:hint="eastAsia"/>
                <w:lang w:val="en-US" w:eastAsia="zh-CN"/>
              </w:rPr>
              <w:t>生物</w:t>
            </w:r>
            <w:r>
              <w:t>质量</w:t>
            </w:r>
            <w:r>
              <w:rPr>
                <w:rFonts w:hint="eastAsia"/>
              </w:rPr>
              <w:t>》</w:t>
            </w:r>
            <w:r>
              <w:rPr>
                <w:rFonts w:hint="eastAsia"/>
                <w:lang w:eastAsia="zh-CN"/>
              </w:rPr>
              <w:t>（GB18</w:t>
            </w:r>
            <w:r>
              <w:rPr>
                <w:rFonts w:hint="eastAsia"/>
                <w:lang w:val="en-US" w:eastAsia="zh-CN"/>
              </w:rPr>
              <w:t>421</w:t>
            </w:r>
            <w:r>
              <w:rPr>
                <w:rFonts w:hint="eastAsia"/>
                <w:lang w:eastAsia="zh-CN"/>
              </w:rPr>
              <w:t>-200</w:t>
            </w:r>
            <w:r>
              <w:rPr>
                <w:rFonts w:hint="eastAsia"/>
                <w:lang w:val="en-US" w:eastAsia="zh-CN"/>
              </w:rPr>
              <w:t>1</w:t>
            </w:r>
            <w:r>
              <w:rPr>
                <w:rFonts w:hint="eastAsia"/>
                <w:lang w:eastAsia="zh-CN"/>
              </w:rPr>
              <w:t>）</w:t>
            </w:r>
            <w:r>
              <w:rPr>
                <w:rFonts w:hint="eastAsia"/>
              </w:rPr>
              <w:t>中第</w:t>
            </w:r>
            <w:r>
              <w:rPr>
                <w:rFonts w:hint="eastAsia"/>
                <w:lang w:eastAsia="zh-CN"/>
              </w:rPr>
              <w:t>二</w:t>
            </w:r>
            <w:r>
              <w:rPr>
                <w:rFonts w:hint="eastAsia"/>
              </w:rPr>
              <w:t>类标准</w:t>
            </w:r>
          </w:p>
        </w:tc>
      </w:tr>
    </w:tbl>
    <w:p>
      <w:pPr>
        <w:pStyle w:val="3"/>
        <w:tabs>
          <w:tab w:val="left" w:pos="1960"/>
        </w:tabs>
        <w:rPr>
          <w:sz w:val="30"/>
          <w:szCs w:val="30"/>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1"/>
        <w:numPr>
          <w:ilvl w:val="0"/>
          <w:numId w:val="0"/>
        </w:numPr>
        <w:tabs>
          <w:tab w:val="clear" w:pos="425"/>
        </w:tabs>
        <w:spacing w:before="156" w:after="156"/>
      </w:pPr>
      <w:bookmarkStart w:id="171" w:name="_Toc13261"/>
      <w:r>
        <w:rPr>
          <w:rFonts w:hint="eastAsia"/>
        </w:rPr>
        <w:t>7</w:t>
      </w:r>
      <w:r>
        <w:t xml:space="preserve">. </w:t>
      </w:r>
      <w:r>
        <w:rPr>
          <w:rFonts w:hint="eastAsia"/>
        </w:rPr>
        <w:t>验收</w:t>
      </w:r>
      <w:r>
        <w:t>监测内容</w:t>
      </w:r>
      <w:bookmarkEnd w:id="171"/>
    </w:p>
    <w:p>
      <w:pPr>
        <w:spacing w:line="360" w:lineRule="auto"/>
        <w:ind w:firstLine="480" w:firstLineChars="200"/>
        <w:jc w:val="left"/>
        <w:rPr>
          <w:rFonts w:ascii="Times New Roman" w:hAnsi="Times New Roman"/>
          <w:bCs/>
          <w:sz w:val="24"/>
          <w:szCs w:val="24"/>
        </w:rPr>
      </w:pPr>
      <w:r>
        <w:rPr>
          <w:rFonts w:ascii="Times New Roman" w:hAnsi="Times New Roman"/>
          <w:bCs/>
          <w:sz w:val="24"/>
          <w:szCs w:val="24"/>
        </w:rPr>
        <w:t>监测内容及频次见表7.1.1，监测点位见</w:t>
      </w:r>
      <w:r>
        <w:rPr>
          <w:rFonts w:hint="eastAsia" w:ascii="Times New Roman" w:hAnsi="Times New Roman"/>
          <w:bCs/>
          <w:sz w:val="24"/>
          <w:szCs w:val="24"/>
          <w:lang w:eastAsia="zh-CN"/>
        </w:rPr>
        <w:t>图</w:t>
      </w:r>
      <w:r>
        <w:rPr>
          <w:rFonts w:ascii="Times New Roman" w:hAnsi="Times New Roman"/>
          <w:bCs/>
          <w:sz w:val="24"/>
          <w:szCs w:val="24"/>
        </w:rPr>
        <w:t>7.1-1</w:t>
      </w:r>
      <w:r>
        <w:rPr>
          <w:rFonts w:hint="eastAsia" w:ascii="Times New Roman" w:hAnsi="Times New Roman"/>
          <w:bCs/>
          <w:sz w:val="24"/>
          <w:szCs w:val="24"/>
          <w:lang w:val="en-US" w:eastAsia="zh-CN"/>
        </w:rPr>
        <w:t>~7.1-2</w:t>
      </w:r>
      <w:r>
        <w:rPr>
          <w:rFonts w:ascii="Times New Roman" w:hAnsi="Times New Roman"/>
          <w:bCs/>
          <w:sz w:val="24"/>
          <w:szCs w:val="24"/>
        </w:rPr>
        <w:t>。</w:t>
      </w:r>
    </w:p>
    <w:p>
      <w:pPr>
        <w:pStyle w:val="23"/>
      </w:pPr>
      <w:bookmarkStart w:id="172" w:name="_Ref494480935"/>
      <w:r>
        <w:t>表</w:t>
      </w:r>
      <w:bookmarkEnd w:id="172"/>
      <w:r>
        <w:t>7.1</w:t>
      </w:r>
      <w:r>
        <w:rPr>
          <w:rFonts w:hint="eastAsia"/>
        </w:rPr>
        <w:t>.</w:t>
      </w:r>
      <w:r>
        <w:t>1 本项目自主验收环境监测内容一览表</w:t>
      </w:r>
    </w:p>
    <w:tbl>
      <w:tblPr>
        <w:tblStyle w:val="14"/>
        <w:tblW w:w="1335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744"/>
        <w:gridCol w:w="2845"/>
        <w:gridCol w:w="740"/>
        <w:gridCol w:w="2284"/>
        <w:gridCol w:w="3777"/>
        <w:gridCol w:w="1563"/>
        <w:gridCol w:w="14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tblHeader/>
          <w:jc w:val="center"/>
        </w:trPr>
        <w:tc>
          <w:tcPr>
            <w:tcW w:w="744" w:type="dxa"/>
            <w:tcBorders>
              <w:tl2br w:val="nil"/>
              <w:tr2bl w:val="nil"/>
            </w:tcBorders>
            <w:vAlign w:val="center"/>
          </w:tcPr>
          <w:p>
            <w:pPr>
              <w:pStyle w:val="24"/>
            </w:pPr>
            <w:r>
              <w:t>序号</w:t>
            </w:r>
          </w:p>
        </w:tc>
        <w:tc>
          <w:tcPr>
            <w:tcW w:w="2845" w:type="dxa"/>
            <w:tcBorders>
              <w:tl2br w:val="nil"/>
              <w:tr2bl w:val="nil"/>
            </w:tcBorders>
            <w:vAlign w:val="center"/>
          </w:tcPr>
          <w:p>
            <w:pPr>
              <w:pStyle w:val="24"/>
            </w:pPr>
            <w:r>
              <w:t>设施名称</w:t>
            </w:r>
          </w:p>
        </w:tc>
        <w:tc>
          <w:tcPr>
            <w:tcW w:w="740" w:type="dxa"/>
            <w:tcBorders>
              <w:tl2br w:val="nil"/>
              <w:tr2bl w:val="nil"/>
            </w:tcBorders>
            <w:vAlign w:val="center"/>
          </w:tcPr>
          <w:p>
            <w:pPr>
              <w:pStyle w:val="24"/>
            </w:pPr>
            <w:r>
              <w:t>数量</w:t>
            </w:r>
          </w:p>
        </w:tc>
        <w:tc>
          <w:tcPr>
            <w:tcW w:w="2284" w:type="dxa"/>
            <w:tcBorders>
              <w:tl2br w:val="nil"/>
              <w:tr2bl w:val="nil"/>
            </w:tcBorders>
            <w:vAlign w:val="center"/>
          </w:tcPr>
          <w:p>
            <w:pPr>
              <w:pStyle w:val="24"/>
            </w:pPr>
            <w:r>
              <w:t>监测位置</w:t>
            </w:r>
          </w:p>
        </w:tc>
        <w:tc>
          <w:tcPr>
            <w:tcW w:w="3777" w:type="dxa"/>
            <w:tcBorders>
              <w:tl2br w:val="nil"/>
              <w:tr2bl w:val="nil"/>
            </w:tcBorders>
            <w:vAlign w:val="center"/>
          </w:tcPr>
          <w:p>
            <w:pPr>
              <w:pStyle w:val="24"/>
            </w:pPr>
            <w:r>
              <w:t>监测因子</w:t>
            </w:r>
          </w:p>
        </w:tc>
        <w:tc>
          <w:tcPr>
            <w:tcW w:w="1563" w:type="dxa"/>
            <w:tcBorders>
              <w:tl2br w:val="nil"/>
              <w:tr2bl w:val="nil"/>
            </w:tcBorders>
            <w:vAlign w:val="center"/>
          </w:tcPr>
          <w:p>
            <w:pPr>
              <w:pStyle w:val="24"/>
            </w:pPr>
            <w:r>
              <w:t>监测频次</w:t>
            </w:r>
          </w:p>
        </w:tc>
        <w:tc>
          <w:tcPr>
            <w:tcW w:w="1402" w:type="dxa"/>
            <w:tcBorders>
              <w:tl2br w:val="nil"/>
              <w:tr2bl w:val="nil"/>
            </w:tcBorders>
            <w:vAlign w:val="center"/>
          </w:tcPr>
          <w:p>
            <w:pPr>
              <w:pStyle w:val="24"/>
            </w:pPr>
            <w: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13355" w:type="dxa"/>
            <w:gridSpan w:val="7"/>
            <w:tcBorders>
              <w:tl2br w:val="nil"/>
              <w:tr2bl w:val="nil"/>
            </w:tcBorders>
            <w:vAlign w:val="center"/>
          </w:tcPr>
          <w:p>
            <w:pPr>
              <w:pStyle w:val="24"/>
              <w:jc w:val="left"/>
            </w:pPr>
            <w:r>
              <w:t>一、空气</w:t>
            </w:r>
            <w:r>
              <w:rPr>
                <w:rFonts w:hint="eastAsia"/>
                <w:lang w:eastAsia="zh-CN"/>
              </w:rPr>
              <w:t>和</w:t>
            </w:r>
            <w: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1</w:t>
            </w:r>
          </w:p>
        </w:tc>
        <w:tc>
          <w:tcPr>
            <w:tcW w:w="2845" w:type="dxa"/>
            <w:tcBorders>
              <w:tl2br w:val="nil"/>
              <w:tr2bl w:val="nil"/>
            </w:tcBorders>
            <w:vAlign w:val="center"/>
          </w:tcPr>
          <w:p>
            <w:pPr>
              <w:pStyle w:val="24"/>
            </w:pPr>
            <w:r>
              <w:t>油气回收装置1</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pPr>
            <w:r>
              <w:t>进、出口</w:t>
            </w:r>
          </w:p>
        </w:tc>
        <w:tc>
          <w:tcPr>
            <w:tcW w:w="3777" w:type="dxa"/>
            <w:tcBorders>
              <w:tl2br w:val="nil"/>
              <w:tr2bl w:val="nil"/>
            </w:tcBorders>
            <w:vAlign w:val="center"/>
          </w:tcPr>
          <w:p>
            <w:pPr>
              <w:pStyle w:val="24"/>
            </w:pPr>
            <w:r>
              <w:t>风量、NMHC</w:t>
            </w:r>
          </w:p>
        </w:tc>
        <w:tc>
          <w:tcPr>
            <w:tcW w:w="1563" w:type="dxa"/>
            <w:tcBorders>
              <w:tl2br w:val="nil"/>
              <w:tr2bl w:val="nil"/>
            </w:tcBorders>
            <w:vAlign w:val="center"/>
          </w:tcPr>
          <w:p>
            <w:pPr>
              <w:pStyle w:val="24"/>
            </w:pPr>
            <w:r>
              <w:t>3样/天×2天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2</w:t>
            </w:r>
          </w:p>
        </w:tc>
        <w:tc>
          <w:tcPr>
            <w:tcW w:w="2845" w:type="dxa"/>
            <w:tcBorders>
              <w:tl2br w:val="nil"/>
              <w:tr2bl w:val="nil"/>
            </w:tcBorders>
            <w:vAlign w:val="center"/>
          </w:tcPr>
          <w:p>
            <w:pPr>
              <w:pStyle w:val="24"/>
            </w:pPr>
            <w:r>
              <w:t>废气净化装置2</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pPr>
            <w:r>
              <w:t>进、出口</w:t>
            </w:r>
          </w:p>
        </w:tc>
        <w:tc>
          <w:tcPr>
            <w:tcW w:w="3777" w:type="dxa"/>
            <w:tcBorders>
              <w:tl2br w:val="nil"/>
              <w:tr2bl w:val="nil"/>
            </w:tcBorders>
            <w:vAlign w:val="center"/>
          </w:tcPr>
          <w:p>
            <w:pPr>
              <w:pStyle w:val="24"/>
              <w:rPr>
                <w:rFonts w:hint="eastAsia" w:eastAsia="宋体"/>
                <w:lang w:eastAsia="zh-CN"/>
              </w:rPr>
            </w:pPr>
            <w:r>
              <w:t>风量、NMHC</w:t>
            </w:r>
            <w:r>
              <w:rPr>
                <w:rFonts w:hint="eastAsia"/>
                <w:lang w:eastAsia="zh-CN"/>
              </w:rPr>
              <w:t>、苯</w:t>
            </w:r>
          </w:p>
        </w:tc>
        <w:tc>
          <w:tcPr>
            <w:tcW w:w="1563" w:type="dxa"/>
            <w:tcBorders>
              <w:tl2br w:val="nil"/>
              <w:tr2bl w:val="nil"/>
            </w:tcBorders>
            <w:vAlign w:val="center"/>
          </w:tcPr>
          <w:p>
            <w:pPr>
              <w:pStyle w:val="24"/>
            </w:pPr>
            <w:r>
              <w:t>3样/天×2天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3</w:t>
            </w:r>
          </w:p>
        </w:tc>
        <w:tc>
          <w:tcPr>
            <w:tcW w:w="2845" w:type="dxa"/>
            <w:tcBorders>
              <w:tl2br w:val="nil"/>
              <w:tr2bl w:val="nil"/>
            </w:tcBorders>
            <w:vAlign w:val="center"/>
          </w:tcPr>
          <w:p>
            <w:pPr>
              <w:pStyle w:val="24"/>
            </w:pPr>
            <w:r>
              <w:t>水喷淋装置</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pPr>
            <w:r>
              <w:t>进、出口</w:t>
            </w:r>
          </w:p>
        </w:tc>
        <w:tc>
          <w:tcPr>
            <w:tcW w:w="3777" w:type="dxa"/>
            <w:tcBorders>
              <w:tl2br w:val="nil"/>
              <w:tr2bl w:val="nil"/>
            </w:tcBorders>
            <w:vAlign w:val="center"/>
          </w:tcPr>
          <w:p>
            <w:pPr>
              <w:pStyle w:val="24"/>
            </w:pPr>
            <w:r>
              <w:t>风量、NMHC</w:t>
            </w:r>
          </w:p>
        </w:tc>
        <w:tc>
          <w:tcPr>
            <w:tcW w:w="1563" w:type="dxa"/>
            <w:tcBorders>
              <w:tl2br w:val="nil"/>
              <w:tr2bl w:val="nil"/>
            </w:tcBorders>
            <w:vAlign w:val="center"/>
          </w:tcPr>
          <w:p>
            <w:pPr>
              <w:pStyle w:val="24"/>
            </w:pPr>
            <w:r>
              <w:t>3样/天×2天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4</w:t>
            </w:r>
          </w:p>
        </w:tc>
        <w:tc>
          <w:tcPr>
            <w:tcW w:w="2845" w:type="dxa"/>
            <w:tcBorders>
              <w:tl2br w:val="nil"/>
              <w:tr2bl w:val="nil"/>
            </w:tcBorders>
            <w:vAlign w:val="center"/>
          </w:tcPr>
          <w:p>
            <w:pPr>
              <w:pStyle w:val="24"/>
            </w:pPr>
            <w:r>
              <w:rPr>
                <w:lang w:val="en-GB"/>
              </w:rPr>
              <w:t>污水站和危废间</w:t>
            </w:r>
            <w:r>
              <w:rPr>
                <w:rFonts w:hint="eastAsia"/>
                <w:lang w:val="en-GB" w:eastAsia="zh-CN"/>
              </w:rPr>
              <w:t>废气处理设施</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pPr>
            <w:r>
              <w:t>出口</w:t>
            </w:r>
          </w:p>
        </w:tc>
        <w:tc>
          <w:tcPr>
            <w:tcW w:w="3777" w:type="dxa"/>
            <w:tcBorders>
              <w:tl2br w:val="nil"/>
              <w:tr2bl w:val="nil"/>
            </w:tcBorders>
            <w:vAlign w:val="center"/>
          </w:tcPr>
          <w:p>
            <w:pPr>
              <w:pStyle w:val="24"/>
            </w:pPr>
            <w:r>
              <w:t>风量、NMHC、氨、硫化氢、臭气浓度</w:t>
            </w:r>
          </w:p>
        </w:tc>
        <w:tc>
          <w:tcPr>
            <w:tcW w:w="1563" w:type="dxa"/>
            <w:tcBorders>
              <w:tl2br w:val="nil"/>
              <w:tr2bl w:val="nil"/>
            </w:tcBorders>
            <w:vAlign w:val="center"/>
          </w:tcPr>
          <w:p>
            <w:pPr>
              <w:pStyle w:val="24"/>
            </w:pPr>
            <w:r>
              <w:t>3样/天×2天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5</w:t>
            </w:r>
          </w:p>
        </w:tc>
        <w:tc>
          <w:tcPr>
            <w:tcW w:w="2845" w:type="dxa"/>
            <w:tcBorders>
              <w:tl2br w:val="nil"/>
              <w:tr2bl w:val="nil"/>
            </w:tcBorders>
            <w:vAlign w:val="center"/>
          </w:tcPr>
          <w:p>
            <w:pPr>
              <w:pStyle w:val="24"/>
            </w:pPr>
            <w:r>
              <w:t>装置区边界</w:t>
            </w:r>
          </w:p>
        </w:tc>
        <w:tc>
          <w:tcPr>
            <w:tcW w:w="740" w:type="dxa"/>
            <w:tcBorders>
              <w:tl2br w:val="nil"/>
              <w:tr2bl w:val="nil"/>
            </w:tcBorders>
            <w:vAlign w:val="center"/>
          </w:tcPr>
          <w:p>
            <w:pPr>
              <w:pStyle w:val="24"/>
            </w:pPr>
            <w:r>
              <w:t>6</w:t>
            </w:r>
          </w:p>
        </w:tc>
        <w:tc>
          <w:tcPr>
            <w:tcW w:w="2284" w:type="dxa"/>
            <w:tcBorders>
              <w:tl2br w:val="nil"/>
              <w:tr2bl w:val="nil"/>
            </w:tcBorders>
            <w:vAlign w:val="center"/>
          </w:tcPr>
          <w:p>
            <w:pPr>
              <w:pStyle w:val="24"/>
              <w:rPr>
                <w:rFonts w:hint="eastAsia" w:eastAsia="宋体"/>
                <w:lang w:eastAsia="zh-CN"/>
              </w:rPr>
            </w:pPr>
            <w:r>
              <w:rPr>
                <w:rFonts w:hint="eastAsia"/>
                <w:lang w:val="en-US" w:eastAsia="zh-CN"/>
              </w:rPr>
              <w:t>库区装车台</w:t>
            </w:r>
            <w:r>
              <w:t>下风向3个点</w:t>
            </w:r>
            <w:r>
              <w:rPr>
                <w:rFonts w:hint="eastAsia"/>
                <w:lang w:eastAsia="zh-CN"/>
              </w:rPr>
              <w:t>、码头装卸</w:t>
            </w:r>
            <w:r>
              <w:rPr>
                <w:rFonts w:hint="eastAsia"/>
                <w:lang w:val="en-US" w:eastAsia="zh-CN"/>
              </w:rPr>
              <w:t>区</w:t>
            </w:r>
            <w:r>
              <w:rPr>
                <w:rFonts w:hint="eastAsia"/>
                <w:lang w:eastAsia="zh-CN"/>
              </w:rPr>
              <w:t>下风向3个点</w:t>
            </w:r>
          </w:p>
        </w:tc>
        <w:tc>
          <w:tcPr>
            <w:tcW w:w="3777" w:type="dxa"/>
            <w:tcBorders>
              <w:tl2br w:val="nil"/>
              <w:tr2bl w:val="nil"/>
            </w:tcBorders>
            <w:vAlign w:val="center"/>
          </w:tcPr>
          <w:p>
            <w:pPr>
              <w:pStyle w:val="24"/>
            </w:pPr>
            <w:r>
              <w:t>NMHC</w:t>
            </w:r>
          </w:p>
        </w:tc>
        <w:tc>
          <w:tcPr>
            <w:tcW w:w="1563" w:type="dxa"/>
            <w:tcBorders>
              <w:tl2br w:val="nil"/>
              <w:tr2bl w:val="nil"/>
            </w:tcBorders>
            <w:vAlign w:val="center"/>
          </w:tcPr>
          <w:p>
            <w:pPr>
              <w:pStyle w:val="24"/>
            </w:pPr>
            <w:r>
              <w:t>3样/天×2天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6</w:t>
            </w:r>
          </w:p>
        </w:tc>
        <w:tc>
          <w:tcPr>
            <w:tcW w:w="2845" w:type="dxa"/>
            <w:tcBorders>
              <w:tl2br w:val="nil"/>
              <w:tr2bl w:val="nil"/>
            </w:tcBorders>
            <w:vAlign w:val="center"/>
          </w:tcPr>
          <w:p>
            <w:pPr>
              <w:pStyle w:val="24"/>
            </w:pPr>
            <w:r>
              <w:t>无组织厂界</w:t>
            </w:r>
          </w:p>
        </w:tc>
        <w:tc>
          <w:tcPr>
            <w:tcW w:w="740" w:type="dxa"/>
            <w:tcBorders>
              <w:tl2br w:val="nil"/>
              <w:tr2bl w:val="nil"/>
            </w:tcBorders>
            <w:vAlign w:val="center"/>
          </w:tcPr>
          <w:p>
            <w:pPr>
              <w:pStyle w:val="24"/>
            </w:pPr>
            <w:r>
              <w:t>4</w:t>
            </w:r>
          </w:p>
        </w:tc>
        <w:tc>
          <w:tcPr>
            <w:tcW w:w="2284" w:type="dxa"/>
            <w:tcBorders>
              <w:tl2br w:val="nil"/>
              <w:tr2bl w:val="nil"/>
            </w:tcBorders>
            <w:vAlign w:val="center"/>
          </w:tcPr>
          <w:p>
            <w:pPr>
              <w:pStyle w:val="24"/>
            </w:pPr>
            <w:r>
              <w:t>上风向1个点，下风向3个点</w:t>
            </w:r>
          </w:p>
        </w:tc>
        <w:tc>
          <w:tcPr>
            <w:tcW w:w="3777" w:type="dxa"/>
            <w:tcBorders>
              <w:tl2br w:val="nil"/>
              <w:tr2bl w:val="nil"/>
            </w:tcBorders>
            <w:vAlign w:val="center"/>
          </w:tcPr>
          <w:p>
            <w:pPr>
              <w:pStyle w:val="24"/>
            </w:pPr>
            <w:r>
              <w:rPr>
                <w:rFonts w:hint="eastAsia"/>
                <w:lang w:eastAsia="zh-CN"/>
              </w:rPr>
              <w:t>苯、</w:t>
            </w:r>
            <w:r>
              <w:t>甲苯</w:t>
            </w:r>
            <w:r>
              <w:rPr>
                <w:rFonts w:hint="eastAsia"/>
                <w:lang w:eastAsia="zh-CN"/>
              </w:rPr>
              <w:t>、二甲苯</w:t>
            </w:r>
            <w:r>
              <w:t>、NMHC、氨、硫化氢、臭气浓度</w:t>
            </w:r>
          </w:p>
        </w:tc>
        <w:tc>
          <w:tcPr>
            <w:tcW w:w="1563" w:type="dxa"/>
            <w:tcBorders>
              <w:tl2br w:val="nil"/>
              <w:tr2bl w:val="nil"/>
            </w:tcBorders>
            <w:vAlign w:val="center"/>
          </w:tcPr>
          <w:p>
            <w:pPr>
              <w:pStyle w:val="24"/>
            </w:pPr>
            <w:r>
              <w:t>3样/天×2天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7</w:t>
            </w:r>
          </w:p>
        </w:tc>
        <w:tc>
          <w:tcPr>
            <w:tcW w:w="2845" w:type="dxa"/>
            <w:tcBorders>
              <w:tl2br w:val="nil"/>
              <w:tr2bl w:val="nil"/>
            </w:tcBorders>
            <w:vAlign w:val="center"/>
          </w:tcPr>
          <w:p>
            <w:pPr>
              <w:pStyle w:val="24"/>
            </w:pPr>
            <w:r>
              <w:t>环境空气</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pPr>
            <w:r>
              <w:t>杜厝村</w:t>
            </w:r>
          </w:p>
        </w:tc>
        <w:tc>
          <w:tcPr>
            <w:tcW w:w="3777" w:type="dxa"/>
            <w:tcBorders>
              <w:tl2br w:val="nil"/>
              <w:tr2bl w:val="nil"/>
            </w:tcBorders>
            <w:vAlign w:val="center"/>
          </w:tcPr>
          <w:p>
            <w:pPr>
              <w:pStyle w:val="24"/>
            </w:pPr>
            <w:r>
              <w:rPr>
                <w:rFonts w:hint="eastAsia"/>
                <w:lang w:eastAsia="zh-CN"/>
              </w:rPr>
              <w:t>苯、</w:t>
            </w:r>
            <w:r>
              <w:t>甲苯</w:t>
            </w:r>
            <w:r>
              <w:rPr>
                <w:rFonts w:hint="eastAsia"/>
                <w:lang w:eastAsia="zh-CN"/>
              </w:rPr>
              <w:t>、二甲苯</w:t>
            </w:r>
            <w:r>
              <w:t>、NMHC、TVOC</w:t>
            </w:r>
          </w:p>
        </w:tc>
        <w:tc>
          <w:tcPr>
            <w:tcW w:w="1563" w:type="dxa"/>
            <w:tcBorders>
              <w:tl2br w:val="nil"/>
              <w:tr2bl w:val="nil"/>
            </w:tcBorders>
            <w:vAlign w:val="center"/>
          </w:tcPr>
          <w:p>
            <w:pPr>
              <w:pStyle w:val="24"/>
            </w:pPr>
            <w:r>
              <w:t>4样/点/天×2天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13355" w:type="dxa"/>
            <w:gridSpan w:val="7"/>
            <w:tcBorders>
              <w:tl2br w:val="nil"/>
              <w:tr2bl w:val="nil"/>
            </w:tcBorders>
            <w:vAlign w:val="center"/>
          </w:tcPr>
          <w:p>
            <w:pPr>
              <w:pStyle w:val="24"/>
              <w:jc w:val="left"/>
            </w:pPr>
            <w:r>
              <w:t>二、水和废水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1</w:t>
            </w:r>
          </w:p>
        </w:tc>
        <w:tc>
          <w:tcPr>
            <w:tcW w:w="2845" w:type="dxa"/>
            <w:tcBorders>
              <w:tl2br w:val="nil"/>
              <w:tr2bl w:val="nil"/>
            </w:tcBorders>
            <w:vAlign w:val="center"/>
          </w:tcPr>
          <w:p>
            <w:pPr>
              <w:pStyle w:val="24"/>
            </w:pPr>
            <w:r>
              <w:t>化工废水处理设施进口</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rPr>
                <w:rFonts w:hint="eastAsia" w:eastAsia="宋体"/>
                <w:lang w:eastAsia="zh-CN"/>
              </w:rPr>
            </w:pPr>
            <w:r>
              <w:rPr>
                <w:rFonts w:hint="eastAsia"/>
                <w:lang w:eastAsia="zh-CN"/>
              </w:rPr>
              <w:t>化工调节池</w:t>
            </w:r>
          </w:p>
        </w:tc>
        <w:tc>
          <w:tcPr>
            <w:tcW w:w="3777" w:type="dxa"/>
            <w:tcBorders>
              <w:tl2br w:val="nil"/>
              <w:tr2bl w:val="nil"/>
            </w:tcBorders>
            <w:vAlign w:val="center"/>
          </w:tcPr>
          <w:p>
            <w:pPr>
              <w:pStyle w:val="24"/>
              <w:rPr>
                <w:rFonts w:hint="eastAsia" w:eastAsia="宋体"/>
                <w:lang w:eastAsia="zh-CN"/>
              </w:rPr>
            </w:pPr>
            <w:r>
              <w:t>pH、SS、氨氮、CODcr、BOD</w:t>
            </w:r>
            <w:r>
              <w:rPr>
                <w:vertAlign w:val="subscript"/>
              </w:rPr>
              <w:t>5</w:t>
            </w:r>
            <w:r>
              <w:t>、石油类、</w:t>
            </w:r>
            <w:r>
              <w:rPr>
                <w:rFonts w:hint="eastAsia"/>
                <w:lang w:eastAsia="zh-CN"/>
              </w:rPr>
              <w:t>苯、</w:t>
            </w:r>
            <w:r>
              <w:t>甲苯</w:t>
            </w:r>
            <w:r>
              <w:rPr>
                <w:rFonts w:hint="eastAsia"/>
                <w:lang w:eastAsia="zh-CN"/>
              </w:rPr>
              <w:t>、二甲苯</w:t>
            </w:r>
          </w:p>
        </w:tc>
        <w:tc>
          <w:tcPr>
            <w:tcW w:w="1563" w:type="dxa"/>
            <w:tcBorders>
              <w:tl2br w:val="nil"/>
              <w:tr2bl w:val="nil"/>
            </w:tcBorders>
            <w:vAlign w:val="center"/>
          </w:tcPr>
          <w:p>
            <w:pPr>
              <w:pStyle w:val="24"/>
            </w:pPr>
            <w:r>
              <w:t>4样/天×2天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2</w:t>
            </w:r>
          </w:p>
        </w:tc>
        <w:tc>
          <w:tcPr>
            <w:tcW w:w="2845" w:type="dxa"/>
            <w:tcBorders>
              <w:tl2br w:val="nil"/>
              <w:tr2bl w:val="nil"/>
            </w:tcBorders>
            <w:vAlign w:val="center"/>
          </w:tcPr>
          <w:p>
            <w:pPr>
              <w:pStyle w:val="24"/>
            </w:pPr>
            <w:r>
              <w:t>含油废水处理设施进口</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rPr>
                <w:rFonts w:hint="eastAsia" w:eastAsia="宋体"/>
                <w:lang w:eastAsia="zh-CN"/>
              </w:rPr>
            </w:pPr>
            <w:r>
              <w:rPr>
                <w:rFonts w:hint="eastAsia"/>
                <w:lang w:eastAsia="zh-CN"/>
              </w:rPr>
              <w:t>调节池</w:t>
            </w:r>
          </w:p>
        </w:tc>
        <w:tc>
          <w:tcPr>
            <w:tcW w:w="3777" w:type="dxa"/>
            <w:tcBorders>
              <w:tl2br w:val="nil"/>
              <w:tr2bl w:val="nil"/>
            </w:tcBorders>
            <w:vAlign w:val="center"/>
          </w:tcPr>
          <w:p>
            <w:pPr>
              <w:pStyle w:val="24"/>
            </w:pPr>
            <w:r>
              <w:t>pH、SS、氨氮、CODcr、BOD</w:t>
            </w:r>
            <w:r>
              <w:rPr>
                <w:vertAlign w:val="subscript"/>
              </w:rPr>
              <w:t>5</w:t>
            </w:r>
            <w:r>
              <w:t>、石油类</w:t>
            </w:r>
          </w:p>
        </w:tc>
        <w:tc>
          <w:tcPr>
            <w:tcW w:w="1563" w:type="dxa"/>
            <w:tcBorders>
              <w:tl2br w:val="nil"/>
              <w:tr2bl w:val="nil"/>
            </w:tcBorders>
            <w:vAlign w:val="center"/>
          </w:tcPr>
          <w:p>
            <w:pPr>
              <w:pStyle w:val="24"/>
            </w:pPr>
            <w:r>
              <w:t>4样/天×2天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3</w:t>
            </w:r>
          </w:p>
        </w:tc>
        <w:tc>
          <w:tcPr>
            <w:tcW w:w="2845" w:type="dxa"/>
            <w:tcBorders>
              <w:tl2br w:val="nil"/>
              <w:tr2bl w:val="nil"/>
            </w:tcBorders>
            <w:vAlign w:val="center"/>
          </w:tcPr>
          <w:p>
            <w:pPr>
              <w:pStyle w:val="24"/>
            </w:pPr>
            <w:r>
              <w:t>综合污水处理站</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pPr>
            <w:r>
              <w:t>出口</w:t>
            </w:r>
          </w:p>
        </w:tc>
        <w:tc>
          <w:tcPr>
            <w:tcW w:w="3777" w:type="dxa"/>
            <w:tcBorders>
              <w:tl2br w:val="nil"/>
              <w:tr2bl w:val="nil"/>
            </w:tcBorders>
            <w:vAlign w:val="center"/>
          </w:tcPr>
          <w:p>
            <w:pPr>
              <w:pStyle w:val="24"/>
            </w:pPr>
            <w:r>
              <w:t>pH、SS、CODcr、BOD</w:t>
            </w:r>
            <w:r>
              <w:rPr>
                <w:vertAlign w:val="subscript"/>
              </w:rPr>
              <w:t>5</w:t>
            </w:r>
            <w:r>
              <w:t>、氨氮、石油类、</w:t>
            </w:r>
            <w:r>
              <w:rPr>
                <w:rFonts w:hint="eastAsia"/>
                <w:lang w:eastAsia="zh-CN"/>
              </w:rPr>
              <w:t>苯、</w:t>
            </w:r>
            <w:r>
              <w:t>甲苯</w:t>
            </w:r>
            <w:r>
              <w:rPr>
                <w:rFonts w:hint="eastAsia"/>
                <w:lang w:eastAsia="zh-CN"/>
              </w:rPr>
              <w:t>、二甲苯</w:t>
            </w:r>
          </w:p>
        </w:tc>
        <w:tc>
          <w:tcPr>
            <w:tcW w:w="1563" w:type="dxa"/>
            <w:tcBorders>
              <w:tl2br w:val="nil"/>
              <w:tr2bl w:val="nil"/>
            </w:tcBorders>
            <w:vAlign w:val="center"/>
          </w:tcPr>
          <w:p>
            <w:pPr>
              <w:pStyle w:val="24"/>
            </w:pPr>
            <w:r>
              <w:t>4样/天×2天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13355" w:type="dxa"/>
            <w:gridSpan w:val="7"/>
            <w:tcBorders>
              <w:tl2br w:val="nil"/>
              <w:tr2bl w:val="nil"/>
            </w:tcBorders>
            <w:vAlign w:val="center"/>
          </w:tcPr>
          <w:p>
            <w:pPr>
              <w:pStyle w:val="24"/>
              <w:jc w:val="left"/>
            </w:pPr>
            <w:r>
              <w:t>三、土壤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1</w:t>
            </w:r>
          </w:p>
        </w:tc>
        <w:tc>
          <w:tcPr>
            <w:tcW w:w="2845" w:type="dxa"/>
            <w:tcBorders>
              <w:tl2br w:val="nil"/>
              <w:tr2bl w:val="nil"/>
            </w:tcBorders>
            <w:vAlign w:val="center"/>
          </w:tcPr>
          <w:p>
            <w:pPr>
              <w:pStyle w:val="24"/>
            </w:pPr>
            <w:r>
              <w:t>厂区内</w:t>
            </w:r>
          </w:p>
        </w:tc>
        <w:tc>
          <w:tcPr>
            <w:tcW w:w="740" w:type="dxa"/>
            <w:tcBorders>
              <w:tl2br w:val="nil"/>
              <w:tr2bl w:val="nil"/>
            </w:tcBorders>
            <w:vAlign w:val="center"/>
          </w:tcPr>
          <w:p>
            <w:pPr>
              <w:pStyle w:val="24"/>
            </w:pPr>
            <w:r>
              <w:t>2</w:t>
            </w:r>
          </w:p>
        </w:tc>
        <w:tc>
          <w:tcPr>
            <w:tcW w:w="2284" w:type="dxa"/>
            <w:tcBorders>
              <w:tl2br w:val="nil"/>
              <w:tr2bl w:val="nil"/>
            </w:tcBorders>
            <w:vAlign w:val="center"/>
          </w:tcPr>
          <w:p>
            <w:pPr>
              <w:pStyle w:val="24"/>
            </w:pPr>
            <w:r>
              <w:rPr>
                <w:rFonts w:hint="eastAsia"/>
                <w:lang w:val="en-US" w:eastAsia="zh-CN"/>
              </w:rPr>
              <w:t>1~4#罐区（表层样）、</w:t>
            </w:r>
            <w:r>
              <w:t>5~8#罐区（表层样）、废气处理装置（表层样）</w:t>
            </w:r>
          </w:p>
        </w:tc>
        <w:tc>
          <w:tcPr>
            <w:tcW w:w="3777" w:type="dxa"/>
            <w:tcBorders>
              <w:tl2br w:val="nil"/>
              <w:tr2bl w:val="nil"/>
            </w:tcBorders>
            <w:vAlign w:val="center"/>
          </w:tcPr>
          <w:p>
            <w:pPr>
              <w:pStyle w:val="24"/>
            </w:pPr>
            <w:r>
              <w:t>建设用地45项基本项目+pH、石油烃（C</w:t>
            </w:r>
            <w:r>
              <w:rPr>
                <w:vertAlign w:val="subscript"/>
              </w:rPr>
              <w:t>10</w:t>
            </w:r>
            <w:r>
              <w:t>~C</w:t>
            </w:r>
            <w:r>
              <w:rPr>
                <w:vertAlign w:val="subscript"/>
              </w:rPr>
              <w:t>40</w:t>
            </w:r>
            <w:r>
              <w:t>）、石油烃（C</w:t>
            </w:r>
            <w:r>
              <w:rPr>
                <w:vertAlign w:val="subscript"/>
              </w:rPr>
              <w:t>6</w:t>
            </w:r>
            <w:r>
              <w:t>~C</w:t>
            </w:r>
            <w:r>
              <w:rPr>
                <w:vertAlign w:val="subscript"/>
              </w:rPr>
              <w:t>9</w:t>
            </w:r>
            <w:r>
              <w:t>）</w:t>
            </w:r>
          </w:p>
        </w:tc>
        <w:tc>
          <w:tcPr>
            <w:tcW w:w="1563" w:type="dxa"/>
            <w:tcBorders>
              <w:tl2br w:val="nil"/>
              <w:tr2bl w:val="nil"/>
            </w:tcBorders>
            <w:vAlign w:val="center"/>
          </w:tcPr>
          <w:p>
            <w:pPr>
              <w:pStyle w:val="24"/>
            </w:pPr>
            <w:r>
              <w:rPr>
                <w:rFonts w:hint="eastAsia"/>
                <w:lang w:val="en-US" w:eastAsia="zh-CN"/>
              </w:rPr>
              <w:t>1期次</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rPr>
                <w:rFonts w:hint="eastAsia"/>
              </w:rPr>
              <w:t>2</w:t>
            </w:r>
          </w:p>
        </w:tc>
        <w:tc>
          <w:tcPr>
            <w:tcW w:w="2845" w:type="dxa"/>
            <w:tcBorders>
              <w:tl2br w:val="nil"/>
              <w:tr2bl w:val="nil"/>
            </w:tcBorders>
            <w:vAlign w:val="center"/>
          </w:tcPr>
          <w:p>
            <w:pPr>
              <w:pStyle w:val="24"/>
            </w:pPr>
            <w:r>
              <w:t>杜厝村</w:t>
            </w:r>
          </w:p>
        </w:tc>
        <w:tc>
          <w:tcPr>
            <w:tcW w:w="740" w:type="dxa"/>
            <w:tcBorders>
              <w:tl2br w:val="nil"/>
              <w:tr2bl w:val="nil"/>
            </w:tcBorders>
            <w:vAlign w:val="center"/>
          </w:tcPr>
          <w:p>
            <w:pPr>
              <w:pStyle w:val="24"/>
            </w:pPr>
            <w:r>
              <w:t>1</w:t>
            </w:r>
          </w:p>
        </w:tc>
        <w:tc>
          <w:tcPr>
            <w:tcW w:w="2284" w:type="dxa"/>
            <w:tcBorders>
              <w:tl2br w:val="nil"/>
              <w:tr2bl w:val="nil"/>
            </w:tcBorders>
            <w:vAlign w:val="center"/>
          </w:tcPr>
          <w:p>
            <w:pPr>
              <w:pStyle w:val="24"/>
            </w:pPr>
            <w:r>
              <w:t>表层样</w:t>
            </w:r>
          </w:p>
        </w:tc>
        <w:tc>
          <w:tcPr>
            <w:tcW w:w="3777" w:type="dxa"/>
            <w:tcBorders>
              <w:tl2br w:val="nil"/>
              <w:tr2bl w:val="nil"/>
            </w:tcBorders>
            <w:vAlign w:val="center"/>
          </w:tcPr>
          <w:p>
            <w:pPr>
              <w:pStyle w:val="24"/>
            </w:pPr>
            <w:r>
              <w:t>pH、汞、砷、镉、铜、铅、铬、锌、镍、石油烃（C</w:t>
            </w:r>
            <w:r>
              <w:rPr>
                <w:vertAlign w:val="subscript"/>
              </w:rPr>
              <w:t>10</w:t>
            </w:r>
            <w:r>
              <w:t>~C</w:t>
            </w:r>
            <w:r>
              <w:rPr>
                <w:vertAlign w:val="subscript"/>
              </w:rPr>
              <w:t>40</w:t>
            </w:r>
            <w:r>
              <w:t>）、石油烃（C</w:t>
            </w:r>
            <w:r>
              <w:rPr>
                <w:vertAlign w:val="subscript"/>
              </w:rPr>
              <w:t>6</w:t>
            </w:r>
            <w:r>
              <w:t>~C</w:t>
            </w:r>
            <w:r>
              <w:rPr>
                <w:vertAlign w:val="subscript"/>
              </w:rPr>
              <w:t>9</w:t>
            </w:r>
            <w:r>
              <w:t>）</w:t>
            </w:r>
          </w:p>
        </w:tc>
        <w:tc>
          <w:tcPr>
            <w:tcW w:w="1563" w:type="dxa"/>
            <w:tcBorders>
              <w:tl2br w:val="nil"/>
              <w:tr2bl w:val="nil"/>
            </w:tcBorders>
            <w:vAlign w:val="center"/>
          </w:tcPr>
          <w:p>
            <w:pPr>
              <w:pStyle w:val="24"/>
            </w:pPr>
            <w:r>
              <w:rPr>
                <w:rFonts w:hint="eastAsia"/>
                <w:lang w:val="en-US" w:eastAsia="zh-CN"/>
              </w:rPr>
              <w:t>1期次</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13355" w:type="dxa"/>
            <w:gridSpan w:val="7"/>
            <w:tcBorders>
              <w:tl2br w:val="nil"/>
              <w:tr2bl w:val="nil"/>
            </w:tcBorders>
            <w:vAlign w:val="center"/>
          </w:tcPr>
          <w:p>
            <w:pPr>
              <w:pStyle w:val="24"/>
              <w:jc w:val="left"/>
            </w:pPr>
            <w:r>
              <w:t>四、噪声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pPr>
            <w:r>
              <w:t>1</w:t>
            </w:r>
          </w:p>
        </w:tc>
        <w:tc>
          <w:tcPr>
            <w:tcW w:w="2845" w:type="dxa"/>
            <w:tcBorders>
              <w:tl2br w:val="nil"/>
              <w:tr2bl w:val="nil"/>
            </w:tcBorders>
            <w:vAlign w:val="center"/>
          </w:tcPr>
          <w:p>
            <w:pPr>
              <w:pStyle w:val="24"/>
            </w:pPr>
            <w:r>
              <w:t>厂界噪声+敏感点噪声</w:t>
            </w:r>
          </w:p>
        </w:tc>
        <w:tc>
          <w:tcPr>
            <w:tcW w:w="740" w:type="dxa"/>
            <w:tcBorders>
              <w:tl2br w:val="nil"/>
              <w:tr2bl w:val="nil"/>
            </w:tcBorders>
            <w:vAlign w:val="center"/>
          </w:tcPr>
          <w:p>
            <w:pPr>
              <w:pStyle w:val="24"/>
            </w:pPr>
            <w:r>
              <w:t>9</w:t>
            </w:r>
          </w:p>
        </w:tc>
        <w:tc>
          <w:tcPr>
            <w:tcW w:w="2284" w:type="dxa"/>
            <w:tcBorders>
              <w:tl2br w:val="nil"/>
              <w:tr2bl w:val="nil"/>
            </w:tcBorders>
            <w:vAlign w:val="center"/>
          </w:tcPr>
          <w:p>
            <w:pPr>
              <w:pStyle w:val="24"/>
            </w:pPr>
            <w:r>
              <w:t>厂界四周+杜厝村</w:t>
            </w:r>
          </w:p>
        </w:tc>
        <w:tc>
          <w:tcPr>
            <w:tcW w:w="3777" w:type="dxa"/>
            <w:tcBorders>
              <w:tl2br w:val="nil"/>
              <w:tr2bl w:val="nil"/>
            </w:tcBorders>
            <w:vAlign w:val="center"/>
          </w:tcPr>
          <w:p>
            <w:pPr>
              <w:pStyle w:val="24"/>
            </w:pPr>
            <w:r>
              <w:t>L</w:t>
            </w:r>
            <w:r>
              <w:rPr>
                <w:vertAlign w:val="subscript"/>
              </w:rPr>
              <w:t>Aeq</w:t>
            </w:r>
          </w:p>
        </w:tc>
        <w:tc>
          <w:tcPr>
            <w:tcW w:w="1563" w:type="dxa"/>
            <w:tcBorders>
              <w:tl2br w:val="nil"/>
              <w:tr2bl w:val="nil"/>
            </w:tcBorders>
            <w:vAlign w:val="center"/>
          </w:tcPr>
          <w:p>
            <w:pPr>
              <w:pStyle w:val="24"/>
            </w:pPr>
            <w:r>
              <w:t>昼夜各1次</w:t>
            </w:r>
          </w:p>
          <w:p>
            <w:pPr>
              <w:pStyle w:val="24"/>
            </w:pPr>
            <w:r>
              <w:t>监测2天</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13355" w:type="dxa"/>
            <w:gridSpan w:val="7"/>
            <w:tcBorders>
              <w:tl2br w:val="nil"/>
              <w:tr2bl w:val="nil"/>
            </w:tcBorders>
            <w:vAlign w:val="center"/>
          </w:tcPr>
          <w:p>
            <w:pPr>
              <w:pStyle w:val="24"/>
              <w:jc w:val="left"/>
            </w:pPr>
            <w:r>
              <w:rPr>
                <w:rFonts w:hint="eastAsia"/>
                <w:lang w:eastAsia="zh-CN"/>
              </w:rPr>
              <w:t>五、海洋和沉积物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rPr>
                <w:rFonts w:hint="eastAsia" w:eastAsia="宋体"/>
                <w:lang w:val="en-US" w:eastAsia="zh-CN"/>
              </w:rPr>
            </w:pPr>
            <w:r>
              <w:rPr>
                <w:rFonts w:hint="eastAsia"/>
                <w:lang w:val="en-US" w:eastAsia="zh-CN"/>
              </w:rPr>
              <w:t>1</w:t>
            </w:r>
          </w:p>
        </w:tc>
        <w:tc>
          <w:tcPr>
            <w:tcW w:w="2845" w:type="dxa"/>
            <w:tcBorders>
              <w:tl2br w:val="nil"/>
              <w:tr2bl w:val="nil"/>
            </w:tcBorders>
            <w:vAlign w:val="center"/>
          </w:tcPr>
          <w:p>
            <w:pPr>
              <w:pStyle w:val="24"/>
            </w:pPr>
            <w:r>
              <w:rPr>
                <w:rFonts w:hint="eastAsia"/>
              </w:rPr>
              <w:t>临时排污口周边海域海水</w:t>
            </w:r>
          </w:p>
        </w:tc>
        <w:tc>
          <w:tcPr>
            <w:tcW w:w="740" w:type="dxa"/>
            <w:tcBorders>
              <w:tl2br w:val="nil"/>
              <w:tr2bl w:val="nil"/>
            </w:tcBorders>
            <w:vAlign w:val="center"/>
          </w:tcPr>
          <w:p>
            <w:pPr>
              <w:pStyle w:val="24"/>
              <w:rPr>
                <w:rFonts w:hint="eastAsia" w:eastAsia="宋体"/>
                <w:lang w:val="en-US" w:eastAsia="zh-CN"/>
              </w:rPr>
            </w:pPr>
            <w:r>
              <w:rPr>
                <w:rFonts w:hint="eastAsia"/>
                <w:lang w:val="en-US" w:eastAsia="zh-CN"/>
              </w:rPr>
              <w:t>8</w:t>
            </w:r>
          </w:p>
        </w:tc>
        <w:tc>
          <w:tcPr>
            <w:tcW w:w="2284" w:type="dxa"/>
            <w:tcBorders>
              <w:tl2br w:val="nil"/>
              <w:tr2bl w:val="nil"/>
            </w:tcBorders>
            <w:vAlign w:val="center"/>
          </w:tcPr>
          <w:p>
            <w:pPr>
              <w:pStyle w:val="24"/>
              <w:rPr>
                <w:rFonts w:hint="default" w:eastAsia="宋体"/>
                <w:lang w:val="en-US" w:eastAsia="zh-CN"/>
              </w:rPr>
            </w:pPr>
            <w:r>
              <w:rPr>
                <w:rFonts w:hint="eastAsia"/>
                <w:lang w:eastAsia="zh-CN"/>
              </w:rPr>
              <w:t>环评报告中</w:t>
            </w:r>
            <w:r>
              <w:rPr>
                <w:rFonts w:hint="eastAsia"/>
                <w:lang w:val="en-US" w:eastAsia="zh-CN"/>
              </w:rPr>
              <w:t>H1~H8</w:t>
            </w:r>
          </w:p>
        </w:tc>
        <w:tc>
          <w:tcPr>
            <w:tcW w:w="3777" w:type="dxa"/>
            <w:tcBorders>
              <w:tl2br w:val="nil"/>
              <w:tr2bl w:val="nil"/>
            </w:tcBorders>
            <w:vAlign w:val="center"/>
          </w:tcPr>
          <w:p>
            <w:pPr>
              <w:pStyle w:val="24"/>
            </w:pPr>
            <w:r>
              <w:rPr>
                <w:rFonts w:hint="eastAsia"/>
              </w:rPr>
              <w:t>水温、pH、盐度、化学需氧量、溶解氧、悬浮物、无机氮(硝酸盐、亚硝酸盐、氨氮)、活性磷酸盐、铜、铅、镉、锌、六价铬、总铬、汞、砷、镍、石油类、硫化物、挥发酚、苯、甲苯、二甲苯、苯乙烯</w:t>
            </w:r>
          </w:p>
        </w:tc>
        <w:tc>
          <w:tcPr>
            <w:tcW w:w="1563" w:type="dxa"/>
            <w:tcBorders>
              <w:tl2br w:val="nil"/>
              <w:tr2bl w:val="nil"/>
            </w:tcBorders>
            <w:vAlign w:val="center"/>
          </w:tcPr>
          <w:p>
            <w:pPr>
              <w:pStyle w:val="24"/>
            </w:pPr>
            <w:r>
              <w:rPr>
                <w:rFonts w:hint="eastAsia"/>
                <w:lang w:val="en-US" w:eastAsia="zh-CN"/>
              </w:rPr>
              <w:t>1期次</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rPr>
                <w:rFonts w:hint="eastAsia" w:eastAsia="宋体"/>
                <w:lang w:val="en-US" w:eastAsia="zh-CN"/>
              </w:rPr>
            </w:pPr>
            <w:r>
              <w:rPr>
                <w:rFonts w:hint="eastAsia"/>
                <w:lang w:val="en-US" w:eastAsia="zh-CN"/>
              </w:rPr>
              <w:t>2</w:t>
            </w:r>
          </w:p>
        </w:tc>
        <w:tc>
          <w:tcPr>
            <w:tcW w:w="2845" w:type="dxa"/>
            <w:tcBorders>
              <w:tl2br w:val="nil"/>
              <w:tr2bl w:val="nil"/>
            </w:tcBorders>
            <w:vAlign w:val="center"/>
          </w:tcPr>
          <w:p>
            <w:pPr>
              <w:pStyle w:val="24"/>
            </w:pPr>
            <w:r>
              <w:rPr>
                <w:rFonts w:hint="eastAsia"/>
              </w:rPr>
              <w:t>临时排污口周边海域沉积物</w:t>
            </w:r>
          </w:p>
        </w:tc>
        <w:tc>
          <w:tcPr>
            <w:tcW w:w="740" w:type="dxa"/>
            <w:tcBorders>
              <w:tl2br w:val="nil"/>
              <w:tr2bl w:val="nil"/>
            </w:tcBorders>
            <w:vAlign w:val="center"/>
          </w:tcPr>
          <w:p>
            <w:pPr>
              <w:pStyle w:val="24"/>
              <w:rPr>
                <w:rFonts w:hint="eastAsia" w:eastAsia="宋体"/>
                <w:lang w:val="en-US" w:eastAsia="zh-CN"/>
              </w:rPr>
            </w:pPr>
            <w:r>
              <w:rPr>
                <w:rFonts w:hint="eastAsia"/>
                <w:lang w:val="en-US" w:eastAsia="zh-CN"/>
              </w:rPr>
              <w:t>4</w:t>
            </w:r>
          </w:p>
        </w:tc>
        <w:tc>
          <w:tcPr>
            <w:tcW w:w="2284" w:type="dxa"/>
            <w:tcBorders>
              <w:tl2br w:val="nil"/>
              <w:tr2bl w:val="nil"/>
            </w:tcBorders>
            <w:vAlign w:val="center"/>
          </w:tcPr>
          <w:p>
            <w:pPr>
              <w:pStyle w:val="24"/>
            </w:pPr>
            <w:r>
              <w:rPr>
                <w:rFonts w:hint="eastAsia"/>
                <w:lang w:eastAsia="zh-CN"/>
              </w:rPr>
              <w:t>环评报告中</w:t>
            </w:r>
            <w:r>
              <w:rPr>
                <w:rFonts w:hint="eastAsia"/>
                <w:lang w:val="en-US" w:eastAsia="zh-CN"/>
              </w:rPr>
              <w:t>H1~H4</w:t>
            </w:r>
          </w:p>
        </w:tc>
        <w:tc>
          <w:tcPr>
            <w:tcW w:w="3777" w:type="dxa"/>
            <w:tcBorders>
              <w:tl2br w:val="nil"/>
              <w:tr2bl w:val="nil"/>
            </w:tcBorders>
            <w:vAlign w:val="center"/>
          </w:tcPr>
          <w:p>
            <w:pPr>
              <w:pStyle w:val="24"/>
            </w:pPr>
            <w:r>
              <w:rPr>
                <w:rFonts w:hint="eastAsia"/>
              </w:rPr>
              <w:t>汞、镉、铅、锌、铜、铬、砷、有机碳、硫化物、石油类</w:t>
            </w:r>
          </w:p>
        </w:tc>
        <w:tc>
          <w:tcPr>
            <w:tcW w:w="1563" w:type="dxa"/>
            <w:tcBorders>
              <w:tl2br w:val="nil"/>
              <w:tr2bl w:val="nil"/>
            </w:tcBorders>
            <w:vAlign w:val="center"/>
          </w:tcPr>
          <w:p>
            <w:pPr>
              <w:pStyle w:val="24"/>
            </w:pPr>
            <w:r>
              <w:rPr>
                <w:rFonts w:hint="eastAsia"/>
                <w:lang w:val="en-US" w:eastAsia="zh-CN"/>
              </w:rPr>
              <w:t>1期次</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rPr>
                <w:rFonts w:hint="eastAsia" w:eastAsia="宋体"/>
                <w:lang w:val="en-US" w:eastAsia="zh-CN"/>
              </w:rPr>
            </w:pPr>
            <w:r>
              <w:rPr>
                <w:rFonts w:hint="eastAsia"/>
                <w:lang w:val="en-US" w:eastAsia="zh-CN"/>
              </w:rPr>
              <w:t>3</w:t>
            </w:r>
          </w:p>
        </w:tc>
        <w:tc>
          <w:tcPr>
            <w:tcW w:w="2845" w:type="dxa"/>
            <w:tcBorders>
              <w:tl2br w:val="nil"/>
              <w:tr2bl w:val="nil"/>
            </w:tcBorders>
            <w:vAlign w:val="center"/>
          </w:tcPr>
          <w:p>
            <w:pPr>
              <w:pStyle w:val="24"/>
            </w:pPr>
            <w:r>
              <w:rPr>
                <w:rFonts w:hint="eastAsia"/>
              </w:rPr>
              <w:t>临时排污口周边海域沉积物</w:t>
            </w:r>
          </w:p>
        </w:tc>
        <w:tc>
          <w:tcPr>
            <w:tcW w:w="740" w:type="dxa"/>
            <w:tcBorders>
              <w:tl2br w:val="nil"/>
              <w:tr2bl w:val="nil"/>
            </w:tcBorders>
            <w:vAlign w:val="center"/>
          </w:tcPr>
          <w:p>
            <w:pPr>
              <w:pStyle w:val="24"/>
              <w:rPr>
                <w:rFonts w:hint="eastAsia" w:eastAsia="宋体"/>
                <w:lang w:val="en-US" w:eastAsia="zh-CN"/>
              </w:rPr>
            </w:pPr>
            <w:r>
              <w:rPr>
                <w:rFonts w:hint="eastAsia"/>
                <w:lang w:val="en-US" w:eastAsia="zh-CN"/>
              </w:rPr>
              <w:t>4</w:t>
            </w:r>
          </w:p>
        </w:tc>
        <w:tc>
          <w:tcPr>
            <w:tcW w:w="2284" w:type="dxa"/>
            <w:tcBorders>
              <w:tl2br w:val="nil"/>
              <w:tr2bl w:val="nil"/>
            </w:tcBorders>
            <w:vAlign w:val="center"/>
          </w:tcPr>
          <w:p>
            <w:pPr>
              <w:pStyle w:val="24"/>
            </w:pPr>
            <w:r>
              <w:rPr>
                <w:rFonts w:hint="eastAsia"/>
                <w:lang w:eastAsia="zh-CN"/>
              </w:rPr>
              <w:t>环评报告中</w:t>
            </w:r>
            <w:r>
              <w:rPr>
                <w:rFonts w:hint="eastAsia"/>
                <w:lang w:val="en-US" w:eastAsia="zh-CN"/>
              </w:rPr>
              <w:t>H1~H4</w:t>
            </w:r>
          </w:p>
        </w:tc>
        <w:tc>
          <w:tcPr>
            <w:tcW w:w="3777" w:type="dxa"/>
            <w:tcBorders>
              <w:tl2br w:val="nil"/>
              <w:tr2bl w:val="nil"/>
            </w:tcBorders>
            <w:vAlign w:val="center"/>
          </w:tcPr>
          <w:p>
            <w:pPr>
              <w:pStyle w:val="24"/>
            </w:pPr>
            <w:r>
              <w:rPr>
                <w:rFonts w:hint="eastAsia"/>
              </w:rPr>
              <w:t>叶绿素a、浮游动物、浮游植物、底栖生物</w:t>
            </w:r>
          </w:p>
        </w:tc>
        <w:tc>
          <w:tcPr>
            <w:tcW w:w="1563" w:type="dxa"/>
            <w:tcBorders>
              <w:tl2br w:val="nil"/>
              <w:tr2bl w:val="nil"/>
            </w:tcBorders>
            <w:vAlign w:val="center"/>
          </w:tcPr>
          <w:p>
            <w:pPr>
              <w:pStyle w:val="24"/>
            </w:pPr>
            <w:r>
              <w:rPr>
                <w:rFonts w:hint="eastAsia"/>
                <w:lang w:val="en-US" w:eastAsia="zh-CN"/>
              </w:rPr>
              <w:t>1期次</w:t>
            </w:r>
          </w:p>
        </w:tc>
        <w:tc>
          <w:tcPr>
            <w:tcW w:w="1402" w:type="dxa"/>
            <w:tcBorders>
              <w:tl2br w:val="nil"/>
              <w:tr2bl w:val="nil"/>
            </w:tcBorders>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567" w:hRule="atLeast"/>
          <w:jc w:val="center"/>
        </w:trPr>
        <w:tc>
          <w:tcPr>
            <w:tcW w:w="744" w:type="dxa"/>
            <w:tcBorders>
              <w:tl2br w:val="nil"/>
              <w:tr2bl w:val="nil"/>
            </w:tcBorders>
            <w:vAlign w:val="center"/>
          </w:tcPr>
          <w:p>
            <w:pPr>
              <w:pStyle w:val="24"/>
              <w:rPr>
                <w:rFonts w:hint="eastAsia" w:eastAsia="宋体"/>
                <w:lang w:val="en-US" w:eastAsia="zh-CN"/>
              </w:rPr>
            </w:pPr>
            <w:r>
              <w:rPr>
                <w:rFonts w:hint="eastAsia"/>
                <w:lang w:val="en-US" w:eastAsia="zh-CN"/>
              </w:rPr>
              <w:t>4</w:t>
            </w:r>
          </w:p>
        </w:tc>
        <w:tc>
          <w:tcPr>
            <w:tcW w:w="2845" w:type="dxa"/>
            <w:tcBorders>
              <w:tl2br w:val="nil"/>
              <w:tr2bl w:val="nil"/>
            </w:tcBorders>
            <w:vAlign w:val="center"/>
          </w:tcPr>
          <w:p>
            <w:pPr>
              <w:pStyle w:val="24"/>
            </w:pPr>
            <w:r>
              <w:rPr>
                <w:rFonts w:hint="eastAsia"/>
                <w:lang w:val="en-US" w:eastAsia="zh-CN"/>
              </w:rPr>
              <w:t>临时排污口周边海域生物质量</w:t>
            </w:r>
          </w:p>
        </w:tc>
        <w:tc>
          <w:tcPr>
            <w:tcW w:w="740" w:type="dxa"/>
            <w:tcBorders>
              <w:tl2br w:val="nil"/>
              <w:tr2bl w:val="nil"/>
            </w:tcBorders>
            <w:vAlign w:val="center"/>
          </w:tcPr>
          <w:p>
            <w:pPr>
              <w:pStyle w:val="24"/>
              <w:rPr>
                <w:rFonts w:hint="eastAsia" w:eastAsia="宋体"/>
                <w:lang w:val="en-US" w:eastAsia="zh-CN"/>
              </w:rPr>
            </w:pPr>
            <w:r>
              <w:rPr>
                <w:rFonts w:hint="eastAsia"/>
                <w:lang w:val="en-US" w:eastAsia="zh-CN"/>
              </w:rPr>
              <w:t>1</w:t>
            </w:r>
          </w:p>
        </w:tc>
        <w:tc>
          <w:tcPr>
            <w:tcW w:w="2284" w:type="dxa"/>
            <w:tcBorders>
              <w:tl2br w:val="nil"/>
              <w:tr2bl w:val="nil"/>
            </w:tcBorders>
            <w:vAlign w:val="center"/>
          </w:tcPr>
          <w:p>
            <w:pPr>
              <w:pStyle w:val="24"/>
              <w:rPr>
                <w:rFonts w:hint="eastAsia" w:eastAsia="宋体"/>
                <w:lang w:eastAsia="zh-CN"/>
              </w:rPr>
            </w:pPr>
            <w:r>
              <w:rPr>
                <w:rFonts w:hint="eastAsia"/>
                <w:lang w:eastAsia="zh-CN"/>
              </w:rPr>
              <w:t>近岸海域</w:t>
            </w:r>
          </w:p>
        </w:tc>
        <w:tc>
          <w:tcPr>
            <w:tcW w:w="3777" w:type="dxa"/>
            <w:tcBorders>
              <w:tl2br w:val="nil"/>
              <w:tr2bl w:val="nil"/>
            </w:tcBorders>
            <w:vAlign w:val="center"/>
          </w:tcPr>
          <w:p>
            <w:pPr>
              <w:pStyle w:val="24"/>
            </w:pPr>
            <w:r>
              <w:rPr>
                <w:rFonts w:hint="eastAsia"/>
                <w:lang w:val="en-US" w:eastAsia="zh-CN"/>
              </w:rPr>
              <w:t>生物体中总汞、镉、铅、铬、砷、铜、锌、石油烃</w:t>
            </w:r>
          </w:p>
        </w:tc>
        <w:tc>
          <w:tcPr>
            <w:tcW w:w="1563" w:type="dxa"/>
            <w:tcBorders>
              <w:tl2br w:val="nil"/>
              <w:tr2bl w:val="nil"/>
            </w:tcBorders>
            <w:vAlign w:val="center"/>
          </w:tcPr>
          <w:p>
            <w:pPr>
              <w:pStyle w:val="24"/>
            </w:pPr>
            <w:r>
              <w:rPr>
                <w:rFonts w:hint="eastAsia"/>
                <w:lang w:val="en-US" w:eastAsia="zh-CN"/>
              </w:rPr>
              <w:t>1期次</w:t>
            </w:r>
          </w:p>
        </w:tc>
        <w:tc>
          <w:tcPr>
            <w:tcW w:w="1402" w:type="dxa"/>
            <w:tcBorders>
              <w:tl2br w:val="nil"/>
              <w:tr2bl w:val="nil"/>
            </w:tcBorders>
            <w:vAlign w:val="center"/>
          </w:tcPr>
          <w:p>
            <w:pPr>
              <w:pStyle w:val="24"/>
            </w:pPr>
          </w:p>
        </w:tc>
      </w:tr>
    </w:tbl>
    <w:p>
      <w:pPr>
        <w:spacing w:line="360" w:lineRule="auto"/>
        <w:rPr>
          <w:b/>
          <w:bCs/>
          <w:sz w:val="24"/>
          <w:szCs w:val="24"/>
          <w:highlight w:val="yellow"/>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3"/>
        <w:rPr>
          <w:rFonts w:hint="eastAsia"/>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rPr>
        <w:drawing>
          <wp:inline distT="0" distB="0" distL="114300" distR="114300">
            <wp:extent cx="8404225" cy="5137150"/>
            <wp:effectExtent l="9525" t="9525" r="25400" b="15875"/>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48"/>
                    <a:stretch>
                      <a:fillRect/>
                    </a:stretch>
                  </pic:blipFill>
                  <pic:spPr>
                    <a:xfrm>
                      <a:off x="0" y="0"/>
                      <a:ext cx="8404225" cy="5137150"/>
                    </a:xfrm>
                    <a:prstGeom prst="rect">
                      <a:avLst/>
                    </a:prstGeom>
                    <a:noFill/>
                    <a:ln>
                      <a:solidFill>
                        <a:schemeClr val="tx1"/>
                      </a:solidFill>
                    </a:ln>
                  </pic:spPr>
                </pic:pic>
              </a:graphicData>
            </a:graphic>
          </wp:inline>
        </w:drawing>
      </w:r>
      <w:r>
        <w:rPr>
          <w:rFonts w:hint="eastAsia"/>
        </w:rPr>
        <w:t>图</w:t>
      </w:r>
      <w:r>
        <w:t xml:space="preserve">7.1-1 </w:t>
      </w:r>
      <w:r>
        <w:rPr>
          <w:rFonts w:hint="eastAsia"/>
        </w:rPr>
        <w:t>验收监测</w:t>
      </w:r>
      <w:r>
        <w:rPr>
          <w:rFonts w:hint="eastAsia"/>
          <w:lang w:eastAsia="zh-CN"/>
        </w:rPr>
        <w:t>点位</w:t>
      </w:r>
      <w:r>
        <w:rPr>
          <w:rFonts w:hint="eastAsia"/>
        </w:rPr>
        <w:t>示意图</w:t>
      </w:r>
    </w:p>
    <w:p>
      <w:pPr>
        <w:pStyle w:val="23"/>
        <w:outlineLvl w:val="9"/>
        <w:rPr>
          <w:rFonts w:hint="eastAsia"/>
        </w:rPr>
      </w:pPr>
      <w:r>
        <w:rPr>
          <w:rFonts w:hint="eastAsia"/>
        </w:rPr>
        <w:drawing>
          <wp:inline distT="0" distB="0" distL="114300" distR="114300">
            <wp:extent cx="8395970" cy="4836160"/>
            <wp:effectExtent l="9525" t="9525" r="14605" b="12065"/>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49"/>
                    <a:stretch>
                      <a:fillRect/>
                    </a:stretch>
                  </pic:blipFill>
                  <pic:spPr>
                    <a:xfrm>
                      <a:off x="0" y="0"/>
                      <a:ext cx="8395970" cy="4836160"/>
                    </a:xfrm>
                    <a:prstGeom prst="rect">
                      <a:avLst/>
                    </a:prstGeom>
                    <a:noFill/>
                    <a:ln>
                      <a:solidFill>
                        <a:schemeClr val="tx1"/>
                      </a:solidFill>
                    </a:ln>
                  </pic:spPr>
                </pic:pic>
              </a:graphicData>
            </a:graphic>
          </wp:inline>
        </w:drawing>
      </w:r>
    </w:p>
    <w:p>
      <w:pPr>
        <w:pStyle w:val="23"/>
        <w:rPr>
          <w:rFonts w:hint="eastAsia"/>
        </w:rPr>
      </w:pPr>
      <w:r>
        <w:rPr>
          <w:rFonts w:hint="eastAsia"/>
        </w:rPr>
        <w:t>图7.1-</w:t>
      </w:r>
      <w:r>
        <w:rPr>
          <w:rFonts w:hint="eastAsia"/>
          <w:lang w:val="en-US" w:eastAsia="zh-CN"/>
        </w:rPr>
        <w:t>2</w:t>
      </w:r>
      <w:r>
        <w:rPr>
          <w:rFonts w:hint="eastAsia"/>
        </w:rPr>
        <w:t xml:space="preserve"> 验收监测</w:t>
      </w:r>
      <w:r>
        <w:rPr>
          <w:rFonts w:hint="eastAsia"/>
          <w:lang w:eastAsia="zh-CN"/>
        </w:rPr>
        <w:t>海水、沉积物、海洋生态点位</w:t>
      </w:r>
      <w:r>
        <w:rPr>
          <w:rFonts w:hint="eastAsia"/>
        </w:rPr>
        <w:t>示意图</w:t>
      </w:r>
    </w:p>
    <w:p>
      <w:pPr>
        <w:pStyle w:val="23"/>
        <w:jc w:val="left"/>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1"/>
        <w:numPr>
          <w:ilvl w:val="0"/>
          <w:numId w:val="0"/>
        </w:numPr>
        <w:tabs>
          <w:tab w:val="clear" w:pos="425"/>
        </w:tabs>
        <w:spacing w:before="156" w:after="156"/>
      </w:pPr>
      <w:bookmarkStart w:id="173" w:name="_Toc26731"/>
      <w:r>
        <w:t>8. 质量保证及质量控制</w:t>
      </w:r>
      <w:bookmarkEnd w:id="173"/>
    </w:p>
    <w:p>
      <w:pPr>
        <w:pStyle w:val="17"/>
      </w:pPr>
      <w:bookmarkStart w:id="174" w:name="_Toc4015"/>
      <w:r>
        <w:t>8</w:t>
      </w:r>
      <w:r>
        <w:rPr>
          <w:rFonts w:hint="eastAsia"/>
          <w:lang w:eastAsia="zh-Hans"/>
        </w:rPr>
        <w:t>.</w:t>
      </w:r>
      <w:r>
        <w:rPr>
          <w:lang w:eastAsia="zh-Hans"/>
        </w:rPr>
        <w:t xml:space="preserve">1 </w:t>
      </w:r>
      <w:r>
        <w:rPr>
          <w:rFonts w:hint="eastAsia"/>
        </w:rPr>
        <w:t>质量控制数据汇总表</w:t>
      </w:r>
      <w:bookmarkEnd w:id="174"/>
    </w:p>
    <w:p>
      <w:pPr>
        <w:pStyle w:val="23"/>
      </w:pPr>
      <w:r>
        <w:rPr>
          <w:rFonts w:hint="eastAsia"/>
        </w:rPr>
        <w:t>表</w:t>
      </w:r>
      <w:r>
        <w:t xml:space="preserve">8.1.1 </w:t>
      </w:r>
      <w:r>
        <w:rPr>
          <w:rFonts w:hint="eastAsia"/>
        </w:rPr>
        <w:t>水质量控制数据汇总表（一）</w:t>
      </w:r>
    </w:p>
    <w:tbl>
      <w:tblPr>
        <w:tblStyle w:val="14"/>
        <w:tblW w:w="985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011"/>
        <w:gridCol w:w="1437"/>
        <w:gridCol w:w="1394"/>
        <w:gridCol w:w="1031"/>
        <w:gridCol w:w="1031"/>
        <w:gridCol w:w="999"/>
        <w:gridCol w:w="1027"/>
        <w:gridCol w:w="92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trHeight w:val="454" w:hRule="atLeast"/>
          <w:tblHeader/>
          <w:jc w:val="center"/>
        </w:trPr>
        <w:tc>
          <w:tcPr>
            <w:tcW w:w="2011" w:type="dxa"/>
            <w:vMerge w:val="restart"/>
            <w:tcBorders>
              <w:tl2br w:val="nil"/>
              <w:tr2bl w:val="nil"/>
            </w:tcBorders>
            <w:shd w:val="clear" w:color="auto" w:fill="auto"/>
            <w:noWrap w:val="0"/>
            <w:vAlign w:val="center"/>
          </w:tcPr>
          <w:p>
            <w:pPr>
              <w:pStyle w:val="24"/>
              <w:bidi w:val="0"/>
              <w:rPr>
                <w:rFonts w:hint="default"/>
              </w:rPr>
            </w:pPr>
            <w:r>
              <w:rPr>
                <w:rFonts w:hint="default"/>
              </w:rPr>
              <w:t>项目名称</w:t>
            </w:r>
          </w:p>
        </w:tc>
        <w:tc>
          <w:tcPr>
            <w:tcW w:w="1437" w:type="dxa"/>
            <w:vMerge w:val="restart"/>
            <w:tcBorders>
              <w:tl2br w:val="nil"/>
              <w:tr2bl w:val="nil"/>
            </w:tcBorders>
            <w:shd w:val="clear" w:color="auto" w:fill="auto"/>
            <w:noWrap w:val="0"/>
            <w:vAlign w:val="center"/>
          </w:tcPr>
          <w:p>
            <w:pPr>
              <w:pStyle w:val="24"/>
              <w:bidi w:val="0"/>
              <w:rPr>
                <w:rFonts w:hint="default"/>
                <w:lang w:val="en-US"/>
              </w:rPr>
            </w:pPr>
            <w:r>
              <w:rPr>
                <w:rFonts w:hint="default"/>
              </w:rPr>
              <w:t>控样编号</w:t>
            </w:r>
          </w:p>
        </w:tc>
        <w:tc>
          <w:tcPr>
            <w:tcW w:w="1394" w:type="dxa"/>
            <w:vMerge w:val="restart"/>
            <w:tcBorders>
              <w:tl2br w:val="nil"/>
              <w:tr2bl w:val="nil"/>
            </w:tcBorders>
            <w:shd w:val="clear" w:color="auto" w:fill="auto"/>
            <w:noWrap w:val="0"/>
            <w:vAlign w:val="center"/>
          </w:tcPr>
          <w:p>
            <w:pPr>
              <w:pStyle w:val="24"/>
              <w:bidi w:val="0"/>
              <w:rPr>
                <w:rFonts w:hint="default"/>
              </w:rPr>
            </w:pPr>
            <w:r>
              <w:rPr>
                <w:rFonts w:hint="default"/>
              </w:rPr>
              <w:t>控</w:t>
            </w:r>
            <w:r>
              <w:rPr>
                <w:rFonts w:hint="default"/>
                <w:lang w:eastAsia="zh-CN"/>
              </w:rPr>
              <w:t>样</w:t>
            </w:r>
            <w:r>
              <w:rPr>
                <w:rFonts w:hint="default"/>
              </w:rPr>
              <w:t>值</w:t>
            </w:r>
          </w:p>
          <w:p>
            <w:pPr>
              <w:pStyle w:val="24"/>
              <w:bidi w:val="0"/>
              <w:rPr>
                <w:rFonts w:hint="default"/>
              </w:rPr>
            </w:pPr>
            <w:r>
              <w:rPr>
                <w:rFonts w:hint="default"/>
              </w:rPr>
              <w:t>(mg/L)</w:t>
            </w:r>
          </w:p>
        </w:tc>
        <w:tc>
          <w:tcPr>
            <w:tcW w:w="2062" w:type="dxa"/>
            <w:gridSpan w:val="2"/>
            <w:tcBorders>
              <w:tl2br w:val="nil"/>
              <w:tr2bl w:val="nil"/>
            </w:tcBorders>
            <w:shd w:val="clear" w:color="auto" w:fill="auto"/>
            <w:noWrap w:val="0"/>
            <w:vAlign w:val="center"/>
          </w:tcPr>
          <w:p>
            <w:pPr>
              <w:pStyle w:val="24"/>
              <w:bidi w:val="0"/>
              <w:rPr>
                <w:rFonts w:hint="default"/>
              </w:rPr>
            </w:pPr>
            <w:r>
              <w:rPr>
                <w:rFonts w:hint="default"/>
              </w:rPr>
              <w:t>测定值(mg/L)</w:t>
            </w:r>
          </w:p>
        </w:tc>
        <w:tc>
          <w:tcPr>
            <w:tcW w:w="999" w:type="dxa"/>
            <w:vMerge w:val="restart"/>
            <w:tcBorders>
              <w:tl2br w:val="nil"/>
              <w:tr2bl w:val="nil"/>
            </w:tcBorders>
            <w:shd w:val="clear" w:color="auto" w:fill="auto"/>
            <w:noWrap w:val="0"/>
            <w:vAlign w:val="center"/>
          </w:tcPr>
          <w:p>
            <w:pPr>
              <w:pStyle w:val="24"/>
              <w:bidi w:val="0"/>
              <w:rPr>
                <w:rFonts w:hint="default"/>
              </w:rPr>
            </w:pPr>
            <w:r>
              <w:rPr>
                <w:rFonts w:hint="default"/>
              </w:rPr>
              <w:t>相对偏差</w:t>
            </w:r>
          </w:p>
          <w:p>
            <w:pPr>
              <w:pStyle w:val="24"/>
              <w:bidi w:val="0"/>
              <w:rPr>
                <w:rFonts w:hint="default"/>
                <w:lang w:val="en-US" w:eastAsia="zh-CN"/>
              </w:rPr>
            </w:pPr>
            <w:r>
              <w:rPr>
                <w:rFonts w:hint="default"/>
              </w:rPr>
              <w:t>（%）</w:t>
            </w:r>
          </w:p>
        </w:tc>
        <w:tc>
          <w:tcPr>
            <w:tcW w:w="1027" w:type="dxa"/>
            <w:vMerge w:val="restart"/>
            <w:tcBorders>
              <w:tl2br w:val="nil"/>
              <w:tr2bl w:val="nil"/>
            </w:tcBorders>
            <w:shd w:val="clear" w:color="auto" w:fill="auto"/>
            <w:noWrap w:val="0"/>
            <w:vAlign w:val="center"/>
          </w:tcPr>
          <w:p>
            <w:pPr>
              <w:pStyle w:val="24"/>
              <w:bidi w:val="0"/>
              <w:rPr>
                <w:rFonts w:hint="default"/>
              </w:rPr>
            </w:pPr>
            <w:r>
              <w:rPr>
                <w:rFonts w:hint="default"/>
              </w:rPr>
              <w:t>相对误差</w:t>
            </w:r>
          </w:p>
          <w:p>
            <w:pPr>
              <w:pStyle w:val="24"/>
              <w:bidi w:val="0"/>
              <w:rPr>
                <w:rFonts w:hint="default"/>
              </w:rPr>
            </w:pPr>
            <w:r>
              <w:rPr>
                <w:rFonts w:hint="default"/>
              </w:rPr>
              <w:t>(%)</w:t>
            </w:r>
          </w:p>
        </w:tc>
        <w:tc>
          <w:tcPr>
            <w:tcW w:w="921" w:type="dxa"/>
            <w:vMerge w:val="restart"/>
            <w:tcBorders>
              <w:tl2br w:val="nil"/>
              <w:tr2bl w:val="nil"/>
            </w:tcBorders>
            <w:shd w:val="clear" w:color="auto" w:fill="auto"/>
            <w:noWrap w:val="0"/>
            <w:vAlign w:val="center"/>
          </w:tcPr>
          <w:p>
            <w:pPr>
              <w:pStyle w:val="24"/>
              <w:bidi w:val="0"/>
              <w:rPr>
                <w:rFonts w:hint="default"/>
              </w:rPr>
            </w:pPr>
            <w:r>
              <w:rPr>
                <w:rFonts w:hint="default"/>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2011" w:type="dxa"/>
            <w:vMerge w:val="continue"/>
            <w:tcBorders>
              <w:tl2br w:val="nil"/>
              <w:tr2bl w:val="nil"/>
            </w:tcBorders>
            <w:shd w:val="clear" w:color="auto" w:fill="auto"/>
            <w:noWrap w:val="0"/>
            <w:vAlign w:val="center"/>
          </w:tcPr>
          <w:p>
            <w:pPr>
              <w:pStyle w:val="24"/>
              <w:bidi w:val="0"/>
              <w:rPr>
                <w:rFonts w:hint="default"/>
              </w:rPr>
            </w:pPr>
          </w:p>
        </w:tc>
        <w:tc>
          <w:tcPr>
            <w:tcW w:w="1437" w:type="dxa"/>
            <w:vMerge w:val="continue"/>
            <w:tcBorders>
              <w:tl2br w:val="nil"/>
              <w:tr2bl w:val="nil"/>
            </w:tcBorders>
            <w:shd w:val="clear" w:color="auto" w:fill="auto"/>
            <w:noWrap w:val="0"/>
            <w:vAlign w:val="center"/>
          </w:tcPr>
          <w:p>
            <w:pPr>
              <w:pStyle w:val="24"/>
              <w:bidi w:val="0"/>
              <w:rPr>
                <w:rFonts w:hint="default"/>
              </w:rPr>
            </w:pPr>
          </w:p>
        </w:tc>
        <w:tc>
          <w:tcPr>
            <w:tcW w:w="1394" w:type="dxa"/>
            <w:vMerge w:val="continue"/>
            <w:tcBorders>
              <w:tl2br w:val="nil"/>
              <w:tr2bl w:val="nil"/>
            </w:tcBorders>
            <w:shd w:val="clear" w:color="auto" w:fill="auto"/>
            <w:noWrap w:val="0"/>
            <w:vAlign w:val="center"/>
          </w:tcPr>
          <w:p>
            <w:pPr>
              <w:pStyle w:val="24"/>
              <w:bidi w:val="0"/>
              <w:rPr>
                <w:rFonts w:hint="default"/>
              </w:rPr>
            </w:pPr>
          </w:p>
        </w:tc>
        <w:tc>
          <w:tcPr>
            <w:tcW w:w="1031" w:type="dxa"/>
            <w:tcBorders>
              <w:tl2br w:val="nil"/>
              <w:tr2bl w:val="nil"/>
            </w:tcBorders>
            <w:shd w:val="clear" w:color="auto" w:fill="auto"/>
            <w:noWrap w:val="0"/>
            <w:vAlign w:val="center"/>
          </w:tcPr>
          <w:p>
            <w:pPr>
              <w:pStyle w:val="24"/>
              <w:bidi w:val="0"/>
              <w:rPr>
                <w:rFonts w:hint="default"/>
              </w:rPr>
            </w:pPr>
            <w:r>
              <w:rPr>
                <w:rFonts w:hint="default"/>
              </w:rPr>
              <w:t>第1次</w:t>
            </w:r>
          </w:p>
        </w:tc>
        <w:tc>
          <w:tcPr>
            <w:tcW w:w="1031" w:type="dxa"/>
            <w:tcBorders>
              <w:tl2br w:val="nil"/>
              <w:tr2bl w:val="nil"/>
            </w:tcBorders>
            <w:shd w:val="clear" w:color="auto" w:fill="auto"/>
            <w:noWrap w:val="0"/>
            <w:vAlign w:val="center"/>
          </w:tcPr>
          <w:p>
            <w:pPr>
              <w:pStyle w:val="24"/>
              <w:bidi w:val="0"/>
              <w:rPr>
                <w:rFonts w:hint="default"/>
              </w:rPr>
            </w:pPr>
            <w:r>
              <w:rPr>
                <w:rFonts w:hint="default"/>
              </w:rPr>
              <w:t>第2次</w:t>
            </w:r>
          </w:p>
        </w:tc>
        <w:tc>
          <w:tcPr>
            <w:tcW w:w="999" w:type="dxa"/>
            <w:vMerge w:val="continue"/>
            <w:tcBorders>
              <w:tl2br w:val="nil"/>
              <w:tr2bl w:val="nil"/>
            </w:tcBorders>
            <w:shd w:val="clear" w:color="auto" w:fill="auto"/>
            <w:noWrap w:val="0"/>
            <w:vAlign w:val="center"/>
          </w:tcPr>
          <w:p>
            <w:pPr>
              <w:pStyle w:val="24"/>
              <w:bidi w:val="0"/>
              <w:rPr>
                <w:rFonts w:hint="default"/>
              </w:rPr>
            </w:pPr>
          </w:p>
        </w:tc>
        <w:tc>
          <w:tcPr>
            <w:tcW w:w="1027" w:type="dxa"/>
            <w:vMerge w:val="continue"/>
            <w:tcBorders>
              <w:tl2br w:val="nil"/>
              <w:tr2bl w:val="nil"/>
            </w:tcBorders>
            <w:shd w:val="clear" w:color="auto" w:fill="auto"/>
            <w:noWrap w:val="0"/>
            <w:vAlign w:val="center"/>
          </w:tcPr>
          <w:p>
            <w:pPr>
              <w:pStyle w:val="24"/>
              <w:bidi w:val="0"/>
              <w:rPr>
                <w:rFonts w:hint="default"/>
              </w:rPr>
            </w:pPr>
          </w:p>
        </w:tc>
        <w:tc>
          <w:tcPr>
            <w:tcW w:w="921" w:type="dxa"/>
            <w:vMerge w:val="continue"/>
            <w:tcBorders>
              <w:tl2br w:val="nil"/>
              <w:tr2bl w:val="nil"/>
            </w:tcBorders>
            <w:shd w:val="clear" w:color="auto" w:fill="auto"/>
            <w:noWrap w:val="0"/>
            <w:vAlign w:val="center"/>
          </w:tcPr>
          <w:p>
            <w:pPr>
              <w:pStyle w:val="24"/>
              <w:bidi w:val="0"/>
              <w:rPr>
                <w:rFonts w:hint="default"/>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rPr>
            </w:pPr>
            <w:r>
              <w:rPr>
                <w:rFonts w:hint="default"/>
              </w:rPr>
              <w:t>总硬度</w:t>
            </w:r>
          </w:p>
          <w:p>
            <w:pPr>
              <w:pStyle w:val="24"/>
              <w:bidi w:val="0"/>
              <w:rPr>
                <w:rFonts w:hint="default"/>
                <w:lang w:val="en-US" w:eastAsia="zh-CN"/>
              </w:rPr>
            </w:pPr>
            <w:r>
              <w:rPr>
                <w:rFonts w:hint="default"/>
              </w:rPr>
              <w:t>(以CaCO</w:t>
            </w:r>
            <w:r>
              <w:rPr>
                <w:rFonts w:hint="default"/>
                <w:vertAlign w:val="subscript"/>
              </w:rPr>
              <w:t>3</w:t>
            </w:r>
            <w:r>
              <w:rPr>
                <w:rFonts w:hint="default"/>
              </w:rPr>
              <w:t>计）</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B21040148</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98.7±6.0</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97.2</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99.2</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-1.5</w:t>
            </w:r>
            <w:r>
              <w:rPr>
                <w:rFonts w:hint="default"/>
                <w:lang w:val="en-US" w:eastAsia="zh-CN"/>
              </w:rPr>
              <w:t>～</w:t>
            </w:r>
            <w:r>
              <w:rPr>
                <w:rFonts w:hint="eastAsia"/>
                <w:lang w:val="en-US" w:eastAsia="zh-CN"/>
              </w:rPr>
              <w:t>0.5</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硫酸盐</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B21050251</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72.4±3.2</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70.5</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75.1</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w:t>
            </w:r>
            <w:r>
              <w:rPr>
                <w:rFonts w:hint="eastAsia"/>
                <w:lang w:val="en-US" w:eastAsia="zh-CN"/>
              </w:rPr>
              <w:t>6</w:t>
            </w:r>
            <w:r>
              <w:rPr>
                <w:rFonts w:hint="default"/>
                <w:lang w:val="en-US" w:eastAsia="zh-CN"/>
              </w:rPr>
              <w:t>～</w:t>
            </w:r>
            <w:r>
              <w:rPr>
                <w:rFonts w:hint="eastAsia"/>
                <w:lang w:val="en-US" w:eastAsia="zh-CN"/>
              </w:rPr>
              <w:t>3.7</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硝酸盐（以N计）</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B21090111</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3.55±0.18</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3.60</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1.4</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亚硝酸盐（以N计）</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B2101207</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2.25±0.14</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2.1</w:t>
            </w:r>
            <w:r>
              <w:rPr>
                <w:rFonts w:hint="eastAsia"/>
                <w:lang w:val="en-US" w:eastAsia="zh-CN"/>
              </w:rPr>
              <w:t>9</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-2.7</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挥发性酚类</w:t>
            </w:r>
          </w:p>
          <w:p>
            <w:pPr>
              <w:pStyle w:val="24"/>
              <w:bidi w:val="0"/>
              <w:rPr>
                <w:rFonts w:hint="default"/>
                <w:lang w:val="en-US" w:eastAsia="zh-CN"/>
              </w:rPr>
            </w:pPr>
            <w:r>
              <w:rPr>
                <w:rFonts w:hint="default"/>
                <w:lang w:val="en-US" w:eastAsia="zh-CN"/>
              </w:rPr>
              <w:t>（以苯酚计）</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200366</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0.101±0.006</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0.10</w:t>
            </w:r>
            <w:r>
              <w:rPr>
                <w:rFonts w:hint="eastAsia"/>
                <w:lang w:val="en-US" w:eastAsia="zh-CN"/>
              </w:rPr>
              <w:t>3</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0.100</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w:t>
            </w:r>
            <w:r>
              <w:rPr>
                <w:rFonts w:hint="default"/>
                <w:lang w:val="en-US" w:eastAsia="zh-CN"/>
              </w:rPr>
              <w:t>.0～</w:t>
            </w:r>
            <w:r>
              <w:rPr>
                <w:rFonts w:hint="eastAsia"/>
                <w:lang w:val="en-US" w:eastAsia="zh-CN"/>
              </w:rPr>
              <w:t>2</w:t>
            </w:r>
            <w:r>
              <w:rPr>
                <w:rFonts w:hint="default"/>
                <w:lang w:val="en-US" w:eastAsia="zh-CN"/>
              </w:rPr>
              <w:t xml:space="preserve">.0 </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氨氮（以N计）</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2005167</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1.40±0.07</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1.4</w:t>
            </w:r>
            <w:r>
              <w:rPr>
                <w:rFonts w:hint="eastAsia"/>
                <w:lang w:val="en-US" w:eastAsia="zh-CN"/>
              </w:rPr>
              <w:t>4</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2.9</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耗氧量（COD</w:t>
            </w:r>
            <w:r>
              <w:rPr>
                <w:rFonts w:hint="default"/>
                <w:vertAlign w:val="subscript"/>
                <w:lang w:val="en-US" w:eastAsia="zh-CN"/>
              </w:rPr>
              <w:t>Mn</w:t>
            </w:r>
            <w:r>
              <w:rPr>
                <w:rFonts w:hint="default"/>
                <w:lang w:val="en-US" w:eastAsia="zh-CN"/>
              </w:rPr>
              <w:t>法，以O</w:t>
            </w:r>
            <w:r>
              <w:rPr>
                <w:rFonts w:hint="default"/>
                <w:vertAlign w:val="subscript"/>
                <w:lang w:val="en-US" w:eastAsia="zh-CN"/>
              </w:rPr>
              <w:t>2</w:t>
            </w:r>
            <w:r>
              <w:rPr>
                <w:rFonts w:hint="default"/>
                <w:lang w:val="en-US" w:eastAsia="zh-CN"/>
              </w:rPr>
              <w:t>计）</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B21120197</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2.45±0.22</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2.3</w:t>
            </w:r>
            <w:r>
              <w:rPr>
                <w:rFonts w:hint="eastAsia"/>
                <w:lang w:val="en-US" w:eastAsia="zh-CN"/>
              </w:rPr>
              <w:t>4</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2.56</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-4.5</w:t>
            </w:r>
            <w:r>
              <w:rPr>
                <w:rFonts w:hint="default"/>
                <w:lang w:val="en-US" w:eastAsia="zh-CN"/>
              </w:rPr>
              <w:t>～</w:t>
            </w:r>
            <w:r>
              <w:rPr>
                <w:rFonts w:hint="eastAsia"/>
                <w:lang w:val="en-US" w:eastAsia="zh-CN"/>
              </w:rPr>
              <w:t>4.5</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石油类</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A22040052</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8.32±0.62</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8.09</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8.55</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-2.8</w:t>
            </w:r>
            <w:r>
              <w:rPr>
                <w:rFonts w:hint="default"/>
                <w:lang w:val="en-US" w:eastAsia="zh-CN"/>
              </w:rPr>
              <w:t>～</w:t>
            </w:r>
            <w:r>
              <w:rPr>
                <w:rFonts w:hint="eastAsia"/>
                <w:lang w:val="en-US" w:eastAsia="zh-CN"/>
              </w:rPr>
              <w:t>2.8</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砷</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200460</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44.4±3.2ug/L</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46.8ug/L</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46.2ug/L</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4.1</w:t>
            </w:r>
            <w:r>
              <w:rPr>
                <w:rFonts w:hint="default"/>
                <w:lang w:val="en-US" w:eastAsia="zh-CN"/>
              </w:rPr>
              <w:t>～</w:t>
            </w:r>
            <w:r>
              <w:rPr>
                <w:rFonts w:hint="eastAsia"/>
                <w:lang w:val="en-US" w:eastAsia="zh-CN"/>
              </w:rPr>
              <w:t>5.4</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镉</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200939</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0.138±0.008</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0.144</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0.143</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3.6</w:t>
            </w:r>
            <w:r>
              <w:rPr>
                <w:rFonts w:hint="default"/>
                <w:lang w:val="en-US" w:eastAsia="zh-CN"/>
              </w:rPr>
              <w:t>～</w:t>
            </w:r>
            <w:r>
              <w:rPr>
                <w:rFonts w:hint="eastAsia"/>
                <w:lang w:val="en-US" w:eastAsia="zh-CN"/>
              </w:rPr>
              <w:t>4.4</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铅</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200939</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0.241±0.012</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0.247</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0.248</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2.5</w:t>
            </w:r>
            <w:r>
              <w:rPr>
                <w:rFonts w:hint="default"/>
                <w:lang w:val="en-US" w:eastAsia="zh-CN"/>
              </w:rPr>
              <w:t>～</w:t>
            </w:r>
            <w:r>
              <w:rPr>
                <w:rFonts w:hint="eastAsia"/>
                <w:lang w:val="en-US" w:eastAsia="zh-CN"/>
              </w:rPr>
              <w:t>2.9</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汞</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202048</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10.3±0.9</w:t>
            </w:r>
            <w:r>
              <w:rPr>
                <w:rFonts w:hint="default"/>
                <w:lang w:val="en-US" w:eastAsia="zh-CN"/>
              </w:rPr>
              <w:t>ug/L</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10.2</w:t>
            </w:r>
            <w:r>
              <w:rPr>
                <w:rFonts w:hint="default"/>
                <w:lang w:val="en-US" w:eastAsia="zh-CN"/>
              </w:rPr>
              <w:t>ug/L</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-1.0</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铬（六价）</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B21080280</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 xml:space="preserve">0.205±0.010 </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0.214</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0.211</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2.9</w:t>
            </w:r>
            <w:r>
              <w:rPr>
                <w:rFonts w:hint="default"/>
                <w:lang w:val="en-US" w:eastAsia="zh-CN"/>
              </w:rPr>
              <w:t>～</w:t>
            </w:r>
            <w:r>
              <w:rPr>
                <w:rFonts w:hint="eastAsia"/>
                <w:lang w:val="en-US" w:eastAsia="zh-CN"/>
              </w:rPr>
              <w:t>4.4</w:t>
            </w:r>
            <w:r>
              <w:rPr>
                <w:rFonts w:hint="default"/>
                <w:lang w:val="en-US" w:eastAsia="zh-CN"/>
              </w:rPr>
              <w:t xml:space="preserve"> </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eastAsia="zh-CN"/>
              </w:rPr>
              <w:t>氯化物</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B21050111</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 xml:space="preserve">73.7±3.7 </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72.9</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75.4</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1.1</w:t>
            </w:r>
            <w:r>
              <w:rPr>
                <w:rFonts w:hint="default"/>
                <w:lang w:val="en-US" w:eastAsia="zh-CN"/>
              </w:rPr>
              <w:t>～</w:t>
            </w:r>
            <w:r>
              <w:rPr>
                <w:rFonts w:hint="eastAsia"/>
                <w:lang w:val="en-US" w:eastAsia="zh-CN"/>
              </w:rPr>
              <w:t>2.3</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Mg2+</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B21040276</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5.68±0.34</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5.65</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5.69</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-0.5</w:t>
            </w:r>
            <w:r>
              <w:rPr>
                <w:rFonts w:hint="default"/>
                <w:lang w:val="en-US" w:eastAsia="zh-CN"/>
              </w:rPr>
              <w:t>～</w:t>
            </w:r>
            <w:r>
              <w:rPr>
                <w:rFonts w:hint="eastAsia"/>
                <w:lang w:val="en-US" w:eastAsia="zh-CN"/>
              </w:rPr>
              <w:t>0.2</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Ca2+</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B21070333</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4.09±0.26</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4.07</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4.10</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-0.5</w:t>
            </w:r>
            <w:r>
              <w:rPr>
                <w:rFonts w:hint="default"/>
                <w:lang w:val="en-US" w:eastAsia="zh-CN"/>
              </w:rPr>
              <w:t>～</w:t>
            </w:r>
            <w:r>
              <w:rPr>
                <w:rFonts w:hint="eastAsia"/>
                <w:lang w:val="en-US" w:eastAsia="zh-CN"/>
              </w:rPr>
              <w:t>0.2</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K+</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B22030356</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20.0±1.0</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20.7</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19.9</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-0.5</w:t>
            </w:r>
            <w:r>
              <w:rPr>
                <w:rFonts w:hint="default"/>
                <w:lang w:val="en-US" w:eastAsia="zh-CN"/>
              </w:rPr>
              <w:t>～</w:t>
            </w:r>
            <w:r>
              <w:rPr>
                <w:rFonts w:hint="eastAsia"/>
                <w:lang w:val="en-US" w:eastAsia="zh-CN"/>
              </w:rPr>
              <w:t>3.5</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Na+</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B21050521</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16.0±0.8</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16.1</w:t>
            </w:r>
          </w:p>
        </w:tc>
        <w:tc>
          <w:tcPr>
            <w:tcW w:w="103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16.4</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0.6</w:t>
            </w:r>
            <w:r>
              <w:rPr>
                <w:rFonts w:hint="default"/>
                <w:lang w:val="en-US" w:eastAsia="zh-CN"/>
              </w:rPr>
              <w:t>～</w:t>
            </w:r>
            <w:r>
              <w:rPr>
                <w:rFonts w:hint="eastAsia"/>
                <w:lang w:val="en-US" w:eastAsia="zh-CN"/>
              </w:rPr>
              <w:t>2.5</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noWrap w:val="0"/>
            <w:vAlign w:val="center"/>
          </w:tcPr>
          <w:p>
            <w:pPr>
              <w:pStyle w:val="24"/>
              <w:bidi w:val="0"/>
              <w:rPr>
                <w:rFonts w:hint="default"/>
              </w:rPr>
            </w:pPr>
            <w:r>
              <w:rPr>
                <w:rFonts w:hint="default"/>
              </w:rPr>
              <w:t>总硬度</w:t>
            </w:r>
          </w:p>
          <w:p>
            <w:pPr>
              <w:pStyle w:val="24"/>
              <w:bidi w:val="0"/>
              <w:rPr>
                <w:rFonts w:hint="default"/>
                <w:lang w:val="en-US" w:eastAsia="zh-CN"/>
              </w:rPr>
            </w:pPr>
            <w:r>
              <w:rPr>
                <w:rFonts w:hint="default"/>
              </w:rPr>
              <w:t>(以CaCO</w:t>
            </w:r>
            <w:r>
              <w:rPr>
                <w:rFonts w:hint="default"/>
                <w:vertAlign w:val="subscript"/>
              </w:rPr>
              <w:t>3</w:t>
            </w:r>
            <w:r>
              <w:rPr>
                <w:rFonts w:hint="default"/>
              </w:rPr>
              <w:t>计）</w:t>
            </w:r>
          </w:p>
        </w:tc>
        <w:tc>
          <w:tcPr>
            <w:tcW w:w="1437" w:type="dxa"/>
            <w:tcBorders>
              <w:tl2br w:val="nil"/>
              <w:tr2bl w:val="nil"/>
            </w:tcBorders>
            <w:shd w:val="clear" w:color="auto" w:fill="auto"/>
            <w:noWrap w:val="0"/>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1.72</w:t>
            </w:r>
            <w:r>
              <w:rPr>
                <w:rFonts w:hint="default"/>
                <w:lang w:val="en-US" w:eastAsia="zh-CN"/>
              </w:rPr>
              <w:t>×10</w:t>
            </w:r>
            <w:r>
              <w:rPr>
                <w:rFonts w:hint="default"/>
                <w:vertAlign w:val="superscript"/>
                <w:lang w:val="en-US" w:eastAsia="zh-CN"/>
              </w:rPr>
              <w:t>3</w:t>
            </w:r>
          </w:p>
        </w:tc>
        <w:tc>
          <w:tcPr>
            <w:tcW w:w="1031"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1.76</w:t>
            </w:r>
            <w:r>
              <w:rPr>
                <w:rFonts w:hint="default"/>
                <w:lang w:val="en-US" w:eastAsia="zh-CN"/>
              </w:rPr>
              <w:t>×10</w:t>
            </w:r>
            <w:r>
              <w:rPr>
                <w:rFonts w:hint="default"/>
                <w:vertAlign w:val="superscript"/>
                <w:lang w:val="en-US" w:eastAsia="zh-CN"/>
              </w:rPr>
              <w:t>3</w:t>
            </w:r>
          </w:p>
        </w:tc>
        <w:tc>
          <w:tcPr>
            <w:tcW w:w="99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1.1</w:t>
            </w:r>
          </w:p>
        </w:tc>
        <w:tc>
          <w:tcPr>
            <w:tcW w:w="102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3.79</w:t>
            </w:r>
            <w:r>
              <w:rPr>
                <w:rFonts w:hint="default"/>
                <w:lang w:val="en-US" w:eastAsia="zh-CN"/>
              </w:rPr>
              <w:t>×10</w:t>
            </w:r>
            <w:r>
              <w:rPr>
                <w:rFonts w:hint="eastAsia"/>
                <w:vertAlign w:val="superscript"/>
                <w:lang w:val="en-US" w:eastAsia="zh-CN"/>
              </w:rPr>
              <w:t>4</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3.83</w:t>
            </w:r>
            <w:r>
              <w:rPr>
                <w:rFonts w:hint="default"/>
                <w:lang w:val="en-US" w:eastAsia="zh-CN"/>
              </w:rPr>
              <w:t>×10</w:t>
            </w:r>
            <w:r>
              <w:rPr>
                <w:rFonts w:hint="eastAsia"/>
                <w:vertAlign w:val="superscript"/>
                <w:lang w:val="en-US" w:eastAsia="zh-CN"/>
              </w:rPr>
              <w:t>4</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0.5</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1.37</w:t>
            </w:r>
            <w:r>
              <w:rPr>
                <w:rFonts w:hint="default"/>
                <w:lang w:val="en-US" w:eastAsia="zh-CN"/>
              </w:rPr>
              <w:t>×10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1.36</w:t>
            </w:r>
            <w:r>
              <w:rPr>
                <w:rFonts w:hint="default"/>
                <w:lang w:val="en-US" w:eastAsia="zh-CN"/>
              </w:rPr>
              <w:t>×10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0.4</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3.80</w:t>
            </w:r>
            <w:r>
              <w:rPr>
                <w:rFonts w:hint="default"/>
                <w:lang w:val="en-US" w:eastAsia="zh-CN"/>
              </w:rPr>
              <w:t>×10</w:t>
            </w:r>
            <w:r>
              <w:rPr>
                <w:rFonts w:hint="eastAsia"/>
                <w:vertAlign w:val="superscript"/>
                <w:lang w:val="en-US" w:eastAsia="zh-CN"/>
              </w:rPr>
              <w:t>4</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3.78</w:t>
            </w:r>
            <w:r>
              <w:rPr>
                <w:rFonts w:hint="default"/>
                <w:lang w:val="en-US" w:eastAsia="zh-CN"/>
              </w:rPr>
              <w:t>×10</w:t>
            </w:r>
            <w:r>
              <w:rPr>
                <w:rFonts w:hint="eastAsia"/>
                <w:vertAlign w:val="superscript"/>
                <w:lang w:val="en-US" w:eastAsia="zh-CN"/>
              </w:rPr>
              <w:t>4</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0.3</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氯化物</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4.61×10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4.85×10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2.5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9.43×10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9.56×10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0.7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4.60×10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4.45×10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1.7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9.00×10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8.22×10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4.5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硝酸盐（以N计）</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1.22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1.18 </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1.7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0.50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0.48 </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2.0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1.29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1.33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1.5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0.63</w:t>
            </w:r>
            <w:r>
              <w:rPr>
                <w:rFonts w:hint="default"/>
                <w:lang w:val="en-US" w:eastAsia="zh-CN"/>
              </w:rPr>
              <w:t xml:space="preserve"> </w:t>
            </w:r>
          </w:p>
        </w:tc>
        <w:tc>
          <w:tcPr>
            <w:tcW w:w="103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0.67</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3.1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亚硝酸盐</w:t>
            </w:r>
          </w:p>
          <w:p>
            <w:pPr>
              <w:pStyle w:val="24"/>
              <w:bidi w:val="0"/>
              <w:rPr>
                <w:rFonts w:hint="default"/>
                <w:lang w:val="en-US" w:eastAsia="zh-CN"/>
              </w:rPr>
            </w:pPr>
            <w:r>
              <w:rPr>
                <w:rFonts w:hint="default"/>
                <w:lang w:val="en-US" w:eastAsia="zh-CN"/>
              </w:rPr>
              <w:t>（以N计）</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0.003L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0.003L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0.008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0.007</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6.7</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0.003L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0.003L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0.016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0.014</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6.7</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挥发性酚类</w:t>
            </w:r>
          </w:p>
          <w:p>
            <w:pPr>
              <w:pStyle w:val="24"/>
              <w:bidi w:val="0"/>
              <w:rPr>
                <w:rFonts w:hint="default"/>
                <w:lang w:val="en-US" w:eastAsia="zh-CN"/>
              </w:rPr>
            </w:pPr>
            <w:r>
              <w:rPr>
                <w:rFonts w:hint="default"/>
                <w:lang w:val="en-US" w:eastAsia="zh-CN"/>
              </w:rPr>
              <w:t>（以苯酚计）</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0.0003L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氨氮</w:t>
            </w:r>
          </w:p>
          <w:p>
            <w:pPr>
              <w:pStyle w:val="24"/>
              <w:bidi w:val="0"/>
              <w:rPr>
                <w:rFonts w:hint="default"/>
                <w:lang w:val="en-US" w:eastAsia="zh-CN"/>
              </w:rPr>
            </w:pPr>
            <w:r>
              <w:rPr>
                <w:rFonts w:hint="default"/>
                <w:lang w:val="en-US" w:eastAsia="zh-CN"/>
              </w:rPr>
              <w:t>（以N计）</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0.418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0.404 </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1.7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1.59</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1.53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1.9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0.432</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0.443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1.3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1.73</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1.81</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2.3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耗氧量（COD</w:t>
            </w:r>
            <w:r>
              <w:rPr>
                <w:rFonts w:hint="default"/>
                <w:vertAlign w:val="subscript"/>
                <w:lang w:val="en-US" w:eastAsia="zh-CN"/>
              </w:rPr>
              <w:t>Mn</w:t>
            </w:r>
            <w:r>
              <w:rPr>
                <w:rFonts w:hint="default"/>
                <w:lang w:val="en-US" w:eastAsia="zh-CN"/>
              </w:rPr>
              <w:t>法，以O</w:t>
            </w:r>
            <w:r>
              <w:rPr>
                <w:rFonts w:hint="default"/>
                <w:vertAlign w:val="subscript"/>
                <w:lang w:val="en-US" w:eastAsia="zh-CN"/>
              </w:rPr>
              <w:t>2</w:t>
            </w:r>
            <w:r>
              <w:rPr>
                <w:rFonts w:hint="default"/>
                <w:lang w:val="en-US" w:eastAsia="zh-CN"/>
              </w:rPr>
              <w:t>计）</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4.0</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4.1</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1.2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4.3</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4.4</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1.1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4.4</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4.6</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2.2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4.1</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3.9</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2.5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砷</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0.00720</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0.00724</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0.3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0.00132</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0.00133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0.4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0.00795</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0.00835</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2.5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0.00105</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0.00105</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0.0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镉</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0.00005L</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0.00005L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0.00005L</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0.00005L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0.00005L</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0.00005L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w:t>
            </w:r>
            <w:r>
              <w:rPr>
                <w:rFonts w:hint="eastAsia"/>
                <w:lang w:val="en-US" w:eastAsia="zh-CN"/>
              </w:rPr>
              <w:t>6</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w:t>
            </w:r>
            <w:r>
              <w:rPr>
                <w:rFonts w:hint="eastAsia"/>
                <w:lang w:val="en-US" w:eastAsia="zh-CN"/>
              </w:rPr>
              <w:t>6</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铅</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0.00010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0.00011 </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4.8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0.00051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0.00057 </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5.6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0.00009L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0.00009L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0.00011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0.00013 </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8.3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汞</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铬（六价）</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氰化物</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eastAsia="zh-CN"/>
              </w:rPr>
              <w:t>硫酸盐</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4.77×10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5.02×10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2.6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9.21×10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9.42×10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1.1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4.55×10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4.94×10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4.1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8.51×10</w:t>
            </w:r>
            <w:r>
              <w:rPr>
                <w:rFonts w:hint="default"/>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7.81×10</w:t>
            </w:r>
            <w:r>
              <w:rPr>
                <w:rFonts w:hint="default"/>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4.3 </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rPr>
              <w:t>苯</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rPr>
              <w:t>甲苯</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eastAsia="zh-CN"/>
              </w:rPr>
              <w:t>二甲苯（总量）</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0.0022L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0.0022L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0.0022L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0.0022L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0.0022L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0.0022L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rPr>
              <w:t>苯乙烯</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rPr>
              <w:t>石油烃（C</w:t>
            </w:r>
            <w:r>
              <w:rPr>
                <w:rFonts w:hint="default"/>
                <w:vertAlign w:val="subscript"/>
              </w:rPr>
              <w:t>6</w:t>
            </w:r>
            <w:r>
              <w:rPr>
                <w:rFonts w:hint="default"/>
              </w:rPr>
              <w:t>-C</w:t>
            </w:r>
            <w:r>
              <w:rPr>
                <w:rFonts w:hint="default"/>
                <w:vertAlign w:val="subscript"/>
              </w:rPr>
              <w:t>9</w:t>
            </w:r>
            <w:r>
              <w:rPr>
                <w:rFonts w:hint="default"/>
              </w:rPr>
              <w:t>）</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w:t>
            </w:r>
            <w:r>
              <w:rPr>
                <w:rFonts w:hint="eastAsia"/>
                <w:lang w:val="en-US" w:eastAsia="zh-CN"/>
              </w:rPr>
              <w:t>2</w:t>
            </w:r>
            <w:r>
              <w:rPr>
                <w:rFonts w:hint="default"/>
                <w:lang w:val="en-US" w:eastAsia="zh-CN"/>
              </w:rPr>
              <w:t>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eastAsia="zh-CN"/>
              </w:rPr>
              <w:t>CO</w:t>
            </w:r>
            <w:r>
              <w:rPr>
                <w:rFonts w:hint="default"/>
                <w:vertAlign w:val="subscript"/>
                <w:lang w:eastAsia="zh-CN"/>
              </w:rPr>
              <w:t>3</w:t>
            </w:r>
            <w:r>
              <w:rPr>
                <w:rFonts w:hint="default"/>
                <w:vertAlign w:val="superscript"/>
                <w:lang w:eastAsia="zh-CN"/>
              </w:rPr>
              <w:t>2-</w:t>
            </w:r>
            <w:r>
              <w:rPr>
                <w:rFonts w:hint="default"/>
                <w:lang w:val="en-US" w:eastAsia="zh-CN"/>
              </w:rPr>
              <w:fldChar w:fldCharType="begin"/>
            </w:r>
            <w:r>
              <w:rPr>
                <w:rFonts w:hint="default"/>
                <w:lang w:val="en-US" w:eastAsia="zh-CN"/>
              </w:rPr>
              <w:instrText xml:space="preserve"> 3,2- </w:instrTex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2-，3 </w:instrText>
            </w:r>
            <w:r>
              <w:rPr>
                <w:rFonts w:hint="default"/>
                <w:lang w:val="en-US" w:eastAsia="zh-CN"/>
              </w:rPr>
              <w:fldChar w:fldCharType="end"/>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5L</w:t>
            </w:r>
          </w:p>
        </w:tc>
        <w:tc>
          <w:tcPr>
            <w:tcW w:w="99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H</w:t>
            </w:r>
            <w:r>
              <w:rPr>
                <w:rFonts w:hint="default"/>
                <w:lang w:eastAsia="zh-CN"/>
              </w:rPr>
              <w:t>CO</w:t>
            </w:r>
            <w:r>
              <w:rPr>
                <w:rFonts w:hint="default"/>
                <w:vertAlign w:val="subscript"/>
                <w:lang w:eastAsia="zh-CN"/>
              </w:rPr>
              <w:t>3</w:t>
            </w:r>
            <w:r>
              <w:rPr>
                <w:rFonts w:hint="default"/>
                <w:vertAlign w:val="superscript"/>
                <w:lang w:eastAsia="zh-CN"/>
              </w:rPr>
              <w:t>-</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235</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249</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2.9</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230</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248</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3.8</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188</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3.6</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229</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203</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6.0</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Ca</w:t>
            </w:r>
            <w:r>
              <w:rPr>
                <w:rFonts w:hint="default"/>
                <w:vertAlign w:val="superscript"/>
                <w:lang w:val="en-US" w:eastAsia="zh-CN"/>
              </w:rPr>
              <w:t>2+</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1.46</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1.55</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331</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320</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1.07</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1.20</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5.7</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332</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309</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3.6</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Mg</w:t>
            </w:r>
            <w:r>
              <w:rPr>
                <w:rFonts w:hint="default"/>
                <w:vertAlign w:val="superscript"/>
                <w:lang w:val="en-US" w:eastAsia="zh-CN"/>
              </w:rPr>
              <w:t>2+</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1.72</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1.58</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4.2</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972</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949</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1.2</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1.17</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1.11</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2.6</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w:t>
            </w:r>
            <w:r>
              <w:rPr>
                <w:rFonts w:hint="eastAsia"/>
                <w:lang w:val="en-US" w:eastAsia="zh-CN"/>
              </w:rPr>
              <w:t>.</w:t>
            </w:r>
            <w:r>
              <w:rPr>
                <w:rFonts w:hint="default"/>
                <w:lang w:val="en-US" w:eastAsia="zh-CN"/>
              </w:rPr>
              <w:t>02</w:t>
            </w:r>
            <w:r>
              <w:rPr>
                <w:rFonts w:hint="eastAsia"/>
                <w:lang w:val="en-US" w:eastAsia="zh-CN"/>
              </w:rPr>
              <w:t>×10</w:t>
            </w:r>
            <w:r>
              <w:rPr>
                <w:rFonts w:hint="eastAsia"/>
                <w:vertAlign w:val="superscript"/>
                <w:lang w:val="en-US" w:eastAsia="zh-CN"/>
              </w:rPr>
              <w:t>3</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948</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3.9</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K</w:t>
            </w:r>
            <w:r>
              <w:rPr>
                <w:rFonts w:hint="default"/>
                <w:vertAlign w:val="superscript"/>
                <w:lang w:val="en-US" w:eastAsia="zh-CN"/>
              </w:rPr>
              <w:t>+</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11.2</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11.0</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0.9</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390</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380</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1.3</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11.7</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11.7</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436</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404</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3.8</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Na</w:t>
            </w:r>
            <w:r>
              <w:rPr>
                <w:rFonts w:hint="default"/>
                <w:vertAlign w:val="superscript"/>
                <w:lang w:val="en-US" w:eastAsia="zh-CN"/>
              </w:rPr>
              <w:t>+</w:t>
            </w: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188</w:t>
            </w:r>
          </w:p>
        </w:tc>
        <w:tc>
          <w:tcPr>
            <w:tcW w:w="103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183</w:t>
            </w:r>
          </w:p>
        </w:tc>
        <w:tc>
          <w:tcPr>
            <w:tcW w:w="999"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1.3</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8</w:t>
            </w:r>
            <w:r>
              <w:rPr>
                <w:rFonts w:hint="eastAsia"/>
                <w:lang w:val="en-US" w:eastAsia="zh-CN"/>
              </w:rPr>
              <w:t>.</w:t>
            </w:r>
            <w:r>
              <w:rPr>
                <w:rFonts w:hint="default"/>
                <w:lang w:val="en-US" w:eastAsia="zh-CN"/>
              </w:rPr>
              <w:t>03</w:t>
            </w:r>
            <w:r>
              <w:rPr>
                <w:rFonts w:hint="eastAsia"/>
                <w:lang w:val="en-US" w:eastAsia="zh-CN"/>
              </w:rPr>
              <w:t>×10</w:t>
            </w:r>
            <w:r>
              <w:rPr>
                <w:rFonts w:hint="eastAsia"/>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7</w:t>
            </w:r>
            <w:r>
              <w:rPr>
                <w:rFonts w:hint="eastAsia"/>
                <w:lang w:val="en-US" w:eastAsia="zh-CN"/>
              </w:rPr>
              <w:t>.</w:t>
            </w:r>
            <w:r>
              <w:rPr>
                <w:rFonts w:hint="default"/>
                <w:lang w:val="en-US" w:eastAsia="zh-CN"/>
              </w:rPr>
              <w:t>83</w:t>
            </w:r>
            <w:r>
              <w:rPr>
                <w:rFonts w:hint="eastAsia"/>
                <w:lang w:val="en-US" w:eastAsia="zh-CN"/>
              </w:rPr>
              <w:t>×10</w:t>
            </w:r>
            <w:r>
              <w:rPr>
                <w:rFonts w:hint="eastAsia"/>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1.3</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rPr>
              <w:t>实验平行样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 xml:space="preserve">178 </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169</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2.6</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11" w:type="dxa"/>
            <w:vMerge w:val="continue"/>
            <w:tcBorders>
              <w:tl2br w:val="nil"/>
              <w:tr2bl w:val="nil"/>
            </w:tcBorders>
            <w:shd w:val="clear" w:color="auto" w:fill="auto"/>
            <w:vAlign w:val="center"/>
          </w:tcPr>
          <w:p>
            <w:pPr>
              <w:pStyle w:val="24"/>
              <w:bidi w:val="0"/>
              <w:rPr>
                <w:rFonts w:hint="default"/>
                <w:lang w:val="en-US" w:eastAsia="zh-CN"/>
              </w:rPr>
            </w:pPr>
          </w:p>
        </w:tc>
        <w:tc>
          <w:tcPr>
            <w:tcW w:w="1437" w:type="dxa"/>
            <w:tcBorders>
              <w:tl2br w:val="nil"/>
              <w:tr2bl w:val="nil"/>
            </w:tcBorders>
            <w:shd w:val="clear" w:color="auto" w:fill="auto"/>
            <w:vAlign w:val="center"/>
          </w:tcPr>
          <w:p>
            <w:pPr>
              <w:pStyle w:val="24"/>
              <w:bidi w:val="0"/>
              <w:rPr>
                <w:rFonts w:hint="default"/>
                <w:lang w:eastAsia="zh-CN"/>
              </w:rPr>
            </w:pPr>
            <w:r>
              <w:rPr>
                <w:rFonts w:hint="default"/>
                <w:lang w:eastAsia="zh-CN"/>
              </w:rPr>
              <w:t>采样平行</w:t>
            </w:r>
            <w:r>
              <w:rPr>
                <w:rFonts w:hint="default"/>
              </w:rPr>
              <w:t>样</w:t>
            </w:r>
          </w:p>
        </w:tc>
        <w:tc>
          <w:tcPr>
            <w:tcW w:w="139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6</w:t>
            </w:r>
            <w:r>
              <w:rPr>
                <w:rFonts w:hint="eastAsia"/>
                <w:lang w:val="en-US" w:eastAsia="zh-CN"/>
              </w:rPr>
              <w:t>.</w:t>
            </w:r>
            <w:r>
              <w:rPr>
                <w:rFonts w:hint="default"/>
                <w:lang w:val="en-US" w:eastAsia="zh-CN"/>
              </w:rPr>
              <w:t>7</w:t>
            </w:r>
            <w:r>
              <w:rPr>
                <w:rFonts w:hint="eastAsia"/>
                <w:lang w:val="en-US" w:eastAsia="zh-CN"/>
              </w:rPr>
              <w:t>1×10</w:t>
            </w:r>
            <w:r>
              <w:rPr>
                <w:rFonts w:hint="eastAsia"/>
                <w:vertAlign w:val="superscript"/>
                <w:lang w:val="en-US" w:eastAsia="zh-CN"/>
              </w:rPr>
              <w:t>3</w:t>
            </w:r>
          </w:p>
        </w:tc>
        <w:tc>
          <w:tcPr>
            <w:tcW w:w="103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6</w:t>
            </w:r>
            <w:r>
              <w:rPr>
                <w:rFonts w:hint="eastAsia"/>
                <w:lang w:val="en-US" w:eastAsia="zh-CN"/>
              </w:rPr>
              <w:t>.</w:t>
            </w:r>
            <w:r>
              <w:rPr>
                <w:rFonts w:hint="default"/>
                <w:lang w:val="en-US" w:eastAsia="zh-CN"/>
              </w:rPr>
              <w:t>61</w:t>
            </w:r>
            <w:r>
              <w:rPr>
                <w:rFonts w:hint="eastAsia"/>
                <w:lang w:val="en-US" w:eastAsia="zh-CN"/>
              </w:rPr>
              <w:t>×10</w:t>
            </w:r>
            <w:r>
              <w:rPr>
                <w:rFonts w:hint="eastAsia"/>
                <w:vertAlign w:val="superscript"/>
                <w:lang w:val="en-US" w:eastAsia="zh-CN"/>
              </w:rPr>
              <w:t>3</w:t>
            </w:r>
          </w:p>
        </w:tc>
        <w:tc>
          <w:tcPr>
            <w:tcW w:w="99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0.7</w:t>
            </w:r>
          </w:p>
        </w:tc>
        <w:tc>
          <w:tcPr>
            <w:tcW w:w="102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92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bl>
    <w:p>
      <w:pPr>
        <w:pStyle w:val="24"/>
        <w:spacing w:before="60"/>
        <w:jc w:val="left"/>
      </w:pPr>
      <w:r>
        <w:rPr>
          <w:rFonts w:hint="eastAsia"/>
        </w:rPr>
        <w:t>备注：此表格及以下表格中 “/”均表示无值。</w:t>
      </w:r>
    </w:p>
    <w:p>
      <w:pPr>
        <w:pStyle w:val="23"/>
        <w:spacing w:before="240"/>
      </w:pPr>
      <w:r>
        <w:rPr>
          <w:rFonts w:hint="eastAsia"/>
        </w:rPr>
        <w:t>表</w:t>
      </w:r>
      <w:r>
        <w:t xml:space="preserve">8.1.2 </w:t>
      </w:r>
      <w:r>
        <w:rPr>
          <w:rFonts w:hint="eastAsia"/>
        </w:rPr>
        <w:t>水质量控制数据汇总表（二）</w:t>
      </w:r>
    </w:p>
    <w:tbl>
      <w:tblPr>
        <w:tblStyle w:val="14"/>
        <w:tblW w:w="9942" w:type="dxa"/>
        <w:jc w:val="center"/>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355"/>
        <w:gridCol w:w="2388"/>
        <w:gridCol w:w="841"/>
        <w:gridCol w:w="930"/>
        <w:gridCol w:w="920"/>
        <w:gridCol w:w="1250"/>
        <w:gridCol w:w="1290"/>
        <w:gridCol w:w="96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442" w:hRule="atLeast"/>
          <w:tblHeader/>
          <w:jc w:val="center"/>
        </w:trPr>
        <w:tc>
          <w:tcPr>
            <w:tcW w:w="1355"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检测项目</w:t>
            </w:r>
          </w:p>
        </w:tc>
        <w:tc>
          <w:tcPr>
            <w:tcW w:w="2388"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样品编号</w:t>
            </w:r>
          </w:p>
        </w:tc>
        <w:tc>
          <w:tcPr>
            <w:tcW w:w="841"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加标量</w:t>
            </w:r>
          </w:p>
          <w:p>
            <w:pPr>
              <w:pStyle w:val="24"/>
              <w:bidi w:val="0"/>
              <w:jc w:val="center"/>
              <w:rPr>
                <w:rFonts w:hint="default"/>
                <w:lang w:val="en-US" w:eastAsia="zh-CN"/>
              </w:rPr>
            </w:pPr>
            <w:r>
              <w:rPr>
                <w:rFonts w:hint="default"/>
                <w:lang w:val="en-US" w:eastAsia="zh-CN"/>
              </w:rPr>
              <w:t>(mg/L)</w:t>
            </w:r>
          </w:p>
        </w:tc>
        <w:tc>
          <w:tcPr>
            <w:tcW w:w="1850"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检测结果(mg/L)</w:t>
            </w:r>
          </w:p>
        </w:tc>
        <w:tc>
          <w:tcPr>
            <w:tcW w:w="1250"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加标回收率(%）</w:t>
            </w:r>
          </w:p>
        </w:tc>
        <w:tc>
          <w:tcPr>
            <w:tcW w:w="1290"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评价标准(%)</w:t>
            </w:r>
          </w:p>
        </w:tc>
        <w:tc>
          <w:tcPr>
            <w:tcW w:w="968"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结果评价</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tblHeader/>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841"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样品</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加标样品</w:t>
            </w:r>
          </w:p>
        </w:tc>
        <w:tc>
          <w:tcPr>
            <w:tcW w:w="1250"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1290"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968" w:type="dxa"/>
            <w:vMerge w:val="continue"/>
            <w:tcBorders>
              <w:tl2br w:val="nil"/>
              <w:tr2bl w:val="nil"/>
            </w:tcBorders>
            <w:shd w:val="clear" w:color="auto" w:fill="auto"/>
            <w:vAlign w:val="center"/>
          </w:tcPr>
          <w:p>
            <w:pPr>
              <w:pStyle w:val="24"/>
              <w:bidi w:val="0"/>
              <w:jc w:val="center"/>
              <w:rPr>
                <w:rFonts w:hint="default"/>
                <w:lang w:val="en-US" w:eastAsia="zh-CN"/>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苯</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SKB1-VOC-JB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0.0512</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102</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w:t>
            </w:r>
            <w:r>
              <w:rPr>
                <w:rFonts w:hint="default"/>
              </w:rPr>
              <w:t>230305802</w:t>
            </w:r>
            <w:r>
              <w:rPr>
                <w:rFonts w:hint="eastAsia"/>
                <w:lang w:val="en-US" w:eastAsia="zh-CN"/>
              </w:rPr>
              <w:t>19</w:t>
            </w:r>
            <w:r>
              <w:rPr>
                <w:rFonts w:hint="default"/>
                <w:lang w:val="en-US" w:eastAsia="zh-CN"/>
              </w:rPr>
              <w:t>-JB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w:t>
            </w:r>
            <w:r>
              <w:rPr>
                <w:rFonts w:hint="eastAsia"/>
                <w:lang w:val="en-US" w:eastAsia="zh-CN"/>
              </w:rPr>
              <w:t>0.518</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104</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甲苯</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SKB1-VOC-JB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0.0493</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98.5</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w:t>
            </w:r>
            <w:r>
              <w:rPr>
                <w:rFonts w:hint="default"/>
              </w:rPr>
              <w:t>230305802</w:t>
            </w:r>
            <w:r>
              <w:rPr>
                <w:rFonts w:hint="eastAsia"/>
                <w:lang w:val="en-US" w:eastAsia="zh-CN"/>
              </w:rPr>
              <w:t>19</w:t>
            </w:r>
            <w:r>
              <w:rPr>
                <w:rFonts w:hint="default"/>
                <w:lang w:val="en-US" w:eastAsia="zh-CN"/>
              </w:rPr>
              <w:t>-JB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0.0515</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103</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间，对-二甲苯</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SKB1-VOC-JB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0.1000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0.1130</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113</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w:t>
            </w:r>
            <w:r>
              <w:rPr>
                <w:rFonts w:hint="default"/>
              </w:rPr>
              <w:t>230305802</w:t>
            </w:r>
            <w:r>
              <w:rPr>
                <w:rFonts w:hint="eastAsia"/>
                <w:lang w:val="en-US" w:eastAsia="zh-CN"/>
              </w:rPr>
              <w:t>19</w:t>
            </w:r>
            <w:r>
              <w:rPr>
                <w:rFonts w:hint="default"/>
                <w:lang w:val="en-US" w:eastAsia="zh-CN"/>
              </w:rPr>
              <w:t>-JB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0.1000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0.1181</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118</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邻-二甲苯</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SKB1-VOC-JB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0.0408</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81.6</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w:t>
            </w:r>
            <w:r>
              <w:rPr>
                <w:rFonts w:hint="default"/>
              </w:rPr>
              <w:t>230305802</w:t>
            </w:r>
            <w:r>
              <w:rPr>
                <w:rFonts w:hint="eastAsia"/>
                <w:lang w:val="en-US" w:eastAsia="zh-CN"/>
              </w:rPr>
              <w:t>19</w:t>
            </w:r>
            <w:r>
              <w:rPr>
                <w:rFonts w:hint="default"/>
                <w:lang w:val="en-US" w:eastAsia="zh-CN"/>
              </w:rPr>
              <w:t>-JB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0.0400</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80.0</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rPr>
              <w:t>苯乙烯</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SKB1-VOC-JB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0.0441</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88.3</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w:t>
            </w:r>
            <w:r>
              <w:rPr>
                <w:rFonts w:hint="default"/>
              </w:rPr>
              <w:t>230305802</w:t>
            </w:r>
            <w:r>
              <w:rPr>
                <w:rFonts w:hint="eastAsia"/>
                <w:lang w:val="en-US" w:eastAsia="zh-CN"/>
              </w:rPr>
              <w:t>19</w:t>
            </w:r>
            <w:r>
              <w:rPr>
                <w:rFonts w:hint="default"/>
                <w:lang w:val="en-US" w:eastAsia="zh-CN"/>
              </w:rPr>
              <w:t>-JB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0.0434</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86.8</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jc w:val="center"/>
              <w:rPr>
                <w:rFonts w:hint="default"/>
              </w:rPr>
            </w:pPr>
            <w:r>
              <w:rPr>
                <w:rFonts w:hint="default"/>
              </w:rPr>
              <w:t>氰化物</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rPr>
              <w:t>FHJ23030580201-CN-JB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0.95</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95.1</w:t>
            </w:r>
          </w:p>
        </w:tc>
        <w:tc>
          <w:tcPr>
            <w:tcW w:w="1290"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90</w:t>
            </w:r>
            <w:r>
              <w:rPr>
                <w:rFonts w:hint="default"/>
                <w:lang w:val="en-US" w:eastAsia="zh-CN"/>
              </w:rPr>
              <w:t>～</w:t>
            </w:r>
            <w:r>
              <w:rPr>
                <w:rFonts w:hint="eastAsia"/>
                <w:lang w:val="en-US" w:eastAsia="zh-CN"/>
              </w:rPr>
              <w:t>110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rPr>
            </w:pPr>
          </w:p>
        </w:tc>
        <w:tc>
          <w:tcPr>
            <w:tcW w:w="2388" w:type="dxa"/>
            <w:tcBorders>
              <w:tl2br w:val="nil"/>
              <w:tr2bl w:val="nil"/>
            </w:tcBorders>
            <w:shd w:val="clear" w:color="auto" w:fill="auto"/>
            <w:vAlign w:val="center"/>
          </w:tcPr>
          <w:p>
            <w:pPr>
              <w:pStyle w:val="24"/>
              <w:bidi w:val="0"/>
              <w:jc w:val="center"/>
              <w:rPr>
                <w:rFonts w:hint="default"/>
              </w:rPr>
            </w:pPr>
            <w:r>
              <w:rPr>
                <w:rFonts w:hint="default"/>
              </w:rPr>
              <w:t>FHJ23030580211-CN-JB</w:t>
            </w:r>
          </w:p>
        </w:tc>
        <w:tc>
          <w:tcPr>
            <w:tcW w:w="841"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1.00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0.94</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94.5</w:t>
            </w:r>
          </w:p>
        </w:tc>
        <w:tc>
          <w:tcPr>
            <w:tcW w:w="1290"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90</w:t>
            </w:r>
            <w:r>
              <w:rPr>
                <w:rFonts w:hint="default"/>
                <w:lang w:val="en-US" w:eastAsia="zh-CN"/>
              </w:rPr>
              <w:t>～</w:t>
            </w:r>
            <w:r>
              <w:rPr>
                <w:rFonts w:hint="eastAsia"/>
                <w:lang w:val="en-US" w:eastAsia="zh-CN"/>
              </w:rPr>
              <w:t>110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tcBorders>
              <w:tl2br w:val="nil"/>
              <w:tr2bl w:val="nil"/>
            </w:tcBorders>
            <w:shd w:val="clear" w:color="auto" w:fill="auto"/>
            <w:vAlign w:val="center"/>
          </w:tcPr>
          <w:p>
            <w:pPr>
              <w:pStyle w:val="24"/>
              <w:bidi w:val="0"/>
              <w:jc w:val="center"/>
              <w:rPr>
                <w:rFonts w:hint="default"/>
              </w:rPr>
            </w:pPr>
            <w:r>
              <w:rPr>
                <w:rFonts w:hint="default"/>
                <w:lang w:val="en-US" w:eastAsia="zh-CN"/>
              </w:rPr>
              <w:t>石油烃（C</w:t>
            </w:r>
            <w:r>
              <w:rPr>
                <w:rFonts w:hint="default"/>
                <w:vertAlign w:val="subscript"/>
                <w:lang w:val="en-US" w:eastAsia="zh-CN"/>
              </w:rPr>
              <w:t>10</w:t>
            </w:r>
            <w:r>
              <w:rPr>
                <w:rFonts w:hint="default"/>
                <w:lang w:val="en-US" w:eastAsia="zh-CN"/>
              </w:rPr>
              <w:t>-C</w:t>
            </w:r>
            <w:r>
              <w:rPr>
                <w:rFonts w:hint="default"/>
                <w:vertAlign w:val="subscript"/>
                <w:lang w:val="en-US" w:eastAsia="zh-CN"/>
              </w:rPr>
              <w:t>40</w:t>
            </w:r>
            <w:r>
              <w:rPr>
                <w:rFonts w:hint="default"/>
                <w:lang w:val="en-US" w:eastAsia="zh-CN"/>
              </w:rPr>
              <w:t>）</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FHJ2303058-SKB1--C10-C40-JB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3.10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2.56</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82.7</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70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石油烃（C</w:t>
            </w:r>
            <w:r>
              <w:rPr>
                <w:rFonts w:hint="default"/>
                <w:vertAlign w:val="subscript"/>
                <w:lang w:val="en-US" w:eastAsia="zh-CN"/>
              </w:rPr>
              <w:t>6</w:t>
            </w:r>
            <w:r>
              <w:rPr>
                <w:rFonts w:hint="default"/>
                <w:lang w:val="en-US" w:eastAsia="zh-CN"/>
              </w:rPr>
              <w:t>-C</w:t>
            </w:r>
            <w:r>
              <w:rPr>
                <w:rFonts w:hint="default"/>
                <w:vertAlign w:val="subscript"/>
                <w:lang w:val="en-US" w:eastAsia="zh-CN"/>
              </w:rPr>
              <w:t>9</w:t>
            </w:r>
            <w:r>
              <w:rPr>
                <w:rFonts w:hint="default"/>
                <w:lang w:val="en-US" w:eastAsia="zh-CN"/>
              </w:rPr>
              <w:t>）</w:t>
            </w: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FHJ23030580201JB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0.08</w:t>
            </w:r>
            <w:r>
              <w:rPr>
                <w:rFonts w:hint="eastAsia"/>
                <w:lang w:val="en-US" w:eastAsia="zh-CN"/>
              </w:rPr>
              <w:t>9</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88.8</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FHJ2303058-SKB1JB</w:t>
            </w:r>
          </w:p>
        </w:tc>
        <w:tc>
          <w:tcPr>
            <w:tcW w:w="84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0.098</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98.1</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65</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FHJ23030580202JB</w:t>
            </w:r>
          </w:p>
        </w:tc>
        <w:tc>
          <w:tcPr>
            <w:tcW w:w="841"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0.100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0.116</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116</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8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FHJ2303058-SKB2JB</w:t>
            </w:r>
          </w:p>
        </w:tc>
        <w:tc>
          <w:tcPr>
            <w:tcW w:w="841"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0.100</w:t>
            </w:r>
          </w:p>
        </w:tc>
        <w:tc>
          <w:tcPr>
            <w:tcW w:w="93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0.110</w:t>
            </w:r>
          </w:p>
        </w:tc>
        <w:tc>
          <w:tcPr>
            <w:tcW w:w="125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110</w:t>
            </w:r>
          </w:p>
        </w:tc>
        <w:tc>
          <w:tcPr>
            <w:tcW w:w="129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65</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bl>
    <w:p>
      <w:pPr>
        <w:pStyle w:val="24"/>
        <w:spacing w:before="60"/>
        <w:jc w:val="left"/>
      </w:pPr>
      <w:r>
        <w:rPr>
          <w:rFonts w:hint="eastAsia"/>
        </w:rPr>
        <w:t>备注：此表格及以下表格中 “ND”均表示低于方法检出限。</w:t>
      </w:r>
    </w:p>
    <w:p>
      <w:pPr>
        <w:pStyle w:val="23"/>
        <w:spacing w:before="240"/>
      </w:pPr>
      <w:r>
        <w:rPr>
          <w:rFonts w:hint="eastAsia"/>
        </w:rPr>
        <w:t>表</w:t>
      </w:r>
      <w:r>
        <w:t xml:space="preserve">8.1.3 </w:t>
      </w:r>
      <w:r>
        <w:rPr>
          <w:rFonts w:hint="eastAsia"/>
        </w:rPr>
        <w:t>土壤质量控制数据汇总表（一）</w:t>
      </w:r>
    </w:p>
    <w:tbl>
      <w:tblPr>
        <w:tblStyle w:val="14"/>
        <w:tblW w:w="997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067"/>
        <w:gridCol w:w="1805"/>
        <w:gridCol w:w="1526"/>
        <w:gridCol w:w="1526"/>
        <w:gridCol w:w="1526"/>
        <w:gridCol w:w="15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trHeight w:val="454" w:hRule="atLeast"/>
          <w:tblHeader/>
          <w:jc w:val="center"/>
        </w:trPr>
        <w:tc>
          <w:tcPr>
            <w:tcW w:w="2067"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检测项目</w:t>
            </w:r>
          </w:p>
        </w:tc>
        <w:tc>
          <w:tcPr>
            <w:tcW w:w="1805"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控样编号</w:t>
            </w:r>
          </w:p>
        </w:tc>
        <w:tc>
          <w:tcPr>
            <w:tcW w:w="1526"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eastAsia="zh-CN"/>
              </w:rPr>
              <w:t>标准值</w:t>
            </w:r>
            <w:r>
              <w:rPr>
                <w:rFonts w:hint="default"/>
              </w:rPr>
              <w:t>(</w:t>
            </w:r>
            <w:r>
              <w:rPr>
                <w:rFonts w:hint="default"/>
                <w:lang w:eastAsia="zh-CN"/>
              </w:rPr>
              <w:t>mg/kg</w:t>
            </w:r>
            <w:r>
              <w:rPr>
                <w:rFonts w:hint="default"/>
              </w:rPr>
              <w:t>)</w:t>
            </w:r>
          </w:p>
        </w:tc>
        <w:tc>
          <w:tcPr>
            <w:tcW w:w="1526"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eastAsia="zh-CN"/>
              </w:rPr>
              <w:t>标准偏差（</w:t>
            </w:r>
            <w:r>
              <w:rPr>
                <w:rFonts w:hint="default"/>
                <w:lang w:val="en-US" w:eastAsia="zh-CN"/>
              </w:rPr>
              <w:t>S</w:t>
            </w:r>
            <w:r>
              <w:rPr>
                <w:rFonts w:hint="default"/>
                <w:lang w:eastAsia="zh-CN"/>
              </w:rPr>
              <w:t>）</w:t>
            </w:r>
            <w:r>
              <w:rPr>
                <w:rFonts w:hint="default"/>
              </w:rPr>
              <w:t>(</w:t>
            </w:r>
            <w:r>
              <w:rPr>
                <w:rFonts w:hint="default"/>
                <w:lang w:eastAsia="zh-CN"/>
              </w:rPr>
              <w:t>mg/kg</w:t>
            </w:r>
            <w:r>
              <w:rPr>
                <w:rFonts w:hint="default"/>
              </w:rPr>
              <w:t>)</w:t>
            </w:r>
          </w:p>
        </w:tc>
        <w:tc>
          <w:tcPr>
            <w:tcW w:w="1526"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测定值(</w:t>
            </w:r>
            <w:r>
              <w:rPr>
                <w:rFonts w:hint="default"/>
                <w:lang w:eastAsia="zh-CN"/>
              </w:rPr>
              <w:t>mg/kg</w:t>
            </w:r>
            <w:r>
              <w:rPr>
                <w:rFonts w:hint="default"/>
              </w:rPr>
              <w:t>)</w:t>
            </w:r>
          </w:p>
        </w:tc>
        <w:tc>
          <w:tcPr>
            <w:tcW w:w="1528"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铜</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GSS-5a</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147</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10</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146</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铅</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GSS-5a</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38</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37</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镉</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GSS-5a</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0.16</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0.03</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0.18</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镍</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GSS-5a</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245</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14</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252</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汞</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ERM-510205</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0.215</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0.042</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0.200</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砷</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GBW07381</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14.8</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0.6</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14.</w:t>
            </w:r>
            <w:r>
              <w:rPr>
                <w:rFonts w:hint="eastAsia"/>
                <w:lang w:val="en-US" w:eastAsia="zh-CN"/>
              </w:rPr>
              <w:t>4</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铬（六价）</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GBW(E)070255</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68</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7</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65.2</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val="en-US" w:eastAsia="zh-CN"/>
              </w:rPr>
            </w:pPr>
            <w:r>
              <w:rPr>
                <w:rFonts w:hint="default"/>
                <w:lang w:eastAsia="zh-CN"/>
              </w:rPr>
              <w:t>项目名称</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控样编号</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标准值</w:t>
            </w:r>
          </w:p>
          <w:p>
            <w:pPr>
              <w:pStyle w:val="24"/>
              <w:bidi w:val="0"/>
              <w:jc w:val="center"/>
              <w:rPr>
                <w:rFonts w:hint="default"/>
                <w:lang w:val="en-US" w:eastAsia="zh-CN"/>
              </w:rPr>
            </w:pPr>
            <w:r>
              <w:rPr>
                <w:rFonts w:hint="default"/>
                <w:lang w:val="en-US" w:eastAsia="zh-CN"/>
              </w:rPr>
              <w:t>（pH单位)</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扩展不确定度</w:t>
            </w:r>
          </w:p>
          <w:p>
            <w:pPr>
              <w:pStyle w:val="24"/>
              <w:bidi w:val="0"/>
              <w:jc w:val="center"/>
              <w:rPr>
                <w:rFonts w:hint="default"/>
                <w:lang w:val="en-US" w:eastAsia="zh-CN"/>
              </w:rPr>
            </w:pPr>
            <w:r>
              <w:rPr>
                <w:rFonts w:hint="default"/>
                <w:lang w:val="en-US" w:eastAsia="zh-CN"/>
              </w:rPr>
              <w:t>（pH单位)（k=2）</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eastAsia="zh-CN"/>
              </w:rPr>
              <w:t>测定值</w:t>
            </w:r>
            <w:r>
              <w:rPr>
                <w:rFonts w:hint="default"/>
                <w:lang w:val="en-US" w:eastAsia="zh-CN"/>
              </w:rPr>
              <w:t>（pH单位)</w:t>
            </w:r>
          </w:p>
        </w:tc>
        <w:tc>
          <w:tcPr>
            <w:tcW w:w="1528" w:type="dxa"/>
            <w:tcBorders>
              <w:tl2br w:val="nil"/>
              <w:tr2bl w:val="nil"/>
            </w:tcBorders>
            <w:shd w:val="clear" w:color="auto" w:fill="auto"/>
            <w:vAlign w:val="center"/>
          </w:tcPr>
          <w:p>
            <w:pPr>
              <w:pStyle w:val="24"/>
              <w:bidi w:val="0"/>
              <w:jc w:val="center"/>
              <w:rPr>
                <w:rFonts w:hint="default"/>
                <w:lang w:val="en-US" w:eastAsia="zh-CN"/>
              </w:rPr>
            </w:pPr>
            <w:r>
              <w:rPr>
                <w:rFonts w:hint="default"/>
                <w:lang w:eastAsia="zh-CN"/>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67" w:type="dxa"/>
            <w:tcBorders>
              <w:tl2br w:val="nil"/>
              <w:tr2bl w:val="nil"/>
            </w:tcBorders>
            <w:shd w:val="clear" w:color="auto" w:fill="auto"/>
            <w:vAlign w:val="center"/>
          </w:tcPr>
          <w:p>
            <w:pPr>
              <w:pStyle w:val="24"/>
              <w:bidi w:val="0"/>
              <w:jc w:val="center"/>
              <w:rPr>
                <w:rFonts w:hint="default"/>
                <w:lang w:eastAsia="zh-CN"/>
              </w:rPr>
            </w:pPr>
            <w:r>
              <w:rPr>
                <w:rFonts w:hint="default"/>
                <w:lang w:val="en-US" w:eastAsia="zh-CN"/>
              </w:rPr>
              <w:t>pH</w:t>
            </w:r>
          </w:p>
        </w:tc>
        <w:tc>
          <w:tcPr>
            <w:tcW w:w="1805"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GpH-6</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7.15</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0.05</w:t>
            </w:r>
          </w:p>
        </w:tc>
        <w:tc>
          <w:tcPr>
            <w:tcW w:w="152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7.16</w:t>
            </w:r>
          </w:p>
        </w:tc>
        <w:tc>
          <w:tcPr>
            <w:tcW w:w="1528" w:type="dxa"/>
            <w:tcBorders>
              <w:tl2br w:val="nil"/>
              <w:tr2bl w:val="nil"/>
            </w:tcBorders>
            <w:shd w:val="clear" w:color="auto" w:fill="auto"/>
            <w:vAlign w:val="center"/>
          </w:tcPr>
          <w:p>
            <w:pPr>
              <w:pStyle w:val="24"/>
              <w:bidi w:val="0"/>
              <w:jc w:val="center"/>
              <w:rPr>
                <w:rFonts w:hint="default"/>
                <w:lang w:eastAsia="zh-CN"/>
              </w:rPr>
            </w:pPr>
            <w:r>
              <w:rPr>
                <w:rFonts w:hint="default"/>
                <w:lang w:eastAsia="zh-CN"/>
              </w:rPr>
              <w:t>符合</w:t>
            </w:r>
          </w:p>
        </w:tc>
      </w:tr>
    </w:tbl>
    <w:p>
      <w:pPr>
        <w:pStyle w:val="23"/>
        <w:spacing w:before="240"/>
      </w:pPr>
      <w:r>
        <w:rPr>
          <w:rFonts w:hint="eastAsia"/>
        </w:rPr>
        <w:t>表</w:t>
      </w:r>
      <w:r>
        <w:t xml:space="preserve">8.1.4 </w:t>
      </w:r>
      <w:r>
        <w:rPr>
          <w:rFonts w:hint="eastAsia"/>
        </w:rPr>
        <w:t>土壤质量控制数据汇总表（二）</w:t>
      </w:r>
    </w:p>
    <w:tbl>
      <w:tblPr>
        <w:tblStyle w:val="14"/>
        <w:tblW w:w="989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028"/>
        <w:gridCol w:w="1454"/>
        <w:gridCol w:w="1232"/>
        <w:gridCol w:w="1254"/>
        <w:gridCol w:w="1227"/>
        <w:gridCol w:w="1787"/>
        <w:gridCol w:w="91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trHeight w:val="454" w:hRule="atLeast"/>
          <w:tblHeader/>
          <w:jc w:val="center"/>
        </w:trPr>
        <w:tc>
          <w:tcPr>
            <w:tcW w:w="2028"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default"/>
                <w:lang w:eastAsia="zh-CN"/>
              </w:rPr>
              <w:br w:type="page"/>
            </w:r>
            <w:r>
              <w:rPr>
                <w:rFonts w:hint="default"/>
              </w:rPr>
              <w:t>项目名称</w:t>
            </w:r>
          </w:p>
        </w:tc>
        <w:tc>
          <w:tcPr>
            <w:tcW w:w="1454"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控样编号</w:t>
            </w:r>
          </w:p>
        </w:tc>
        <w:tc>
          <w:tcPr>
            <w:tcW w:w="2486"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测定值(mg/</w:t>
            </w:r>
            <w:r>
              <w:rPr>
                <w:rFonts w:hint="eastAsia"/>
                <w:lang w:val="en-US" w:eastAsia="zh-CN"/>
              </w:rPr>
              <w:t>kg</w:t>
            </w:r>
            <w:r>
              <w:rPr>
                <w:rFonts w:hint="default"/>
              </w:rPr>
              <w:t>)</w:t>
            </w:r>
          </w:p>
        </w:tc>
        <w:tc>
          <w:tcPr>
            <w:tcW w:w="1227" w:type="dxa"/>
            <w:vMerge w:val="restart"/>
            <w:tcBorders>
              <w:tl2br w:val="nil"/>
              <w:tr2bl w:val="nil"/>
            </w:tcBorders>
            <w:shd w:val="clear" w:color="auto" w:fill="auto"/>
            <w:noWrap w:val="0"/>
            <w:vAlign w:val="center"/>
          </w:tcPr>
          <w:p>
            <w:pPr>
              <w:pStyle w:val="24"/>
              <w:bidi w:val="0"/>
              <w:jc w:val="center"/>
              <w:rPr>
                <w:rFonts w:hint="default"/>
              </w:rPr>
            </w:pPr>
            <w:r>
              <w:rPr>
                <w:rFonts w:hint="default"/>
              </w:rPr>
              <w:t>相对偏差</w:t>
            </w:r>
          </w:p>
          <w:p>
            <w:pPr>
              <w:pStyle w:val="24"/>
              <w:bidi w:val="0"/>
              <w:jc w:val="center"/>
              <w:rPr>
                <w:rFonts w:hint="default"/>
                <w:lang w:val="en-US" w:eastAsia="zh-CN"/>
              </w:rPr>
            </w:pPr>
            <w:r>
              <w:rPr>
                <w:rFonts w:hint="default"/>
              </w:rPr>
              <w:t>（%）</w:t>
            </w:r>
          </w:p>
        </w:tc>
        <w:tc>
          <w:tcPr>
            <w:tcW w:w="1787"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 xml:space="preserve">评价标准      </w:t>
            </w:r>
            <w:r>
              <w:rPr>
                <w:rFonts w:hint="eastAsia"/>
                <w:lang w:val="en-US" w:eastAsia="zh-CN"/>
              </w:rPr>
              <w:br w:type="textWrapping"/>
            </w:r>
            <w:r>
              <w:rPr>
                <w:rFonts w:hint="eastAsia"/>
                <w:lang w:val="en-US" w:eastAsia="zh-CN"/>
              </w:rPr>
              <w:t>(允许相对偏差)(%)</w:t>
            </w:r>
          </w:p>
        </w:tc>
        <w:tc>
          <w:tcPr>
            <w:tcW w:w="916"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default"/>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2028"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1454"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1232"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第1次</w:t>
            </w:r>
          </w:p>
        </w:tc>
        <w:tc>
          <w:tcPr>
            <w:tcW w:w="125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第2次</w:t>
            </w:r>
          </w:p>
        </w:tc>
        <w:tc>
          <w:tcPr>
            <w:tcW w:w="1227"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1787"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916"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rPr>
              <w:t>铜</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w:t>
            </w:r>
            <w:r>
              <w:rPr>
                <w:rFonts w:hint="default"/>
                <w:lang w:val="en-US" w:eastAsia="zh-CN"/>
              </w:rPr>
              <w:t>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18.3</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18.9</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1.6</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23.7</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24.5</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1.7</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rPr>
              <w:t>铅</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w:t>
            </w:r>
            <w:r>
              <w:rPr>
                <w:rFonts w:hint="default"/>
                <w:lang w:val="en-US" w:eastAsia="zh-CN"/>
              </w:rPr>
              <w:t>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29.4</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31.8</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3.9</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26.7</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27.9</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2.2</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rPr>
              <w:t>镍</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w:t>
            </w:r>
            <w:r>
              <w:rPr>
                <w:rFonts w:hint="default"/>
                <w:lang w:val="en-US" w:eastAsia="zh-CN"/>
              </w:rPr>
              <w:t>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11.3</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11.7</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1.7</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15.8</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15.9</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0.3</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rPr>
              <w:t>镉</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w:t>
            </w:r>
            <w:r>
              <w:rPr>
                <w:rFonts w:hint="default"/>
                <w:lang w:val="en-US" w:eastAsia="zh-CN"/>
              </w:rPr>
              <w:t>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0.77</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0.77</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0.0</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0.47</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0.49</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2.1</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铬（六价）</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汞</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0.192</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0.184</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2.1</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0.270</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0.252</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3.4</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rPr>
              <w:t>砷</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w:t>
            </w:r>
            <w:r>
              <w:rPr>
                <w:rFonts w:hint="default"/>
                <w:lang w:val="en-US" w:eastAsia="zh-CN"/>
              </w:rPr>
              <w:t>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1.71</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1.48</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7.2</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2.83</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2.71</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2.2</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石油烃（C</w:t>
            </w:r>
            <w:r>
              <w:rPr>
                <w:rFonts w:hint="default"/>
                <w:vertAlign w:val="subscript"/>
                <w:lang w:val="en-US" w:eastAsia="zh-CN"/>
              </w:rPr>
              <w:t>10</w:t>
            </w:r>
            <w:r>
              <w:rPr>
                <w:rFonts w:hint="default"/>
                <w:lang w:val="en-US" w:eastAsia="zh-CN"/>
              </w:rPr>
              <w:t>-C</w:t>
            </w:r>
            <w:r>
              <w:rPr>
                <w:rFonts w:hint="default"/>
                <w:vertAlign w:val="subscript"/>
                <w:lang w:val="en-US" w:eastAsia="zh-CN"/>
              </w:rPr>
              <w:t>40</w:t>
            </w:r>
            <w:r>
              <w:rPr>
                <w:rFonts w:hint="default"/>
                <w:lang w:val="en-US" w:eastAsia="zh-CN"/>
              </w:rPr>
              <w:t>）</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165</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147</w:t>
            </w:r>
          </w:p>
        </w:tc>
        <w:tc>
          <w:tcPr>
            <w:tcW w:w="122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6.0</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197</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151</w:t>
            </w:r>
          </w:p>
        </w:tc>
        <w:tc>
          <w:tcPr>
            <w:tcW w:w="122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13</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石油烃（C</w:t>
            </w:r>
            <w:r>
              <w:rPr>
                <w:rFonts w:hint="default"/>
                <w:vertAlign w:val="subscript"/>
                <w:lang w:val="en-US" w:eastAsia="zh-CN"/>
              </w:rPr>
              <w:t>6</w:t>
            </w:r>
            <w:r>
              <w:rPr>
                <w:rFonts w:hint="default"/>
                <w:lang w:val="en-US" w:eastAsia="zh-CN"/>
              </w:rPr>
              <w:t>-C</w:t>
            </w:r>
            <w:r>
              <w:rPr>
                <w:rFonts w:hint="default"/>
                <w:vertAlign w:val="subscript"/>
                <w:lang w:val="en-US" w:eastAsia="zh-CN"/>
              </w:rPr>
              <w:t>9</w:t>
            </w:r>
            <w:r>
              <w:rPr>
                <w:rFonts w:hint="default"/>
                <w:lang w:val="en-US" w:eastAsia="zh-CN"/>
              </w:rPr>
              <w:t>）</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硝基苯</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苯胺</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2-氯酚</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苯并[a]蒽</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苯并[a]芘</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苯并[b]荧蒽</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rPr>
              <w:t>苯并[k]荧蒽</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䓛</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二苯并[a,h]蒽</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rPr>
              <w:t>茚并[1,2,3-cd]芘</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tcBorders>
              <w:tl2br w:val="nil"/>
              <w:tr2bl w:val="nil"/>
            </w:tcBorders>
            <w:shd w:val="clear" w:color="auto" w:fill="auto"/>
            <w:vAlign w:val="center"/>
          </w:tcPr>
          <w:p>
            <w:pPr>
              <w:pStyle w:val="24"/>
              <w:bidi w:val="0"/>
              <w:jc w:val="center"/>
              <w:rPr>
                <w:rFonts w:hint="eastAsia"/>
                <w:lang w:val="en-US" w:eastAsia="zh-CN"/>
              </w:rPr>
            </w:pPr>
            <w:r>
              <w:rPr>
                <w:rFonts w:hint="default"/>
                <w:lang w:eastAsia="zh-CN"/>
              </w:rPr>
              <w:t>萘</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eastAsia="zh-CN"/>
              </w:rPr>
              <w:t>采样平行</w:t>
            </w:r>
            <w:r>
              <w:rPr>
                <w:rFonts w:hint="default"/>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ND</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ND</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bl>
    <w:p>
      <w:pPr>
        <w:pStyle w:val="23"/>
        <w:spacing w:before="240"/>
      </w:pPr>
      <w:r>
        <w:rPr>
          <w:rFonts w:hint="eastAsia"/>
        </w:rPr>
        <w:t>表</w:t>
      </w:r>
      <w:r>
        <w:t xml:space="preserve">8.1.5 </w:t>
      </w:r>
      <w:r>
        <w:rPr>
          <w:rFonts w:hint="eastAsia"/>
        </w:rPr>
        <w:t>土壤质量控制数据汇总表（三）</w:t>
      </w:r>
    </w:p>
    <w:tbl>
      <w:tblPr>
        <w:tblStyle w:val="14"/>
        <w:tblW w:w="9928" w:type="dxa"/>
        <w:jc w:val="center"/>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029"/>
        <w:gridCol w:w="1746"/>
        <w:gridCol w:w="1277"/>
        <w:gridCol w:w="1277"/>
        <w:gridCol w:w="1277"/>
        <w:gridCol w:w="2251"/>
        <w:gridCol w:w="1071"/>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825" w:hRule="atLeast"/>
          <w:tblHeader/>
          <w:jc w:val="center"/>
        </w:trPr>
        <w:tc>
          <w:tcPr>
            <w:tcW w:w="102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检测项目</w:t>
            </w:r>
          </w:p>
        </w:tc>
        <w:tc>
          <w:tcPr>
            <w:tcW w:w="1746" w:type="dxa"/>
            <w:tcBorders>
              <w:tl2br w:val="nil"/>
              <w:tr2bl w:val="nil"/>
            </w:tcBorders>
            <w:shd w:val="clear" w:color="auto" w:fill="auto"/>
            <w:vAlign w:val="center"/>
          </w:tcPr>
          <w:p>
            <w:pPr>
              <w:pStyle w:val="24"/>
              <w:bidi w:val="0"/>
              <w:rPr>
                <w:rFonts w:hint="default"/>
                <w:lang w:val="en-US" w:eastAsia="zh-CN"/>
              </w:rPr>
            </w:pPr>
            <w:r>
              <w:rPr>
                <w:rFonts w:hint="default"/>
              </w:rPr>
              <w:t>控样编号</w:t>
            </w:r>
          </w:p>
        </w:tc>
        <w:tc>
          <w:tcPr>
            <w:tcW w:w="127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检测值A       （pH单位)</w:t>
            </w:r>
          </w:p>
        </w:tc>
        <w:tc>
          <w:tcPr>
            <w:tcW w:w="127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检测值B</w:t>
            </w:r>
          </w:p>
          <w:p>
            <w:pPr>
              <w:pStyle w:val="24"/>
              <w:bidi w:val="0"/>
              <w:rPr>
                <w:rFonts w:hint="default"/>
                <w:lang w:val="en-US" w:eastAsia="zh-CN"/>
              </w:rPr>
            </w:pPr>
            <w:r>
              <w:rPr>
                <w:rFonts w:hint="default"/>
                <w:lang w:val="en-US" w:eastAsia="zh-CN"/>
              </w:rPr>
              <w:t>（pH单位)</w:t>
            </w:r>
          </w:p>
        </w:tc>
        <w:tc>
          <w:tcPr>
            <w:tcW w:w="127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绝对差值</w:t>
            </w:r>
            <w:r>
              <w:rPr>
                <w:rFonts w:hint="default"/>
                <w:lang w:val="en-US" w:eastAsia="zh-CN"/>
              </w:rPr>
              <w:br w:type="textWrapping"/>
            </w:r>
            <w:r>
              <w:rPr>
                <w:rFonts w:hint="default"/>
                <w:lang w:val="en-US" w:eastAsia="zh-CN"/>
              </w:rPr>
              <w:t>（pH单位）</w:t>
            </w:r>
          </w:p>
        </w:tc>
        <w:tc>
          <w:tcPr>
            <w:tcW w:w="225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评价标准 (允许绝对差值)</w:t>
            </w:r>
          </w:p>
          <w:p>
            <w:pPr>
              <w:pStyle w:val="24"/>
              <w:bidi w:val="0"/>
              <w:rPr>
                <w:rFonts w:hint="default"/>
                <w:lang w:val="en-US" w:eastAsia="zh-CN"/>
              </w:rPr>
            </w:pPr>
            <w:r>
              <w:rPr>
                <w:rFonts w:hint="default"/>
                <w:lang w:val="en-US" w:eastAsia="zh-CN"/>
              </w:rPr>
              <w:t>(pH单位)</w:t>
            </w:r>
          </w:p>
        </w:tc>
        <w:tc>
          <w:tcPr>
            <w:tcW w:w="107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评价</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1029" w:type="dxa"/>
            <w:vMerge w:val="restart"/>
            <w:tcBorders>
              <w:tl2br w:val="nil"/>
              <w:tr2bl w:val="nil"/>
            </w:tcBorders>
            <w:shd w:val="clear" w:color="auto" w:fill="auto"/>
            <w:vAlign w:val="center"/>
          </w:tcPr>
          <w:p>
            <w:pPr>
              <w:pStyle w:val="24"/>
              <w:bidi w:val="0"/>
              <w:rPr>
                <w:rFonts w:hint="default"/>
                <w:lang w:val="en-US" w:eastAsia="zh-CN"/>
              </w:rPr>
            </w:pPr>
            <w:r>
              <w:rPr>
                <w:rFonts w:hint="default"/>
              </w:rPr>
              <w:t>pH</w:t>
            </w:r>
          </w:p>
        </w:tc>
        <w:tc>
          <w:tcPr>
            <w:tcW w:w="1746" w:type="dxa"/>
            <w:tcBorders>
              <w:tl2br w:val="nil"/>
              <w:tr2bl w:val="nil"/>
            </w:tcBorders>
            <w:shd w:val="clear" w:color="auto" w:fill="auto"/>
            <w:vAlign w:val="center"/>
          </w:tcPr>
          <w:p>
            <w:pPr>
              <w:pStyle w:val="24"/>
              <w:bidi w:val="0"/>
              <w:rPr>
                <w:rFonts w:hint="default"/>
                <w:lang w:val="en-US" w:eastAsia="zh-CN"/>
              </w:rPr>
            </w:pPr>
            <w:r>
              <w:rPr>
                <w:rFonts w:hint="default"/>
                <w:lang w:eastAsia="zh-CN"/>
              </w:rPr>
              <w:t>采样</w:t>
            </w:r>
            <w:r>
              <w:rPr>
                <w:rFonts w:hint="default"/>
              </w:rPr>
              <w:t>平行样</w:t>
            </w:r>
          </w:p>
        </w:tc>
        <w:tc>
          <w:tcPr>
            <w:tcW w:w="1277"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7.31</w:t>
            </w:r>
          </w:p>
        </w:tc>
        <w:tc>
          <w:tcPr>
            <w:tcW w:w="1277"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7.81</w:t>
            </w:r>
          </w:p>
        </w:tc>
        <w:tc>
          <w:tcPr>
            <w:tcW w:w="1277"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0.50</w:t>
            </w:r>
          </w:p>
        </w:tc>
        <w:tc>
          <w:tcPr>
            <w:tcW w:w="225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中性、酸性土壤≤0.1</w:t>
            </w:r>
          </w:p>
          <w:p>
            <w:pPr>
              <w:pStyle w:val="24"/>
              <w:bidi w:val="0"/>
              <w:rPr>
                <w:rFonts w:hint="default"/>
                <w:lang w:val="en-US" w:eastAsia="zh-CN"/>
              </w:rPr>
            </w:pPr>
            <w:r>
              <w:rPr>
                <w:rFonts w:hint="default"/>
                <w:lang w:val="en-US" w:eastAsia="zh-CN"/>
              </w:rPr>
              <w:t>碱性土壤≤0.2</w:t>
            </w:r>
          </w:p>
        </w:tc>
        <w:tc>
          <w:tcPr>
            <w:tcW w:w="107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1029" w:type="dxa"/>
            <w:vMerge w:val="continue"/>
            <w:tcBorders>
              <w:tl2br w:val="nil"/>
              <w:tr2bl w:val="nil"/>
            </w:tcBorders>
            <w:shd w:val="clear" w:color="auto" w:fill="auto"/>
          </w:tcPr>
          <w:p>
            <w:pPr>
              <w:pStyle w:val="24"/>
              <w:bidi w:val="0"/>
              <w:rPr>
                <w:rFonts w:hint="default"/>
                <w:lang w:val="en-US" w:eastAsia="zh-CN"/>
              </w:rPr>
            </w:pPr>
          </w:p>
        </w:tc>
        <w:tc>
          <w:tcPr>
            <w:tcW w:w="1746" w:type="dxa"/>
            <w:tcBorders>
              <w:tl2br w:val="nil"/>
              <w:tr2bl w:val="nil"/>
            </w:tcBorders>
            <w:shd w:val="clear" w:color="auto" w:fill="auto"/>
            <w:vAlign w:val="center"/>
          </w:tcPr>
          <w:p>
            <w:pPr>
              <w:pStyle w:val="24"/>
              <w:bidi w:val="0"/>
              <w:rPr>
                <w:rFonts w:hint="default"/>
                <w:lang w:val="en-US" w:eastAsia="zh-CN"/>
              </w:rPr>
            </w:pPr>
            <w:r>
              <w:rPr>
                <w:rFonts w:hint="default"/>
              </w:rPr>
              <w:t>实验</w:t>
            </w:r>
            <w:r>
              <w:rPr>
                <w:rFonts w:hint="default"/>
                <w:lang w:eastAsia="zh-CN"/>
              </w:rPr>
              <w:t>平行</w:t>
            </w:r>
            <w:r>
              <w:rPr>
                <w:rFonts w:hint="default"/>
              </w:rPr>
              <w:t>样</w:t>
            </w:r>
          </w:p>
        </w:tc>
        <w:tc>
          <w:tcPr>
            <w:tcW w:w="1277"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7.68</w:t>
            </w:r>
          </w:p>
        </w:tc>
        <w:tc>
          <w:tcPr>
            <w:tcW w:w="1277"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7.72</w:t>
            </w:r>
          </w:p>
        </w:tc>
        <w:tc>
          <w:tcPr>
            <w:tcW w:w="1277"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0.04</w:t>
            </w:r>
          </w:p>
        </w:tc>
        <w:tc>
          <w:tcPr>
            <w:tcW w:w="225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中性、酸性土壤≤0.1</w:t>
            </w:r>
          </w:p>
          <w:p>
            <w:pPr>
              <w:pStyle w:val="24"/>
              <w:bidi w:val="0"/>
              <w:rPr>
                <w:rFonts w:hint="default"/>
                <w:lang w:val="en-US" w:eastAsia="zh-CN"/>
              </w:rPr>
            </w:pPr>
            <w:r>
              <w:rPr>
                <w:rFonts w:hint="default"/>
                <w:lang w:val="en-US" w:eastAsia="zh-CN"/>
              </w:rPr>
              <w:t>碱性土壤≤0.2</w:t>
            </w:r>
          </w:p>
        </w:tc>
        <w:tc>
          <w:tcPr>
            <w:tcW w:w="1071"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bl>
    <w:p>
      <w:pPr>
        <w:rPr>
          <w:rFonts w:hint="eastAsia"/>
        </w:rPr>
        <w:sectPr>
          <w:pgSz w:w="11907" w:h="16839"/>
          <w:pgMar w:top="1134" w:right="1134" w:bottom="1134" w:left="1134" w:header="851" w:footer="992" w:gutter="0"/>
          <w:pgBorders>
            <w:top w:val="none" w:sz="0" w:space="0"/>
            <w:left w:val="none" w:sz="0" w:space="0"/>
            <w:bottom w:val="none" w:sz="0" w:space="0"/>
            <w:right w:val="none" w:sz="0" w:space="0"/>
          </w:pgBorders>
          <w:cols w:space="720" w:num="1"/>
          <w:docGrid w:type="lines" w:linePitch="312" w:charSpace="0"/>
        </w:sectPr>
      </w:pPr>
    </w:p>
    <w:p>
      <w:pPr>
        <w:pStyle w:val="23"/>
      </w:pPr>
      <w:r>
        <w:rPr>
          <w:rFonts w:hint="eastAsia"/>
        </w:rPr>
        <w:t>表</w:t>
      </w:r>
      <w:r>
        <w:t xml:space="preserve">8.1.6 </w:t>
      </w:r>
      <w:r>
        <w:rPr>
          <w:rFonts w:hint="eastAsia"/>
        </w:rPr>
        <w:t>土壤质量控制数据汇总表（四）</w:t>
      </w:r>
    </w:p>
    <w:tbl>
      <w:tblPr>
        <w:tblStyle w:val="14"/>
        <w:tblW w:w="10065" w:type="dxa"/>
        <w:jc w:val="center"/>
        <w:tblInd w:w="0" w:type="dxa"/>
        <w:tblBorders>
          <w:top w:val="single" w:color="auto" w:sz="4" w:space="0"/>
          <w:left w:val="none" w:color="auto" w:sz="0" w:space="0"/>
          <w:bottom w:val="single" w:color="000000" w:sz="4" w:space="0"/>
          <w:right w:val="none" w:color="auto" w:sz="0"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361"/>
        <w:gridCol w:w="2301"/>
        <w:gridCol w:w="1080"/>
        <w:gridCol w:w="1057"/>
        <w:gridCol w:w="1058"/>
        <w:gridCol w:w="1104"/>
        <w:gridCol w:w="1211"/>
        <w:gridCol w:w="893"/>
      </w:tblGrid>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shd w:val="clear" w:color="auto" w:fill="auto"/>
          <w:tblLayout w:type="fixed"/>
          <w:tblCellMar>
            <w:top w:w="0" w:type="dxa"/>
            <w:left w:w="0" w:type="dxa"/>
            <w:bottom w:w="0" w:type="dxa"/>
            <w:right w:w="0" w:type="dxa"/>
          </w:tblCellMar>
        </w:tblPrEx>
        <w:trPr>
          <w:trHeight w:val="454" w:hRule="atLeast"/>
          <w:tblHeader/>
          <w:jc w:val="center"/>
        </w:trPr>
        <w:tc>
          <w:tcPr>
            <w:tcW w:w="1361"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检测项目</w:t>
            </w:r>
          </w:p>
        </w:tc>
        <w:tc>
          <w:tcPr>
            <w:tcW w:w="2301"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样品编号</w:t>
            </w:r>
          </w:p>
        </w:tc>
        <w:tc>
          <w:tcPr>
            <w:tcW w:w="1080"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加标量</w:t>
            </w:r>
          </w:p>
          <w:p>
            <w:pPr>
              <w:pStyle w:val="24"/>
              <w:bidi w:val="0"/>
              <w:jc w:val="center"/>
              <w:rPr>
                <w:rFonts w:hint="default"/>
                <w:lang w:val="en-US" w:eastAsia="zh-CN"/>
              </w:rPr>
            </w:pPr>
            <w:r>
              <w:rPr>
                <w:rFonts w:hint="default"/>
                <w:lang w:val="en-US" w:eastAsia="zh-CN"/>
              </w:rPr>
              <w:t>(mg/kg)</w:t>
            </w:r>
          </w:p>
        </w:tc>
        <w:tc>
          <w:tcPr>
            <w:tcW w:w="2115"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检测结果(mg/kg)</w:t>
            </w:r>
          </w:p>
        </w:tc>
        <w:tc>
          <w:tcPr>
            <w:tcW w:w="1104"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加标回收率(%）</w:t>
            </w:r>
          </w:p>
        </w:tc>
        <w:tc>
          <w:tcPr>
            <w:tcW w:w="1211"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评价标准(%)</w:t>
            </w:r>
          </w:p>
        </w:tc>
        <w:tc>
          <w:tcPr>
            <w:tcW w:w="893"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结果评价</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Header/>
          <w:jc w:val="center"/>
        </w:trPr>
        <w:tc>
          <w:tcPr>
            <w:tcW w:w="1361"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01"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1080"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样品</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加标样品</w:t>
            </w:r>
          </w:p>
        </w:tc>
        <w:tc>
          <w:tcPr>
            <w:tcW w:w="1104"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1211"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893" w:type="dxa"/>
            <w:vMerge w:val="continue"/>
            <w:tcBorders>
              <w:tl2br w:val="nil"/>
              <w:tr2bl w:val="nil"/>
            </w:tcBorders>
            <w:shd w:val="clear" w:color="auto" w:fill="auto"/>
            <w:vAlign w:val="center"/>
          </w:tcPr>
          <w:p>
            <w:pPr>
              <w:pStyle w:val="24"/>
              <w:bidi w:val="0"/>
              <w:jc w:val="center"/>
              <w:rPr>
                <w:rFonts w:hint="default"/>
                <w:lang w:val="en-US" w:eastAsia="zh-CN"/>
              </w:rPr>
            </w:pP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vMerge w:val="restart"/>
            <w:tcBorders>
              <w:tl2br w:val="nil"/>
              <w:tr2bl w:val="nil"/>
            </w:tcBorders>
            <w:shd w:val="clear" w:color="auto" w:fill="auto"/>
            <w:vAlign w:val="center"/>
          </w:tcPr>
          <w:p>
            <w:pPr>
              <w:pStyle w:val="24"/>
              <w:bidi w:val="0"/>
              <w:jc w:val="center"/>
              <w:rPr>
                <w:rFonts w:hint="default"/>
                <w:lang w:val="en-US" w:eastAsia="zh-CN"/>
              </w:rPr>
            </w:pPr>
            <w:r>
              <w:rPr>
                <w:rFonts w:hint="default"/>
              </w:rPr>
              <w:t>石油烃（C</w:t>
            </w:r>
            <w:r>
              <w:rPr>
                <w:rFonts w:hint="default"/>
                <w:vertAlign w:val="subscript"/>
              </w:rPr>
              <w:t>10</w:t>
            </w:r>
            <w:r>
              <w:rPr>
                <w:rFonts w:hint="default"/>
              </w:rPr>
              <w:t>-C</w:t>
            </w:r>
            <w:r>
              <w:rPr>
                <w:rFonts w:hint="default"/>
                <w:vertAlign w:val="subscript"/>
              </w:rPr>
              <w:t>40</w:t>
            </w:r>
            <w:r>
              <w:rPr>
                <w:rFonts w:hint="default"/>
              </w:rPr>
              <w:t>）</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FHJ2303058-TKB1-</w:t>
            </w:r>
            <w:r>
              <w:rPr>
                <w:rFonts w:hint="default"/>
              </w:rPr>
              <w:t>C</w:t>
            </w:r>
            <w:r>
              <w:rPr>
                <w:rFonts w:hint="default"/>
                <w:vertAlign w:val="subscript"/>
              </w:rPr>
              <w:t>10</w:t>
            </w:r>
            <w:r>
              <w:rPr>
                <w:rFonts w:hint="default"/>
              </w:rPr>
              <w:t>-C</w:t>
            </w:r>
            <w:r>
              <w:rPr>
                <w:rFonts w:hint="default"/>
                <w:vertAlign w:val="subscript"/>
              </w:rPr>
              <w:t>40</w:t>
            </w:r>
            <w:r>
              <w:rPr>
                <w:rFonts w:hint="default"/>
                <w:lang w:val="en-US" w:eastAsia="zh-CN"/>
              </w:rPr>
              <w:t>-JB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62</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58</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94.0</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70～120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vMerge w:val="continue"/>
            <w:tcBorders>
              <w:tl2br w:val="nil"/>
              <w:tr2bl w:val="nil"/>
            </w:tcBorders>
            <w:shd w:val="clear" w:color="auto" w:fill="auto"/>
            <w:vAlign w:val="center"/>
          </w:tcPr>
          <w:p>
            <w:pPr>
              <w:pStyle w:val="24"/>
              <w:bidi w:val="0"/>
              <w:jc w:val="center"/>
              <w:rPr>
                <w:rFonts w:hint="default"/>
                <w:lang w:val="en-US" w:eastAsia="zh-CN"/>
              </w:rPr>
            </w:pP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w:t>
            </w:r>
            <w:r>
              <w:rPr>
                <w:rFonts w:hint="eastAsia"/>
                <w:lang w:val="en-US" w:eastAsia="zh-CN"/>
              </w:rPr>
              <w:t>0303</w:t>
            </w:r>
            <w:r>
              <w:rPr>
                <w:rFonts w:hint="default"/>
                <w:lang w:val="en-US" w:eastAsia="zh-CN"/>
              </w:rPr>
              <w:t>-</w:t>
            </w:r>
            <w:r>
              <w:rPr>
                <w:rFonts w:hint="default"/>
              </w:rPr>
              <w:t>C</w:t>
            </w:r>
            <w:r>
              <w:rPr>
                <w:rFonts w:hint="default"/>
                <w:vertAlign w:val="subscript"/>
              </w:rPr>
              <w:t>10</w:t>
            </w:r>
            <w:r>
              <w:rPr>
                <w:rFonts w:hint="default"/>
              </w:rPr>
              <w:t>-C</w:t>
            </w:r>
            <w:r>
              <w:rPr>
                <w:rFonts w:hint="default"/>
                <w:vertAlign w:val="subscript"/>
              </w:rPr>
              <w:t>40</w:t>
            </w:r>
            <w:r>
              <w:rPr>
                <w:rFonts w:hint="default"/>
                <w:lang w:val="en-US" w:eastAsia="zh-CN"/>
              </w:rPr>
              <w:t>-JB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91</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198</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277</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86.6</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50～140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numPr>
                <w:ilvl w:val="0"/>
                <w:numId w:val="3"/>
              </w:numPr>
              <w:bidi w:val="0"/>
              <w:jc w:val="center"/>
              <w:rPr>
                <w:rFonts w:hint="default"/>
                <w:lang w:val="en-US" w:eastAsia="zh-CN"/>
              </w:rPr>
            </w:pPr>
            <w:r>
              <w:rPr>
                <w:rFonts w:hint="default"/>
                <w:lang w:val="en-US" w:eastAsia="zh-CN"/>
              </w:rPr>
              <w:t>氟酚</w:t>
            </w:r>
          </w:p>
          <w:p>
            <w:pPr>
              <w:pStyle w:val="24"/>
              <w:numPr>
                <w:ilvl w:val="0"/>
                <w:numId w:val="3"/>
              </w:numPr>
              <w:bidi w:val="0"/>
              <w:jc w:val="center"/>
              <w:rPr>
                <w:rFonts w:hint="default"/>
                <w:lang w:val="en-US" w:eastAsia="zh-CN"/>
              </w:rPr>
            </w:pPr>
            <w:r>
              <w:rPr>
                <w:rFonts w:hint="default"/>
                <w:lang w:val="en-US" w:eastAsia="zh-CN"/>
              </w:rPr>
              <w:t>（替代物）</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w:t>
            </w:r>
            <w:r>
              <w:rPr>
                <w:rFonts w:hint="eastAsia"/>
                <w:lang w:val="en-US" w:eastAsia="zh-CN"/>
              </w:rPr>
              <w:t>2</w:t>
            </w:r>
            <w:r>
              <w:rPr>
                <w:rFonts w:hint="default"/>
                <w:lang w:val="en-US" w:eastAsia="zh-CN"/>
              </w:rPr>
              <w:t>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1.70</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0.81</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47.4</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r>
              <w:rPr>
                <w:rFonts w:hint="default"/>
                <w:lang w:val="en-US" w:eastAsia="zh-CN"/>
              </w:rPr>
              <w:t>～1</w:t>
            </w:r>
            <w:r>
              <w:rPr>
                <w:rFonts w:hint="eastAsia"/>
                <w:lang w:val="en-US" w:eastAsia="zh-CN"/>
              </w:rPr>
              <w:t>50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rPr>
            </w:pPr>
            <w:r>
              <w:rPr>
                <w:rFonts w:hint="default"/>
              </w:rPr>
              <w:t>苯酚-d6</w:t>
            </w:r>
          </w:p>
          <w:p>
            <w:pPr>
              <w:pStyle w:val="24"/>
              <w:bidi w:val="0"/>
              <w:jc w:val="center"/>
              <w:rPr>
                <w:rFonts w:hint="default"/>
                <w:lang w:val="en-US" w:eastAsia="zh-CN"/>
              </w:rPr>
            </w:pPr>
            <w:r>
              <w:rPr>
                <w:rFonts w:hint="default"/>
                <w:lang w:val="en-US" w:eastAsia="zh-CN"/>
              </w:rPr>
              <w:t>（替代物）</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w:t>
            </w:r>
            <w:r>
              <w:rPr>
                <w:rFonts w:hint="eastAsia"/>
                <w:lang w:val="en-US" w:eastAsia="zh-CN"/>
              </w:rPr>
              <w:t>2</w:t>
            </w:r>
            <w:r>
              <w:rPr>
                <w:rFonts w:hint="default"/>
                <w:lang w:val="en-US" w:eastAsia="zh-CN"/>
              </w:rPr>
              <w:t>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1.70</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0.93</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54.5</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r>
              <w:rPr>
                <w:rFonts w:hint="default"/>
                <w:lang w:val="en-US" w:eastAsia="zh-CN"/>
              </w:rPr>
              <w:t>～1</w:t>
            </w:r>
            <w:r>
              <w:rPr>
                <w:rFonts w:hint="eastAsia"/>
                <w:lang w:val="en-US" w:eastAsia="zh-CN"/>
              </w:rPr>
              <w:t>50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numPr>
                <w:ilvl w:val="0"/>
                <w:numId w:val="4"/>
              </w:numPr>
              <w:bidi w:val="0"/>
              <w:jc w:val="center"/>
              <w:rPr>
                <w:rFonts w:hint="default"/>
                <w:lang w:val="en-US" w:eastAsia="zh-CN"/>
              </w:rPr>
            </w:pPr>
            <w:r>
              <w:rPr>
                <w:rFonts w:hint="default"/>
                <w:lang w:val="en-US" w:eastAsia="zh-CN"/>
              </w:rPr>
              <w:t>氟联苯</w:t>
            </w:r>
          </w:p>
          <w:p>
            <w:pPr>
              <w:pStyle w:val="24"/>
              <w:numPr>
                <w:ilvl w:val="0"/>
                <w:numId w:val="4"/>
              </w:numPr>
              <w:bidi w:val="0"/>
              <w:jc w:val="center"/>
              <w:rPr>
                <w:rFonts w:hint="default"/>
                <w:lang w:val="en-US" w:eastAsia="zh-CN"/>
              </w:rPr>
            </w:pPr>
            <w:r>
              <w:rPr>
                <w:rFonts w:hint="default"/>
                <w:lang w:val="en-US" w:eastAsia="zh-CN"/>
              </w:rPr>
              <w:t>（替代物）</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w:t>
            </w:r>
            <w:r>
              <w:rPr>
                <w:rFonts w:hint="eastAsia"/>
                <w:lang w:val="en-US" w:eastAsia="zh-CN"/>
              </w:rPr>
              <w:t>2</w:t>
            </w:r>
            <w:r>
              <w:rPr>
                <w:rFonts w:hint="default"/>
                <w:lang w:val="en-US" w:eastAsia="zh-CN"/>
              </w:rPr>
              <w:t>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1.70</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0.81</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47.9</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r>
              <w:rPr>
                <w:rFonts w:hint="default"/>
                <w:lang w:val="en-US" w:eastAsia="zh-CN"/>
              </w:rPr>
              <w:t>～1</w:t>
            </w:r>
            <w:r>
              <w:rPr>
                <w:rFonts w:hint="eastAsia"/>
                <w:lang w:val="en-US" w:eastAsia="zh-CN"/>
              </w:rPr>
              <w:t>50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lang w:val="en-US" w:eastAsia="zh-CN"/>
              </w:rPr>
            </w:pPr>
            <w:r>
              <w:rPr>
                <w:rFonts w:hint="default"/>
              </w:rPr>
              <w:t>2，4，6-三溴苯酚</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w:t>
            </w:r>
            <w:r>
              <w:rPr>
                <w:rFonts w:hint="eastAsia"/>
                <w:lang w:val="en-US" w:eastAsia="zh-CN"/>
              </w:rPr>
              <w:t>2</w:t>
            </w:r>
            <w:r>
              <w:rPr>
                <w:rFonts w:hint="default"/>
                <w:lang w:val="en-US" w:eastAsia="zh-CN"/>
              </w:rPr>
              <w:t>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1.70</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0.74</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43.3</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r>
              <w:rPr>
                <w:rFonts w:hint="default"/>
                <w:lang w:val="en-US" w:eastAsia="zh-CN"/>
              </w:rPr>
              <w:t>～1</w:t>
            </w:r>
            <w:r>
              <w:rPr>
                <w:rFonts w:hint="eastAsia"/>
                <w:lang w:val="en-US" w:eastAsia="zh-CN"/>
              </w:rPr>
              <w:t>50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4,4’-三联苯-d14（替代物）</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w:t>
            </w:r>
            <w:r>
              <w:rPr>
                <w:rFonts w:hint="eastAsia"/>
                <w:lang w:val="en-US" w:eastAsia="zh-CN"/>
              </w:rPr>
              <w:t>2</w:t>
            </w:r>
            <w:r>
              <w:rPr>
                <w:rFonts w:hint="default"/>
                <w:lang w:val="en-US" w:eastAsia="zh-CN"/>
              </w:rPr>
              <w:t>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1.70</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0.74</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43.6</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r>
              <w:rPr>
                <w:rFonts w:hint="default"/>
                <w:lang w:val="en-US" w:eastAsia="zh-CN"/>
              </w:rPr>
              <w:t>～1</w:t>
            </w:r>
            <w:r>
              <w:rPr>
                <w:rFonts w:hint="eastAsia"/>
                <w:lang w:val="en-US" w:eastAsia="zh-CN"/>
              </w:rPr>
              <w:t>50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lang w:val="en-US" w:eastAsia="zh-CN"/>
              </w:rPr>
            </w:pPr>
            <w:r>
              <w:rPr>
                <w:rFonts w:hint="default"/>
              </w:rPr>
              <w:t>石油烃（C</w:t>
            </w:r>
            <w:r>
              <w:rPr>
                <w:rFonts w:hint="default"/>
                <w:vertAlign w:val="subscript"/>
              </w:rPr>
              <w:t>6</w:t>
            </w:r>
            <w:r>
              <w:rPr>
                <w:rFonts w:hint="default"/>
              </w:rPr>
              <w:t>-C</w:t>
            </w:r>
            <w:r>
              <w:rPr>
                <w:rFonts w:hint="default"/>
                <w:vertAlign w:val="subscript"/>
              </w:rPr>
              <w:t>9</w:t>
            </w:r>
            <w:r>
              <w:rPr>
                <w:rFonts w:hint="default"/>
              </w:rPr>
              <w:t>）</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FHJ23030580304JB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0.155</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0.110</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95.7</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50～130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rPr>
            </w:pPr>
            <w:r>
              <w:rPr>
                <w:rFonts w:hint="default"/>
                <w:lang w:val="en-US" w:eastAsia="zh-CN"/>
              </w:rPr>
              <w:t>4-溴氟苯</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FHJ23030580304JB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w:t>
            </w:r>
            <w:r>
              <w:rPr>
                <w:rFonts w:hint="eastAsia"/>
                <w:lang w:val="en-US" w:eastAsia="zh-CN"/>
              </w:rPr>
              <w:t>155</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0.1</w:t>
            </w:r>
            <w:r>
              <w:rPr>
                <w:rFonts w:hint="eastAsia"/>
                <w:lang w:val="en-US" w:eastAsia="zh-CN"/>
              </w:rPr>
              <w:t>11</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96.5</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50～130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二溴氟甲烷</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FHJ23030580304JB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0.05</w:t>
            </w:r>
            <w:r>
              <w:rPr>
                <w:rFonts w:hint="eastAsia"/>
                <w:lang w:val="en-US" w:eastAsia="zh-CN"/>
              </w:rPr>
              <w:t>75</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0.0648</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119</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70～130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甲苯-D8</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FHJ23030580304JB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0.05</w:t>
            </w:r>
            <w:r>
              <w:rPr>
                <w:rFonts w:hint="eastAsia"/>
                <w:lang w:val="en-US" w:eastAsia="zh-CN"/>
              </w:rPr>
              <w:t>75</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0.0528</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88.4</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70～130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000000"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36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4-溴氟苯</w:t>
            </w:r>
          </w:p>
        </w:tc>
        <w:tc>
          <w:tcPr>
            <w:tcW w:w="230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FHJ23030580304JB</w:t>
            </w:r>
          </w:p>
        </w:tc>
        <w:tc>
          <w:tcPr>
            <w:tcW w:w="1080"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0.05</w:t>
            </w:r>
            <w:r>
              <w:rPr>
                <w:rFonts w:hint="eastAsia"/>
                <w:lang w:val="en-US" w:eastAsia="zh-CN"/>
              </w:rPr>
              <w:t>75</w:t>
            </w:r>
          </w:p>
        </w:tc>
        <w:tc>
          <w:tcPr>
            <w:tcW w:w="1057"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ND</w:t>
            </w:r>
          </w:p>
        </w:tc>
        <w:tc>
          <w:tcPr>
            <w:tcW w:w="105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0.0547</w:t>
            </w:r>
          </w:p>
        </w:tc>
        <w:tc>
          <w:tcPr>
            <w:tcW w:w="110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95.0</w:t>
            </w:r>
          </w:p>
        </w:tc>
        <w:tc>
          <w:tcPr>
            <w:tcW w:w="1211"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70～130</w:t>
            </w:r>
          </w:p>
        </w:tc>
        <w:tc>
          <w:tcPr>
            <w:tcW w:w="893"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bl>
    <w:p>
      <w:pPr>
        <w:pStyle w:val="23"/>
      </w:pPr>
      <w:r>
        <w:rPr>
          <w:rFonts w:hint="eastAsia"/>
        </w:rPr>
        <w:t>表</w:t>
      </w:r>
      <w:r>
        <w:t>8.1.</w:t>
      </w:r>
      <w:r>
        <w:rPr>
          <w:rFonts w:hint="eastAsia"/>
          <w:lang w:val="en-US" w:eastAsia="zh-CN"/>
        </w:rPr>
        <w:t>7</w:t>
      </w:r>
      <w:r>
        <w:t xml:space="preserve"> </w:t>
      </w:r>
      <w:r>
        <w:rPr>
          <w:rFonts w:hint="eastAsia"/>
          <w:lang w:val="en-US" w:eastAsia="zh-CN"/>
        </w:rPr>
        <w:t>噪声</w:t>
      </w:r>
      <w:r>
        <w:rPr>
          <w:rFonts w:hint="eastAsia"/>
        </w:rPr>
        <w:t>质量控制数据汇总表（</w:t>
      </w:r>
      <w:r>
        <w:rPr>
          <w:rFonts w:hint="eastAsia"/>
          <w:lang w:val="en-US" w:eastAsia="zh-CN"/>
        </w:rPr>
        <w:t>一</w:t>
      </w:r>
      <w:r>
        <w:rPr>
          <w:rFonts w:hint="eastAsia"/>
        </w:rPr>
        <w:t>）</w:t>
      </w:r>
    </w:p>
    <w:tbl>
      <w:tblPr>
        <w:tblStyle w:val="14"/>
        <w:tblW w:w="9855"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2430"/>
        <w:gridCol w:w="1445"/>
        <w:gridCol w:w="1076"/>
        <w:gridCol w:w="1202"/>
        <w:gridCol w:w="1305"/>
        <w:gridCol w:w="12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2" w:hRule="atLeast"/>
          <w:jc w:val="center"/>
        </w:trPr>
        <w:tc>
          <w:tcPr>
            <w:tcW w:w="9855" w:type="dxa"/>
            <w:gridSpan w:val="7"/>
            <w:tcBorders>
              <w:tl2br w:val="nil"/>
              <w:tr2bl w:val="nil"/>
            </w:tcBorders>
            <w:noWrap w:val="0"/>
            <w:vAlign w:val="bottom"/>
          </w:tcPr>
          <w:p>
            <w:pPr>
              <w:pStyle w:val="24"/>
              <w:jc w:val="left"/>
              <w:rPr>
                <w:rFonts w:hint="default" w:eastAsia="宋体"/>
                <w:lang w:eastAsia="zh-CN"/>
              </w:rPr>
            </w:pPr>
            <w:r>
              <w:rPr>
                <w:rFonts w:hint="default" w:eastAsia="宋体"/>
              </w:rPr>
              <w:t>AWA</w:t>
            </w:r>
            <w:r>
              <w:rPr>
                <w:rFonts w:hint="eastAsia" w:eastAsia="宋体"/>
                <w:lang w:val="en-US" w:eastAsia="zh-CN"/>
              </w:rPr>
              <w:t>5688多功能</w:t>
            </w:r>
            <w:r>
              <w:rPr>
                <w:rFonts w:hint="default" w:eastAsia="宋体"/>
              </w:rPr>
              <w:t>声级计</w:t>
            </w:r>
            <w:r>
              <w:rPr>
                <w:rFonts w:hint="default" w:eastAsia="宋体"/>
                <w:lang w:eastAsia="zh-CN"/>
              </w:rPr>
              <w:t>（编号：</w:t>
            </w:r>
            <w:r>
              <w:rPr>
                <w:rFonts w:hint="eastAsia"/>
                <w:lang w:val="en-US" w:eastAsia="zh-CN"/>
              </w:rPr>
              <w:t>FJEPISB065、FJEPISB070</w:t>
            </w:r>
            <w:r>
              <w:rPr>
                <w:rFonts w:hint="default" w:eastAsia="宋体"/>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1" w:hRule="atLeast"/>
          <w:jc w:val="center"/>
        </w:trPr>
        <w:tc>
          <w:tcPr>
            <w:tcW w:w="1175" w:type="dxa"/>
            <w:tcBorders>
              <w:tl2br w:val="nil"/>
              <w:tr2bl w:val="nil"/>
            </w:tcBorders>
            <w:noWrap w:val="0"/>
            <w:vAlign w:val="center"/>
          </w:tcPr>
          <w:p>
            <w:pPr>
              <w:pStyle w:val="24"/>
              <w:rPr>
                <w:rFonts w:hint="default" w:eastAsia="宋体"/>
                <w:lang w:val="en-US" w:eastAsia="zh-CN"/>
              </w:rPr>
            </w:pPr>
            <w:r>
              <w:rPr>
                <w:rFonts w:hint="default" w:eastAsia="宋体"/>
              </w:rPr>
              <w:t>日期</w:t>
            </w:r>
          </w:p>
        </w:tc>
        <w:tc>
          <w:tcPr>
            <w:tcW w:w="2430" w:type="dxa"/>
            <w:tcBorders>
              <w:tl2br w:val="nil"/>
              <w:tr2bl w:val="nil"/>
            </w:tcBorders>
            <w:noWrap w:val="0"/>
            <w:vAlign w:val="center"/>
          </w:tcPr>
          <w:p>
            <w:pPr>
              <w:pStyle w:val="24"/>
              <w:rPr>
                <w:rFonts w:hint="default" w:eastAsia="宋体"/>
                <w:lang w:val="en-US" w:eastAsia="zh-CN"/>
              </w:rPr>
            </w:pPr>
            <w:r>
              <w:rPr>
                <w:rFonts w:hint="default" w:eastAsia="宋体"/>
              </w:rPr>
              <w:t>校准设备</w:t>
            </w:r>
          </w:p>
        </w:tc>
        <w:tc>
          <w:tcPr>
            <w:tcW w:w="1445" w:type="dxa"/>
            <w:tcBorders>
              <w:tl2br w:val="nil"/>
              <w:tr2bl w:val="nil"/>
            </w:tcBorders>
            <w:noWrap w:val="0"/>
            <w:vAlign w:val="center"/>
          </w:tcPr>
          <w:p>
            <w:pPr>
              <w:pStyle w:val="24"/>
              <w:rPr>
                <w:rFonts w:hint="default" w:eastAsia="宋体"/>
                <w:lang w:val="en-US" w:eastAsia="zh-CN"/>
              </w:rPr>
            </w:pPr>
            <w:r>
              <w:rPr>
                <w:rFonts w:hint="default" w:eastAsia="宋体"/>
              </w:rPr>
              <w:t>编号</w:t>
            </w:r>
          </w:p>
        </w:tc>
        <w:tc>
          <w:tcPr>
            <w:tcW w:w="1076" w:type="dxa"/>
            <w:tcBorders>
              <w:tl2br w:val="nil"/>
              <w:tr2bl w:val="nil"/>
            </w:tcBorders>
            <w:noWrap w:val="0"/>
            <w:vAlign w:val="center"/>
          </w:tcPr>
          <w:p>
            <w:pPr>
              <w:pStyle w:val="24"/>
              <w:rPr>
                <w:rFonts w:hint="default" w:eastAsia="宋体"/>
                <w:lang w:val="en-US" w:eastAsia="zh-CN"/>
              </w:rPr>
            </w:pPr>
            <w:r>
              <w:rPr>
                <w:rFonts w:hint="default" w:eastAsia="宋体"/>
              </w:rPr>
              <w:t>标准值</w:t>
            </w:r>
          </w:p>
        </w:tc>
        <w:tc>
          <w:tcPr>
            <w:tcW w:w="1202" w:type="dxa"/>
            <w:tcBorders>
              <w:tl2br w:val="nil"/>
              <w:tr2bl w:val="nil"/>
            </w:tcBorders>
            <w:noWrap w:val="0"/>
            <w:vAlign w:val="center"/>
          </w:tcPr>
          <w:p>
            <w:pPr>
              <w:pStyle w:val="24"/>
              <w:rPr>
                <w:rFonts w:hint="default" w:eastAsia="宋体"/>
              </w:rPr>
            </w:pPr>
            <w:r>
              <w:rPr>
                <w:rFonts w:hint="default" w:eastAsia="宋体"/>
              </w:rPr>
              <w:t>检测前</w:t>
            </w:r>
          </w:p>
          <w:p>
            <w:pPr>
              <w:pStyle w:val="24"/>
              <w:rPr>
                <w:rFonts w:hint="eastAsia" w:eastAsia="宋体"/>
                <w:lang w:val="en-US" w:eastAsia="zh-CN"/>
              </w:rPr>
            </w:pPr>
            <w:r>
              <w:rPr>
                <w:rFonts w:hint="eastAsia"/>
                <w:lang w:eastAsia="zh-CN"/>
              </w:rPr>
              <w:t>校准</w:t>
            </w:r>
          </w:p>
        </w:tc>
        <w:tc>
          <w:tcPr>
            <w:tcW w:w="1305" w:type="dxa"/>
            <w:tcBorders>
              <w:tl2br w:val="nil"/>
              <w:tr2bl w:val="nil"/>
            </w:tcBorders>
            <w:noWrap w:val="0"/>
            <w:vAlign w:val="center"/>
          </w:tcPr>
          <w:p>
            <w:pPr>
              <w:pStyle w:val="24"/>
              <w:rPr>
                <w:rFonts w:hint="default" w:eastAsia="宋体"/>
              </w:rPr>
            </w:pPr>
            <w:r>
              <w:rPr>
                <w:rFonts w:hint="default" w:eastAsia="宋体"/>
              </w:rPr>
              <w:t>检测后</w:t>
            </w:r>
          </w:p>
          <w:p>
            <w:pPr>
              <w:pStyle w:val="24"/>
              <w:rPr>
                <w:rFonts w:hint="eastAsia" w:eastAsia="宋体"/>
                <w:lang w:val="en-US" w:eastAsia="zh-CN"/>
              </w:rPr>
            </w:pPr>
            <w:r>
              <w:rPr>
                <w:rFonts w:hint="eastAsia"/>
                <w:lang w:eastAsia="zh-CN"/>
              </w:rPr>
              <w:t>检验</w:t>
            </w:r>
          </w:p>
        </w:tc>
        <w:tc>
          <w:tcPr>
            <w:tcW w:w="1222" w:type="dxa"/>
            <w:tcBorders>
              <w:tl2br w:val="nil"/>
              <w:tr2bl w:val="nil"/>
            </w:tcBorders>
            <w:noWrap w:val="0"/>
            <w:vAlign w:val="center"/>
          </w:tcPr>
          <w:p>
            <w:pPr>
              <w:pStyle w:val="24"/>
              <w:rPr>
                <w:rFonts w:hint="default" w:eastAsia="宋体"/>
                <w:lang w:eastAsia="zh-CN"/>
              </w:rPr>
            </w:pPr>
            <w:r>
              <w:rPr>
                <w:rFonts w:hint="default" w:eastAsia="宋体"/>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1175" w:type="dxa"/>
            <w:tcBorders>
              <w:tl2br w:val="nil"/>
              <w:tr2bl w:val="nil"/>
            </w:tcBorders>
            <w:noWrap w:val="0"/>
            <w:vAlign w:val="center"/>
          </w:tcPr>
          <w:p>
            <w:pPr>
              <w:pStyle w:val="24"/>
              <w:jc w:val="center"/>
              <w:rPr>
                <w:rFonts w:hint="default"/>
                <w:lang w:val="en-US" w:eastAsia="zh-CN"/>
              </w:rPr>
            </w:pPr>
            <w:r>
              <w:rPr>
                <w:rFonts w:hint="eastAsia"/>
                <w:lang w:val="en-US" w:eastAsia="zh-CN"/>
              </w:rPr>
              <w:t>2023.3.23</w:t>
            </w:r>
          </w:p>
        </w:tc>
        <w:tc>
          <w:tcPr>
            <w:tcW w:w="2430" w:type="dxa"/>
            <w:tcBorders>
              <w:tl2br w:val="nil"/>
              <w:tr2bl w:val="nil"/>
            </w:tcBorders>
            <w:noWrap w:val="0"/>
            <w:vAlign w:val="center"/>
          </w:tcPr>
          <w:p>
            <w:pPr>
              <w:pStyle w:val="24"/>
              <w:jc w:val="center"/>
              <w:rPr>
                <w:rFonts w:hint="default"/>
                <w:lang w:val="en-US" w:eastAsia="zh-CN"/>
              </w:rPr>
            </w:pPr>
            <w:r>
              <w:rPr>
                <w:rFonts w:hint="default"/>
              </w:rPr>
              <w:t>AWA6022A声校准器</w:t>
            </w:r>
          </w:p>
        </w:tc>
        <w:tc>
          <w:tcPr>
            <w:tcW w:w="1445" w:type="dxa"/>
            <w:tcBorders>
              <w:tl2br w:val="nil"/>
              <w:tr2bl w:val="nil"/>
            </w:tcBorders>
            <w:noWrap w:val="0"/>
            <w:vAlign w:val="center"/>
          </w:tcPr>
          <w:p>
            <w:pPr>
              <w:pStyle w:val="24"/>
              <w:jc w:val="center"/>
              <w:rPr>
                <w:rFonts w:hint="default"/>
                <w:lang w:val="en-US" w:eastAsia="zh-CN"/>
              </w:rPr>
            </w:pPr>
            <w:r>
              <w:rPr>
                <w:rFonts w:hint="eastAsia"/>
                <w:lang w:val="en-US" w:eastAsia="zh-CN"/>
              </w:rPr>
              <w:t>FJEPISB021</w:t>
            </w:r>
          </w:p>
        </w:tc>
        <w:tc>
          <w:tcPr>
            <w:tcW w:w="1076" w:type="dxa"/>
            <w:tcBorders>
              <w:tl2br w:val="nil"/>
              <w:tr2bl w:val="nil"/>
            </w:tcBorders>
            <w:noWrap w:val="0"/>
            <w:vAlign w:val="center"/>
          </w:tcPr>
          <w:p>
            <w:pPr>
              <w:pStyle w:val="24"/>
              <w:jc w:val="center"/>
              <w:rPr>
                <w:rFonts w:hint="default"/>
                <w:lang w:val="en-US" w:eastAsia="zh-CN"/>
              </w:rPr>
            </w:pPr>
            <w:r>
              <w:rPr>
                <w:rFonts w:hint="eastAsia"/>
                <w:lang w:val="en-US" w:eastAsia="zh-CN"/>
              </w:rPr>
              <w:t>94.0</w:t>
            </w:r>
          </w:p>
        </w:tc>
        <w:tc>
          <w:tcPr>
            <w:tcW w:w="1202" w:type="dxa"/>
            <w:tcBorders>
              <w:tl2br w:val="nil"/>
              <w:tr2bl w:val="nil"/>
            </w:tcBorders>
            <w:noWrap w:val="0"/>
            <w:vAlign w:val="center"/>
          </w:tcPr>
          <w:p>
            <w:pPr>
              <w:pStyle w:val="24"/>
              <w:spacing w:line="300" w:lineRule="exact"/>
              <w:jc w:val="center"/>
              <w:rPr>
                <w:rFonts w:hint="default"/>
                <w:lang w:val="en-US" w:eastAsia="zh-CN"/>
              </w:rPr>
            </w:pPr>
            <w:r>
              <w:rPr>
                <w:rFonts w:hint="eastAsia"/>
                <w:lang w:val="en-US" w:eastAsia="zh-CN"/>
              </w:rPr>
              <w:t>93.8</w:t>
            </w:r>
          </w:p>
        </w:tc>
        <w:tc>
          <w:tcPr>
            <w:tcW w:w="1305" w:type="dxa"/>
            <w:tcBorders>
              <w:tl2br w:val="nil"/>
              <w:tr2bl w:val="nil"/>
            </w:tcBorders>
            <w:noWrap w:val="0"/>
            <w:vAlign w:val="center"/>
          </w:tcPr>
          <w:p>
            <w:pPr>
              <w:pStyle w:val="24"/>
              <w:spacing w:line="300" w:lineRule="exact"/>
              <w:jc w:val="center"/>
              <w:rPr>
                <w:rFonts w:hint="default"/>
                <w:lang w:val="en-US" w:eastAsia="zh-CN"/>
              </w:rPr>
            </w:pPr>
            <w:r>
              <w:rPr>
                <w:rFonts w:hint="eastAsia"/>
                <w:lang w:val="en-US" w:eastAsia="zh-CN"/>
              </w:rPr>
              <w:t>93.8</w:t>
            </w:r>
          </w:p>
        </w:tc>
        <w:tc>
          <w:tcPr>
            <w:tcW w:w="1222" w:type="dxa"/>
            <w:tcBorders>
              <w:tl2br w:val="nil"/>
              <w:tr2bl w:val="nil"/>
            </w:tcBorders>
            <w:noWrap w:val="0"/>
            <w:vAlign w:val="center"/>
          </w:tcPr>
          <w:p>
            <w:pPr>
              <w:pStyle w:val="24"/>
              <w:jc w:val="center"/>
              <w:rPr>
                <w:rFonts w:hint="default"/>
                <w:lang w:eastAsia="zh-CN"/>
              </w:rPr>
            </w:pPr>
            <w:r>
              <w:rPr>
                <w:rFonts w:hint="eastAsia"/>
                <w:lang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1" w:hRule="atLeast"/>
          <w:jc w:val="center"/>
        </w:trPr>
        <w:tc>
          <w:tcPr>
            <w:tcW w:w="1175" w:type="dxa"/>
            <w:tcBorders>
              <w:tl2br w:val="nil"/>
              <w:tr2bl w:val="nil"/>
            </w:tcBorders>
            <w:noWrap w:val="0"/>
            <w:vAlign w:val="center"/>
          </w:tcPr>
          <w:p>
            <w:pPr>
              <w:pStyle w:val="24"/>
              <w:jc w:val="center"/>
              <w:rPr>
                <w:rFonts w:hint="default"/>
                <w:lang w:val="en-US" w:eastAsia="zh-CN"/>
              </w:rPr>
            </w:pPr>
            <w:r>
              <w:rPr>
                <w:rFonts w:hint="eastAsia"/>
                <w:lang w:val="en-US" w:eastAsia="zh-CN"/>
              </w:rPr>
              <w:t>2023.3.24</w:t>
            </w:r>
          </w:p>
        </w:tc>
        <w:tc>
          <w:tcPr>
            <w:tcW w:w="2430" w:type="dxa"/>
            <w:tcBorders>
              <w:tl2br w:val="nil"/>
              <w:tr2bl w:val="nil"/>
            </w:tcBorders>
            <w:noWrap w:val="0"/>
            <w:vAlign w:val="center"/>
          </w:tcPr>
          <w:p>
            <w:pPr>
              <w:pStyle w:val="24"/>
              <w:jc w:val="center"/>
              <w:rPr>
                <w:rFonts w:hint="default"/>
                <w:lang w:val="en-US" w:eastAsia="zh-CN"/>
              </w:rPr>
            </w:pPr>
            <w:r>
              <w:rPr>
                <w:rFonts w:hint="default"/>
              </w:rPr>
              <w:t>AWA6022A声校准器</w:t>
            </w:r>
          </w:p>
        </w:tc>
        <w:tc>
          <w:tcPr>
            <w:tcW w:w="1445" w:type="dxa"/>
            <w:tcBorders>
              <w:tl2br w:val="nil"/>
              <w:tr2bl w:val="nil"/>
            </w:tcBorders>
            <w:noWrap w:val="0"/>
            <w:vAlign w:val="center"/>
          </w:tcPr>
          <w:p>
            <w:pPr>
              <w:pStyle w:val="24"/>
              <w:jc w:val="center"/>
              <w:rPr>
                <w:rFonts w:hint="default"/>
                <w:lang w:val="en-US" w:eastAsia="zh-CN"/>
              </w:rPr>
            </w:pPr>
            <w:r>
              <w:rPr>
                <w:rFonts w:hint="eastAsia"/>
                <w:lang w:val="en-US" w:eastAsia="zh-CN"/>
              </w:rPr>
              <w:t>FJEPISB022</w:t>
            </w:r>
          </w:p>
        </w:tc>
        <w:tc>
          <w:tcPr>
            <w:tcW w:w="1076" w:type="dxa"/>
            <w:tcBorders>
              <w:tl2br w:val="nil"/>
              <w:tr2bl w:val="nil"/>
            </w:tcBorders>
            <w:noWrap w:val="0"/>
            <w:vAlign w:val="center"/>
          </w:tcPr>
          <w:p>
            <w:pPr>
              <w:pStyle w:val="24"/>
              <w:jc w:val="center"/>
              <w:rPr>
                <w:rFonts w:hint="default"/>
                <w:lang w:val="en-US" w:eastAsia="zh-CN"/>
              </w:rPr>
            </w:pPr>
            <w:r>
              <w:rPr>
                <w:rFonts w:hint="eastAsia"/>
                <w:lang w:val="en-US" w:eastAsia="zh-CN"/>
              </w:rPr>
              <w:t>94.0</w:t>
            </w:r>
          </w:p>
        </w:tc>
        <w:tc>
          <w:tcPr>
            <w:tcW w:w="1202" w:type="dxa"/>
            <w:tcBorders>
              <w:tl2br w:val="nil"/>
              <w:tr2bl w:val="nil"/>
            </w:tcBorders>
            <w:noWrap w:val="0"/>
            <w:vAlign w:val="center"/>
          </w:tcPr>
          <w:p>
            <w:pPr>
              <w:pStyle w:val="24"/>
              <w:spacing w:line="300" w:lineRule="exact"/>
              <w:jc w:val="center"/>
              <w:rPr>
                <w:rFonts w:hint="default"/>
                <w:lang w:val="en-US" w:eastAsia="zh-CN"/>
              </w:rPr>
            </w:pPr>
            <w:r>
              <w:rPr>
                <w:rFonts w:hint="eastAsia"/>
                <w:lang w:val="en-US" w:eastAsia="zh-CN"/>
              </w:rPr>
              <w:t>93.8</w:t>
            </w:r>
          </w:p>
        </w:tc>
        <w:tc>
          <w:tcPr>
            <w:tcW w:w="1305" w:type="dxa"/>
            <w:tcBorders>
              <w:tl2br w:val="nil"/>
              <w:tr2bl w:val="nil"/>
            </w:tcBorders>
            <w:noWrap w:val="0"/>
            <w:vAlign w:val="center"/>
          </w:tcPr>
          <w:p>
            <w:pPr>
              <w:pStyle w:val="24"/>
              <w:spacing w:line="300" w:lineRule="exact"/>
              <w:jc w:val="center"/>
              <w:rPr>
                <w:rFonts w:hint="default"/>
                <w:lang w:val="en-US" w:eastAsia="zh-CN"/>
              </w:rPr>
            </w:pPr>
            <w:r>
              <w:rPr>
                <w:rFonts w:hint="eastAsia"/>
                <w:lang w:val="en-US" w:eastAsia="zh-CN"/>
              </w:rPr>
              <w:t>93.8</w:t>
            </w:r>
          </w:p>
        </w:tc>
        <w:tc>
          <w:tcPr>
            <w:tcW w:w="1222" w:type="dxa"/>
            <w:tcBorders>
              <w:tl2br w:val="nil"/>
              <w:tr2bl w:val="nil"/>
            </w:tcBorders>
            <w:noWrap w:val="0"/>
            <w:vAlign w:val="center"/>
          </w:tcPr>
          <w:p>
            <w:pPr>
              <w:pStyle w:val="24"/>
              <w:jc w:val="center"/>
              <w:rPr>
                <w:rFonts w:hint="default"/>
                <w:lang w:eastAsia="zh-CN"/>
              </w:rPr>
            </w:pPr>
            <w:r>
              <w:rPr>
                <w:rFonts w:hint="eastAsia"/>
                <w:lang w:eastAsia="zh-CN"/>
              </w:rPr>
              <w:t>符合</w:t>
            </w:r>
          </w:p>
        </w:tc>
      </w:tr>
    </w:tbl>
    <w:p>
      <w:pPr>
        <w:pStyle w:val="23"/>
      </w:pPr>
      <w:r>
        <w:rPr>
          <w:rFonts w:hint="eastAsia"/>
        </w:rPr>
        <w:t>表</w:t>
      </w:r>
      <w:r>
        <w:t>8.1.</w:t>
      </w:r>
      <w:r>
        <w:rPr>
          <w:rFonts w:hint="eastAsia"/>
          <w:lang w:val="en-US" w:eastAsia="zh-CN"/>
        </w:rPr>
        <w:t>8</w:t>
      </w:r>
      <w:r>
        <w:t xml:space="preserve"> </w:t>
      </w:r>
      <w:r>
        <w:rPr>
          <w:rFonts w:hint="eastAsia"/>
          <w:lang w:val="en-US" w:eastAsia="zh-CN"/>
        </w:rPr>
        <w:t>空气</w:t>
      </w:r>
      <w:r>
        <w:rPr>
          <w:rFonts w:hint="eastAsia"/>
        </w:rPr>
        <w:t>质量控制数据汇总表（</w:t>
      </w:r>
      <w:r>
        <w:rPr>
          <w:rFonts w:hint="eastAsia"/>
          <w:lang w:val="en-US" w:eastAsia="zh-CN"/>
        </w:rPr>
        <w:t>一</w:t>
      </w:r>
      <w:r>
        <w:rPr>
          <w:rFonts w:hint="eastAsia"/>
        </w:rPr>
        <w:t>）</w:t>
      </w:r>
    </w:p>
    <w:tbl>
      <w:tblPr>
        <w:tblStyle w:val="14"/>
        <w:tblW w:w="9845"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1725"/>
        <w:gridCol w:w="1380"/>
        <w:gridCol w:w="1155"/>
        <w:gridCol w:w="1080"/>
        <w:gridCol w:w="1096"/>
        <w:gridCol w:w="1395"/>
        <w:gridCol w:w="8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restart"/>
            <w:tcBorders>
              <w:tl2br w:val="nil"/>
              <w:tr2bl w:val="nil"/>
            </w:tcBorders>
            <w:noWrap w:val="0"/>
            <w:vAlign w:val="center"/>
          </w:tcPr>
          <w:p>
            <w:pPr>
              <w:pStyle w:val="24"/>
              <w:bidi w:val="0"/>
              <w:jc w:val="center"/>
              <w:rPr>
                <w:rFonts w:hint="eastAsia"/>
                <w:lang w:val="en-US" w:eastAsia="zh-CN"/>
              </w:rPr>
            </w:pPr>
            <w:r>
              <w:rPr>
                <w:rFonts w:hint="default"/>
              </w:rPr>
              <w:t>日期</w:t>
            </w:r>
          </w:p>
        </w:tc>
        <w:tc>
          <w:tcPr>
            <w:tcW w:w="1725" w:type="dxa"/>
            <w:vMerge w:val="restart"/>
            <w:tcBorders>
              <w:tl2br w:val="nil"/>
              <w:tr2bl w:val="nil"/>
            </w:tcBorders>
            <w:noWrap w:val="0"/>
            <w:vAlign w:val="center"/>
          </w:tcPr>
          <w:p>
            <w:pPr>
              <w:pStyle w:val="24"/>
              <w:bidi w:val="0"/>
              <w:jc w:val="center"/>
              <w:rPr>
                <w:rFonts w:hint="default"/>
              </w:rPr>
            </w:pPr>
            <w:r>
              <w:rPr>
                <w:rFonts w:hint="default"/>
              </w:rPr>
              <w:t>项目名称</w:t>
            </w:r>
          </w:p>
        </w:tc>
        <w:tc>
          <w:tcPr>
            <w:tcW w:w="1380" w:type="dxa"/>
            <w:vMerge w:val="restart"/>
            <w:tcBorders>
              <w:tl2br w:val="nil"/>
              <w:tr2bl w:val="nil"/>
            </w:tcBorders>
            <w:noWrap w:val="0"/>
            <w:vAlign w:val="center"/>
          </w:tcPr>
          <w:p>
            <w:pPr>
              <w:pStyle w:val="24"/>
              <w:bidi w:val="0"/>
              <w:jc w:val="center"/>
              <w:rPr>
                <w:rFonts w:hint="default"/>
              </w:rPr>
            </w:pPr>
            <w:r>
              <w:rPr>
                <w:rFonts w:hint="default"/>
              </w:rPr>
              <w:t>控样编号</w:t>
            </w:r>
          </w:p>
        </w:tc>
        <w:tc>
          <w:tcPr>
            <w:tcW w:w="1155" w:type="dxa"/>
            <w:vMerge w:val="restart"/>
            <w:tcBorders>
              <w:tl2br w:val="nil"/>
              <w:tr2bl w:val="nil"/>
            </w:tcBorders>
            <w:noWrap w:val="0"/>
            <w:vAlign w:val="center"/>
          </w:tcPr>
          <w:p>
            <w:pPr>
              <w:pStyle w:val="24"/>
              <w:bidi w:val="0"/>
              <w:jc w:val="center"/>
              <w:rPr>
                <w:rFonts w:hint="default"/>
                <w:lang w:val="en-US" w:eastAsia="zh-CN"/>
              </w:rPr>
            </w:pPr>
            <w:r>
              <w:rPr>
                <w:rFonts w:hint="default"/>
              </w:rPr>
              <w:t>控</w:t>
            </w:r>
            <w:r>
              <w:rPr>
                <w:rFonts w:hint="default"/>
                <w:lang w:eastAsia="zh-CN"/>
              </w:rPr>
              <w:t>样</w:t>
            </w:r>
            <w:r>
              <w:rPr>
                <w:rFonts w:hint="default"/>
              </w:rPr>
              <w:t>值(mg/</w:t>
            </w:r>
            <w:r>
              <w:rPr>
                <w:rFonts w:hint="default"/>
                <w:lang w:val="en-US" w:eastAsia="zh-CN"/>
              </w:rPr>
              <w:t>m</w:t>
            </w:r>
            <w:r>
              <w:rPr>
                <w:rFonts w:hint="default"/>
                <w:vertAlign w:val="superscript"/>
                <w:lang w:val="en-US" w:eastAsia="zh-CN"/>
              </w:rPr>
              <w:t>3</w:t>
            </w:r>
            <w:r>
              <w:rPr>
                <w:rFonts w:hint="default"/>
              </w:rPr>
              <w:t>)</w:t>
            </w:r>
          </w:p>
        </w:tc>
        <w:tc>
          <w:tcPr>
            <w:tcW w:w="2176" w:type="dxa"/>
            <w:gridSpan w:val="2"/>
            <w:tcBorders>
              <w:tl2br w:val="nil"/>
              <w:tr2bl w:val="nil"/>
            </w:tcBorders>
            <w:noWrap w:val="0"/>
            <w:vAlign w:val="center"/>
          </w:tcPr>
          <w:p>
            <w:pPr>
              <w:pStyle w:val="24"/>
              <w:bidi w:val="0"/>
              <w:jc w:val="center"/>
              <w:rPr>
                <w:rFonts w:hint="eastAsia"/>
                <w:lang w:val="en-US" w:eastAsia="zh-CN"/>
              </w:rPr>
            </w:pPr>
            <w:r>
              <w:rPr>
                <w:rFonts w:hint="eastAsia"/>
              </w:rPr>
              <w:t>测定值</w:t>
            </w:r>
            <w:r>
              <w:rPr>
                <w:rFonts w:hint="default"/>
              </w:rPr>
              <w:t>(</w:t>
            </w:r>
            <w:r>
              <w:t>mg/</w:t>
            </w:r>
            <w:r>
              <w:rPr>
                <w:rFonts w:hint="default"/>
                <w:lang w:val="en-US" w:eastAsia="zh-CN"/>
              </w:rPr>
              <w:t>m</w:t>
            </w:r>
            <w:r>
              <w:rPr>
                <w:rFonts w:hint="default"/>
                <w:vertAlign w:val="superscript"/>
                <w:lang w:val="en-US" w:eastAsia="zh-CN"/>
              </w:rPr>
              <w:t>3</w:t>
            </w:r>
            <w:r>
              <w:rPr>
                <w:rFonts w:hint="default"/>
              </w:rPr>
              <w:t>)</w:t>
            </w:r>
          </w:p>
        </w:tc>
        <w:tc>
          <w:tcPr>
            <w:tcW w:w="1395" w:type="dxa"/>
            <w:vMerge w:val="restart"/>
            <w:tcBorders>
              <w:tl2br w:val="nil"/>
              <w:tr2bl w:val="nil"/>
            </w:tcBorders>
            <w:noWrap w:val="0"/>
            <w:vAlign w:val="center"/>
          </w:tcPr>
          <w:p>
            <w:pPr>
              <w:pStyle w:val="24"/>
              <w:bidi w:val="0"/>
              <w:jc w:val="center"/>
              <w:rPr>
                <w:rFonts w:hint="default"/>
              </w:rPr>
            </w:pPr>
            <w:r>
              <w:t>相对误差</w:t>
            </w:r>
            <w:r>
              <w:rPr>
                <w:rFonts w:hint="eastAsia"/>
                <w:lang w:eastAsia="zh-CN"/>
              </w:rPr>
              <w:t>（</w:t>
            </w:r>
            <w:r>
              <w:rPr>
                <w:rFonts w:hint="eastAsia"/>
                <w:lang w:val="en-US" w:eastAsia="zh-CN"/>
              </w:rPr>
              <w:t>%</w:t>
            </w:r>
            <w:r>
              <w:rPr>
                <w:rFonts w:hint="eastAsia"/>
                <w:lang w:eastAsia="zh-CN"/>
              </w:rPr>
              <w:t>）</w:t>
            </w:r>
          </w:p>
        </w:tc>
        <w:tc>
          <w:tcPr>
            <w:tcW w:w="814" w:type="dxa"/>
            <w:vMerge w:val="restart"/>
            <w:tcBorders>
              <w:tl2br w:val="nil"/>
              <w:tr2bl w:val="nil"/>
            </w:tcBorders>
            <w:noWrap w:val="0"/>
            <w:vAlign w:val="center"/>
          </w:tcPr>
          <w:p>
            <w:pPr>
              <w:pStyle w:val="24"/>
              <w:bidi w:val="0"/>
              <w:jc w:val="center"/>
              <w:rPr>
                <w:rFonts w:hint="default"/>
              </w:rPr>
            </w:pPr>
            <w: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continue"/>
            <w:tcBorders>
              <w:tl2br w:val="nil"/>
              <w:tr2bl w:val="nil"/>
            </w:tcBorders>
            <w:noWrap w:val="0"/>
            <w:vAlign w:val="center"/>
          </w:tcPr>
          <w:p>
            <w:pPr>
              <w:pStyle w:val="24"/>
              <w:bidi w:val="0"/>
              <w:jc w:val="center"/>
              <w:rPr>
                <w:rFonts w:hint="default"/>
                <w:lang w:val="en-US" w:eastAsia="zh-CN"/>
              </w:rPr>
            </w:pPr>
          </w:p>
        </w:tc>
        <w:tc>
          <w:tcPr>
            <w:tcW w:w="1725" w:type="dxa"/>
            <w:vMerge w:val="continue"/>
            <w:tcBorders>
              <w:tl2br w:val="nil"/>
              <w:tr2bl w:val="nil"/>
            </w:tcBorders>
            <w:noWrap w:val="0"/>
            <w:vAlign w:val="center"/>
          </w:tcPr>
          <w:p>
            <w:pPr>
              <w:pStyle w:val="24"/>
              <w:bidi w:val="0"/>
              <w:jc w:val="center"/>
              <w:rPr>
                <w:rFonts w:hint="default"/>
              </w:rPr>
            </w:pPr>
          </w:p>
        </w:tc>
        <w:tc>
          <w:tcPr>
            <w:tcW w:w="1380" w:type="dxa"/>
            <w:vMerge w:val="continue"/>
            <w:tcBorders>
              <w:tl2br w:val="nil"/>
              <w:tr2bl w:val="nil"/>
            </w:tcBorders>
            <w:noWrap w:val="0"/>
            <w:vAlign w:val="center"/>
          </w:tcPr>
          <w:p>
            <w:pPr>
              <w:pStyle w:val="24"/>
              <w:bidi w:val="0"/>
              <w:jc w:val="center"/>
              <w:rPr>
                <w:rFonts w:hint="default"/>
              </w:rPr>
            </w:pPr>
          </w:p>
        </w:tc>
        <w:tc>
          <w:tcPr>
            <w:tcW w:w="1155" w:type="dxa"/>
            <w:vMerge w:val="continue"/>
            <w:tcBorders>
              <w:tl2br w:val="nil"/>
              <w:tr2bl w:val="nil"/>
            </w:tcBorders>
            <w:noWrap w:val="0"/>
            <w:vAlign w:val="center"/>
          </w:tcPr>
          <w:p>
            <w:pPr>
              <w:pStyle w:val="24"/>
              <w:bidi w:val="0"/>
              <w:jc w:val="center"/>
              <w:rPr>
                <w:rFonts w:hint="default"/>
              </w:rPr>
            </w:pPr>
          </w:p>
        </w:tc>
        <w:tc>
          <w:tcPr>
            <w:tcW w:w="1080" w:type="dxa"/>
            <w:tcBorders>
              <w:tl2br w:val="nil"/>
              <w:tr2bl w:val="nil"/>
            </w:tcBorders>
            <w:noWrap w:val="0"/>
            <w:vAlign w:val="center"/>
          </w:tcPr>
          <w:p>
            <w:pPr>
              <w:pStyle w:val="24"/>
              <w:bidi w:val="0"/>
              <w:jc w:val="center"/>
              <w:rPr>
                <w:rFonts w:hint="eastAsia"/>
              </w:rPr>
            </w:pPr>
            <w:r>
              <w:rPr>
                <w:rFonts w:hint="eastAsia"/>
              </w:rPr>
              <w:t>检测前</w:t>
            </w:r>
          </w:p>
        </w:tc>
        <w:tc>
          <w:tcPr>
            <w:tcW w:w="1096" w:type="dxa"/>
            <w:tcBorders>
              <w:tl2br w:val="nil"/>
              <w:tr2bl w:val="nil"/>
            </w:tcBorders>
            <w:noWrap w:val="0"/>
            <w:vAlign w:val="center"/>
          </w:tcPr>
          <w:p>
            <w:pPr>
              <w:pStyle w:val="24"/>
              <w:bidi w:val="0"/>
              <w:jc w:val="center"/>
            </w:pPr>
            <w:r>
              <w:rPr>
                <w:rFonts w:hint="eastAsia"/>
              </w:rPr>
              <w:t>检测后</w:t>
            </w:r>
          </w:p>
        </w:tc>
        <w:tc>
          <w:tcPr>
            <w:tcW w:w="1395" w:type="dxa"/>
            <w:vMerge w:val="continue"/>
            <w:tcBorders>
              <w:tl2br w:val="nil"/>
              <w:tr2bl w:val="nil"/>
            </w:tcBorders>
            <w:noWrap w:val="0"/>
            <w:vAlign w:val="center"/>
          </w:tcPr>
          <w:p>
            <w:pPr>
              <w:pStyle w:val="24"/>
              <w:bidi w:val="0"/>
              <w:jc w:val="center"/>
            </w:pPr>
          </w:p>
        </w:tc>
        <w:tc>
          <w:tcPr>
            <w:tcW w:w="814" w:type="dxa"/>
            <w:vMerge w:val="continue"/>
            <w:tcBorders>
              <w:tl2br w:val="nil"/>
              <w:tr2bl w:val="nil"/>
            </w:tcBorders>
            <w:noWrap w:val="0"/>
            <w:vAlign w:val="center"/>
          </w:tcPr>
          <w:p>
            <w:pPr>
              <w:pStyle w:val="24"/>
              <w:bidi w:val="0"/>
              <w:jc w:val="cente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restart"/>
            <w:tcBorders>
              <w:tl2br w:val="nil"/>
              <w:tr2bl w:val="nil"/>
            </w:tcBorders>
            <w:noWrap w:val="0"/>
            <w:vAlign w:val="center"/>
          </w:tcPr>
          <w:p>
            <w:pPr>
              <w:pStyle w:val="24"/>
              <w:bidi w:val="0"/>
              <w:jc w:val="center"/>
              <w:rPr>
                <w:rFonts w:hint="default"/>
                <w:lang w:val="en-US" w:eastAsia="zh-CN"/>
              </w:rPr>
            </w:pPr>
            <w:r>
              <w:rPr>
                <w:rFonts w:hint="eastAsia"/>
                <w:lang w:val="en-US" w:eastAsia="zh-CN"/>
              </w:rPr>
              <w:t>2023-3-23</w:t>
            </w: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总烃（以甲烷计）</w:t>
            </w:r>
          </w:p>
        </w:tc>
        <w:tc>
          <w:tcPr>
            <w:tcW w:w="13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17.6</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17.1</w:t>
            </w:r>
          </w:p>
        </w:tc>
        <w:tc>
          <w:tcPr>
            <w:tcW w:w="1395" w:type="dxa"/>
            <w:tcBorders>
              <w:tl2br w:val="nil"/>
              <w:tr2bl w:val="nil"/>
            </w:tcBorders>
            <w:noWrap w:val="0"/>
            <w:vAlign w:val="center"/>
          </w:tcPr>
          <w:p>
            <w:pPr>
              <w:pStyle w:val="24"/>
              <w:bidi w:val="0"/>
              <w:jc w:val="center"/>
              <w:rPr>
                <w:rFonts w:hint="default"/>
                <w:lang w:val="en-US"/>
              </w:rPr>
            </w:pPr>
            <w:r>
              <w:rPr>
                <w:rFonts w:hint="eastAsia"/>
                <w:lang w:val="en-US" w:eastAsia="zh-CN"/>
              </w:rPr>
              <w:t>-3.4～-0.6</w:t>
            </w:r>
          </w:p>
        </w:tc>
        <w:tc>
          <w:tcPr>
            <w:tcW w:w="814" w:type="dxa"/>
            <w:tcBorders>
              <w:tl2br w:val="nil"/>
              <w:tr2bl w:val="nil"/>
            </w:tcBorders>
            <w:noWrap w:val="0"/>
            <w:vAlign w:val="center"/>
          </w:tcPr>
          <w:p>
            <w:pPr>
              <w:pStyle w:val="24"/>
              <w:bidi w:val="0"/>
              <w:jc w:val="center"/>
            </w:pPr>
            <w:r>
              <w:rPr>
                <w:rFonts w:hint="default"/>
                <w:lang w:eastAsia="zh-CN"/>
              </w:rPr>
              <w:t>合格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continue"/>
            <w:tcBorders>
              <w:tl2br w:val="nil"/>
              <w:tr2bl w:val="nil"/>
            </w:tcBorders>
            <w:noWrap w:val="0"/>
            <w:vAlign w:val="center"/>
          </w:tcPr>
          <w:p>
            <w:pPr>
              <w:pStyle w:val="24"/>
              <w:bidi w:val="0"/>
              <w:jc w:val="center"/>
              <w:rPr>
                <w:rFonts w:hint="eastAsia"/>
                <w:lang w:val="en-US" w:eastAsia="zh-CN"/>
              </w:rPr>
            </w:pP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甲烷（以甲烷计）</w:t>
            </w:r>
          </w:p>
        </w:tc>
        <w:tc>
          <w:tcPr>
            <w:tcW w:w="13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18.5</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17.2</w:t>
            </w:r>
          </w:p>
        </w:tc>
        <w:tc>
          <w:tcPr>
            <w:tcW w:w="139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-2.8～4.5</w:t>
            </w:r>
          </w:p>
        </w:tc>
        <w:tc>
          <w:tcPr>
            <w:tcW w:w="814" w:type="dxa"/>
            <w:tcBorders>
              <w:tl2br w:val="nil"/>
              <w:tr2bl w:val="nil"/>
            </w:tcBorders>
            <w:noWrap w:val="0"/>
            <w:vAlign w:val="center"/>
          </w:tcPr>
          <w:p>
            <w:pPr>
              <w:pStyle w:val="24"/>
              <w:bidi w:val="0"/>
              <w:jc w:val="center"/>
              <w:rPr>
                <w:rFonts w:hint="default"/>
                <w:lang w:eastAsia="zh-CN"/>
              </w:rPr>
            </w:pPr>
            <w:r>
              <w:rPr>
                <w:rFonts w:hint="default"/>
                <w:lang w:eastAsia="zh-CN"/>
              </w:rPr>
              <w:t>合格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restart"/>
            <w:tcBorders>
              <w:tl2br w:val="nil"/>
              <w:tr2bl w:val="nil"/>
            </w:tcBorders>
            <w:noWrap w:val="0"/>
            <w:vAlign w:val="center"/>
          </w:tcPr>
          <w:p>
            <w:pPr>
              <w:pStyle w:val="24"/>
              <w:bidi w:val="0"/>
              <w:jc w:val="center"/>
              <w:rPr>
                <w:rFonts w:hint="default"/>
                <w:lang w:val="en-US" w:eastAsia="zh-CN"/>
              </w:rPr>
            </w:pPr>
            <w:r>
              <w:rPr>
                <w:rFonts w:hint="eastAsia"/>
                <w:lang w:val="en-US" w:eastAsia="zh-CN"/>
              </w:rPr>
              <w:t>2023-3-24</w:t>
            </w: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总烃（以甲烷计）</w:t>
            </w:r>
          </w:p>
        </w:tc>
        <w:tc>
          <w:tcPr>
            <w:tcW w:w="13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17.7</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18.1</w:t>
            </w:r>
          </w:p>
        </w:tc>
        <w:tc>
          <w:tcPr>
            <w:tcW w:w="139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0.0～2.3</w:t>
            </w:r>
          </w:p>
        </w:tc>
        <w:tc>
          <w:tcPr>
            <w:tcW w:w="814" w:type="dxa"/>
            <w:tcBorders>
              <w:tl2br w:val="nil"/>
              <w:tr2bl w:val="nil"/>
            </w:tcBorders>
            <w:noWrap w:val="0"/>
            <w:vAlign w:val="center"/>
          </w:tcPr>
          <w:p>
            <w:pPr>
              <w:pStyle w:val="24"/>
              <w:bidi w:val="0"/>
              <w:jc w:val="center"/>
              <w:rPr>
                <w:rFonts w:hint="default"/>
                <w:lang w:eastAsia="zh-CN"/>
              </w:rPr>
            </w:pPr>
            <w:r>
              <w:rPr>
                <w:rFonts w:hint="default"/>
                <w:lang w:eastAsia="zh-CN"/>
              </w:rPr>
              <w:t>合格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continue"/>
            <w:tcBorders>
              <w:tl2br w:val="nil"/>
              <w:tr2bl w:val="nil"/>
            </w:tcBorders>
            <w:noWrap w:val="0"/>
            <w:vAlign w:val="center"/>
          </w:tcPr>
          <w:p>
            <w:pPr>
              <w:pStyle w:val="24"/>
              <w:bidi w:val="0"/>
              <w:jc w:val="center"/>
              <w:rPr>
                <w:rFonts w:hint="eastAsia"/>
                <w:lang w:val="en-US" w:eastAsia="zh-CN"/>
              </w:rPr>
            </w:pP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甲烷（以甲烷计）</w:t>
            </w:r>
          </w:p>
        </w:tc>
        <w:tc>
          <w:tcPr>
            <w:tcW w:w="13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18.5</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17.1</w:t>
            </w:r>
          </w:p>
        </w:tc>
        <w:tc>
          <w:tcPr>
            <w:tcW w:w="139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-3.4～4.5</w:t>
            </w:r>
          </w:p>
        </w:tc>
        <w:tc>
          <w:tcPr>
            <w:tcW w:w="814" w:type="dxa"/>
            <w:tcBorders>
              <w:tl2br w:val="nil"/>
              <w:tr2bl w:val="nil"/>
            </w:tcBorders>
            <w:noWrap w:val="0"/>
            <w:vAlign w:val="center"/>
          </w:tcPr>
          <w:p>
            <w:pPr>
              <w:pStyle w:val="24"/>
              <w:bidi w:val="0"/>
              <w:jc w:val="center"/>
              <w:rPr>
                <w:rFonts w:hint="default"/>
                <w:lang w:eastAsia="zh-CN"/>
              </w:rPr>
            </w:pPr>
            <w:r>
              <w:rPr>
                <w:rFonts w:hint="default"/>
                <w:lang w:eastAsia="zh-CN"/>
              </w:rPr>
              <w:t>合格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restart"/>
            <w:tcBorders>
              <w:tl2br w:val="nil"/>
              <w:tr2bl w:val="nil"/>
            </w:tcBorders>
            <w:noWrap w:val="0"/>
            <w:vAlign w:val="center"/>
          </w:tcPr>
          <w:p>
            <w:pPr>
              <w:pStyle w:val="24"/>
              <w:bidi w:val="0"/>
              <w:jc w:val="center"/>
              <w:rPr>
                <w:rFonts w:hint="default"/>
                <w:lang w:val="en-US" w:eastAsia="zh-CN"/>
              </w:rPr>
            </w:pPr>
            <w:r>
              <w:rPr>
                <w:rFonts w:hint="eastAsia"/>
                <w:lang w:val="en-US" w:eastAsia="zh-CN"/>
              </w:rPr>
              <w:t>2023-3-25</w:t>
            </w: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总烃（以甲烷计）</w:t>
            </w:r>
          </w:p>
        </w:tc>
        <w:tc>
          <w:tcPr>
            <w:tcW w:w="13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17.3</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16.8</w:t>
            </w:r>
          </w:p>
        </w:tc>
        <w:tc>
          <w:tcPr>
            <w:tcW w:w="139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-5.1～-2.3</w:t>
            </w:r>
          </w:p>
        </w:tc>
        <w:tc>
          <w:tcPr>
            <w:tcW w:w="814" w:type="dxa"/>
            <w:tcBorders>
              <w:tl2br w:val="nil"/>
              <w:tr2bl w:val="nil"/>
            </w:tcBorders>
            <w:noWrap w:val="0"/>
            <w:vAlign w:val="center"/>
          </w:tcPr>
          <w:p>
            <w:pPr>
              <w:pStyle w:val="24"/>
              <w:bidi w:val="0"/>
              <w:jc w:val="center"/>
              <w:rPr>
                <w:rFonts w:hint="default"/>
                <w:lang w:eastAsia="zh-CN"/>
              </w:rPr>
            </w:pPr>
            <w:r>
              <w:rPr>
                <w:rFonts w:hint="default"/>
                <w:lang w:eastAsia="zh-CN"/>
              </w:rPr>
              <w:t>合格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continue"/>
            <w:tcBorders>
              <w:tl2br w:val="nil"/>
              <w:tr2bl w:val="nil"/>
            </w:tcBorders>
            <w:noWrap w:val="0"/>
            <w:vAlign w:val="center"/>
          </w:tcPr>
          <w:p>
            <w:pPr>
              <w:pStyle w:val="24"/>
              <w:bidi w:val="0"/>
              <w:jc w:val="center"/>
              <w:rPr>
                <w:rFonts w:hint="eastAsia"/>
                <w:lang w:val="en-US" w:eastAsia="zh-CN"/>
              </w:rPr>
            </w:pP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甲烷（以甲烷计）</w:t>
            </w:r>
          </w:p>
        </w:tc>
        <w:tc>
          <w:tcPr>
            <w:tcW w:w="13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18.9</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17.0</w:t>
            </w:r>
          </w:p>
        </w:tc>
        <w:tc>
          <w:tcPr>
            <w:tcW w:w="139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-4.0～6.8</w:t>
            </w:r>
          </w:p>
        </w:tc>
        <w:tc>
          <w:tcPr>
            <w:tcW w:w="814" w:type="dxa"/>
            <w:tcBorders>
              <w:tl2br w:val="nil"/>
              <w:tr2bl w:val="nil"/>
            </w:tcBorders>
            <w:noWrap w:val="0"/>
            <w:vAlign w:val="center"/>
          </w:tcPr>
          <w:p>
            <w:pPr>
              <w:pStyle w:val="24"/>
              <w:bidi w:val="0"/>
              <w:jc w:val="center"/>
              <w:rPr>
                <w:rFonts w:hint="default"/>
                <w:lang w:eastAsia="zh-CN"/>
              </w:rPr>
            </w:pPr>
            <w:r>
              <w:rPr>
                <w:rFonts w:hint="default"/>
                <w:lang w:eastAsia="zh-CN"/>
              </w:rPr>
              <w:t>合格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restart"/>
            <w:tcBorders>
              <w:tl2br w:val="nil"/>
              <w:tr2bl w:val="nil"/>
            </w:tcBorders>
            <w:noWrap w:val="0"/>
            <w:vAlign w:val="center"/>
          </w:tcPr>
          <w:p>
            <w:pPr>
              <w:pStyle w:val="24"/>
              <w:bidi w:val="0"/>
              <w:jc w:val="center"/>
              <w:rPr>
                <w:rFonts w:hint="default"/>
                <w:lang w:val="en-US" w:eastAsia="zh-CN"/>
              </w:rPr>
            </w:pPr>
            <w:r>
              <w:rPr>
                <w:rFonts w:hint="eastAsia"/>
                <w:lang w:val="en-US" w:eastAsia="zh-CN"/>
              </w:rPr>
              <w:t>2023-3-26</w:t>
            </w: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总烃（以甲烷计）</w:t>
            </w:r>
          </w:p>
        </w:tc>
        <w:tc>
          <w:tcPr>
            <w:tcW w:w="13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17.1</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18.0</w:t>
            </w:r>
          </w:p>
        </w:tc>
        <w:tc>
          <w:tcPr>
            <w:tcW w:w="139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-3.4～1.7</w:t>
            </w:r>
          </w:p>
        </w:tc>
        <w:tc>
          <w:tcPr>
            <w:tcW w:w="814" w:type="dxa"/>
            <w:tcBorders>
              <w:tl2br w:val="nil"/>
              <w:tr2bl w:val="nil"/>
            </w:tcBorders>
            <w:noWrap w:val="0"/>
            <w:vAlign w:val="center"/>
          </w:tcPr>
          <w:p>
            <w:pPr>
              <w:pStyle w:val="24"/>
              <w:bidi w:val="0"/>
              <w:jc w:val="center"/>
              <w:rPr>
                <w:rFonts w:hint="default"/>
                <w:lang w:eastAsia="zh-CN"/>
              </w:rPr>
            </w:pPr>
            <w:r>
              <w:rPr>
                <w:rFonts w:hint="default"/>
                <w:lang w:eastAsia="zh-CN"/>
              </w:rPr>
              <w:t>合格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200" w:type="dxa"/>
            <w:vMerge w:val="continue"/>
            <w:tcBorders>
              <w:tl2br w:val="nil"/>
              <w:tr2bl w:val="nil"/>
            </w:tcBorders>
            <w:noWrap w:val="0"/>
            <w:vAlign w:val="center"/>
          </w:tcPr>
          <w:p>
            <w:pPr>
              <w:pStyle w:val="24"/>
              <w:bidi w:val="0"/>
              <w:jc w:val="center"/>
              <w:rPr>
                <w:rFonts w:hint="eastAsia"/>
                <w:lang w:val="en-US" w:eastAsia="zh-CN"/>
              </w:rPr>
            </w:pPr>
          </w:p>
        </w:tc>
        <w:tc>
          <w:tcPr>
            <w:tcW w:w="172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甲烷（以甲烷计）</w:t>
            </w:r>
          </w:p>
        </w:tc>
        <w:tc>
          <w:tcPr>
            <w:tcW w:w="13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L211702178</w:t>
            </w:r>
          </w:p>
        </w:tc>
        <w:tc>
          <w:tcPr>
            <w:tcW w:w="1155"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17.7</w:t>
            </w:r>
          </w:p>
        </w:tc>
        <w:tc>
          <w:tcPr>
            <w:tcW w:w="10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16.6</w:t>
            </w:r>
          </w:p>
        </w:tc>
        <w:tc>
          <w:tcPr>
            <w:tcW w:w="109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17.8</w:t>
            </w:r>
          </w:p>
        </w:tc>
        <w:tc>
          <w:tcPr>
            <w:tcW w:w="139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-6.2～0.6</w:t>
            </w:r>
          </w:p>
        </w:tc>
        <w:tc>
          <w:tcPr>
            <w:tcW w:w="814" w:type="dxa"/>
            <w:tcBorders>
              <w:tl2br w:val="nil"/>
              <w:tr2bl w:val="nil"/>
            </w:tcBorders>
            <w:noWrap w:val="0"/>
            <w:vAlign w:val="center"/>
          </w:tcPr>
          <w:p>
            <w:pPr>
              <w:pStyle w:val="24"/>
              <w:bidi w:val="0"/>
              <w:jc w:val="center"/>
              <w:rPr>
                <w:rFonts w:hint="default"/>
                <w:lang w:eastAsia="zh-CN"/>
              </w:rPr>
            </w:pPr>
            <w:r>
              <w:rPr>
                <w:rFonts w:hint="default"/>
                <w:lang w:eastAsia="zh-CN"/>
              </w:rPr>
              <w:t>合格</w:t>
            </w:r>
          </w:p>
        </w:tc>
      </w:tr>
    </w:tbl>
    <w:p>
      <w:pPr>
        <w:pStyle w:val="23"/>
      </w:pPr>
      <w:r>
        <w:rPr>
          <w:rFonts w:hint="eastAsia"/>
        </w:rPr>
        <w:t>表</w:t>
      </w:r>
      <w:r>
        <w:t>8.1.</w:t>
      </w:r>
      <w:r>
        <w:rPr>
          <w:rFonts w:hint="eastAsia"/>
          <w:lang w:val="en-US" w:eastAsia="zh-CN"/>
        </w:rPr>
        <w:t>9</w:t>
      </w:r>
      <w:r>
        <w:t xml:space="preserve"> </w:t>
      </w:r>
      <w:r>
        <w:rPr>
          <w:rFonts w:hint="eastAsia"/>
          <w:b/>
          <w:bCs/>
          <w:szCs w:val="21"/>
          <w:lang w:val="en-US" w:eastAsia="zh-CN"/>
        </w:rPr>
        <w:t>海水</w:t>
      </w:r>
      <w:r>
        <w:rPr>
          <w:rFonts w:hint="eastAsia"/>
        </w:rPr>
        <w:t>质量控制数据汇总表（</w:t>
      </w:r>
      <w:r>
        <w:rPr>
          <w:rFonts w:hint="eastAsia"/>
          <w:lang w:val="en-US" w:eastAsia="zh-CN"/>
        </w:rPr>
        <w:t>一</w:t>
      </w:r>
      <w:r>
        <w:rPr>
          <w:rFonts w:hint="eastAsia"/>
        </w:rPr>
        <w:t>）</w:t>
      </w:r>
    </w:p>
    <w:tbl>
      <w:tblPr>
        <w:tblStyle w:val="14"/>
        <w:tblW w:w="9857"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452"/>
        <w:gridCol w:w="1320"/>
        <w:gridCol w:w="1344"/>
        <w:gridCol w:w="1295"/>
        <w:gridCol w:w="1349"/>
        <w:gridCol w:w="1020"/>
        <w:gridCol w:w="1020"/>
        <w:gridCol w:w="10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trHeight w:val="454" w:hRule="atLeast"/>
          <w:tblHeader/>
          <w:jc w:val="center"/>
        </w:trPr>
        <w:tc>
          <w:tcPr>
            <w:tcW w:w="1452" w:type="dxa"/>
            <w:vMerge w:val="restart"/>
            <w:tcBorders>
              <w:tl2br w:val="nil"/>
              <w:tr2bl w:val="nil"/>
            </w:tcBorders>
            <w:shd w:val="clear" w:color="auto" w:fill="auto"/>
            <w:noWrap w:val="0"/>
            <w:vAlign w:val="center"/>
          </w:tcPr>
          <w:p>
            <w:pPr>
              <w:pStyle w:val="24"/>
              <w:bidi w:val="0"/>
              <w:rPr>
                <w:rFonts w:hint="default"/>
              </w:rPr>
            </w:pPr>
            <w:r>
              <w:rPr>
                <w:rFonts w:hint="default"/>
              </w:rPr>
              <w:t>项目名称</w:t>
            </w:r>
          </w:p>
        </w:tc>
        <w:tc>
          <w:tcPr>
            <w:tcW w:w="1320" w:type="dxa"/>
            <w:vMerge w:val="restart"/>
            <w:tcBorders>
              <w:tl2br w:val="nil"/>
              <w:tr2bl w:val="nil"/>
            </w:tcBorders>
            <w:shd w:val="clear" w:color="auto" w:fill="auto"/>
            <w:noWrap w:val="0"/>
            <w:vAlign w:val="center"/>
          </w:tcPr>
          <w:p>
            <w:pPr>
              <w:pStyle w:val="24"/>
              <w:bidi w:val="0"/>
              <w:rPr>
                <w:rFonts w:hint="default"/>
                <w:lang w:val="en-US"/>
              </w:rPr>
            </w:pPr>
            <w:r>
              <w:rPr>
                <w:rFonts w:hint="default"/>
              </w:rPr>
              <w:t>控样编号</w:t>
            </w:r>
          </w:p>
        </w:tc>
        <w:tc>
          <w:tcPr>
            <w:tcW w:w="1344" w:type="dxa"/>
            <w:vMerge w:val="restart"/>
            <w:tcBorders>
              <w:tl2br w:val="nil"/>
              <w:tr2bl w:val="nil"/>
            </w:tcBorders>
            <w:shd w:val="clear" w:color="auto" w:fill="auto"/>
            <w:noWrap w:val="0"/>
            <w:vAlign w:val="center"/>
          </w:tcPr>
          <w:p>
            <w:pPr>
              <w:pStyle w:val="24"/>
              <w:bidi w:val="0"/>
              <w:rPr>
                <w:rFonts w:hint="default"/>
              </w:rPr>
            </w:pPr>
            <w:r>
              <w:rPr>
                <w:rFonts w:hint="default"/>
              </w:rPr>
              <w:t>控</w:t>
            </w:r>
            <w:r>
              <w:rPr>
                <w:rFonts w:hint="default"/>
                <w:lang w:eastAsia="zh-CN"/>
              </w:rPr>
              <w:t>样</w:t>
            </w:r>
            <w:r>
              <w:rPr>
                <w:rFonts w:hint="default"/>
              </w:rPr>
              <w:t>值</w:t>
            </w:r>
          </w:p>
          <w:p>
            <w:pPr>
              <w:pStyle w:val="24"/>
              <w:bidi w:val="0"/>
              <w:rPr>
                <w:rFonts w:hint="default"/>
              </w:rPr>
            </w:pPr>
            <w:r>
              <w:rPr>
                <w:rFonts w:hint="default"/>
              </w:rPr>
              <w:t>(mg/L)</w:t>
            </w:r>
          </w:p>
        </w:tc>
        <w:tc>
          <w:tcPr>
            <w:tcW w:w="2644" w:type="dxa"/>
            <w:gridSpan w:val="2"/>
            <w:tcBorders>
              <w:tl2br w:val="nil"/>
              <w:tr2bl w:val="nil"/>
            </w:tcBorders>
            <w:shd w:val="clear" w:color="auto" w:fill="auto"/>
            <w:noWrap w:val="0"/>
            <w:vAlign w:val="center"/>
          </w:tcPr>
          <w:p>
            <w:pPr>
              <w:pStyle w:val="24"/>
              <w:bidi w:val="0"/>
              <w:rPr>
                <w:rFonts w:hint="default"/>
              </w:rPr>
            </w:pPr>
            <w:r>
              <w:rPr>
                <w:rFonts w:hint="default"/>
              </w:rPr>
              <w:t>测定值(mg/L)</w:t>
            </w:r>
          </w:p>
        </w:tc>
        <w:tc>
          <w:tcPr>
            <w:tcW w:w="1020" w:type="dxa"/>
            <w:vMerge w:val="restart"/>
            <w:tcBorders>
              <w:tl2br w:val="nil"/>
              <w:tr2bl w:val="nil"/>
            </w:tcBorders>
            <w:shd w:val="clear" w:color="auto" w:fill="auto"/>
            <w:noWrap w:val="0"/>
            <w:vAlign w:val="center"/>
          </w:tcPr>
          <w:p>
            <w:pPr>
              <w:pStyle w:val="24"/>
              <w:bidi w:val="0"/>
              <w:rPr>
                <w:rFonts w:hint="default"/>
              </w:rPr>
            </w:pPr>
            <w:r>
              <w:rPr>
                <w:rFonts w:hint="default"/>
              </w:rPr>
              <w:t>相对偏差</w:t>
            </w:r>
          </w:p>
          <w:p>
            <w:pPr>
              <w:pStyle w:val="24"/>
              <w:bidi w:val="0"/>
              <w:rPr>
                <w:rFonts w:hint="default"/>
                <w:lang w:val="en-US" w:eastAsia="zh-CN"/>
              </w:rPr>
            </w:pPr>
            <w:r>
              <w:rPr>
                <w:rFonts w:hint="default"/>
              </w:rPr>
              <w:t>（%）</w:t>
            </w:r>
          </w:p>
        </w:tc>
        <w:tc>
          <w:tcPr>
            <w:tcW w:w="1020" w:type="dxa"/>
            <w:vMerge w:val="restart"/>
            <w:tcBorders>
              <w:tl2br w:val="nil"/>
              <w:tr2bl w:val="nil"/>
            </w:tcBorders>
            <w:shd w:val="clear" w:color="auto" w:fill="auto"/>
            <w:noWrap w:val="0"/>
            <w:vAlign w:val="center"/>
          </w:tcPr>
          <w:p>
            <w:pPr>
              <w:pStyle w:val="24"/>
              <w:bidi w:val="0"/>
              <w:rPr>
                <w:rFonts w:hint="default"/>
              </w:rPr>
            </w:pPr>
            <w:r>
              <w:rPr>
                <w:rFonts w:hint="default"/>
              </w:rPr>
              <w:t>相对误差</w:t>
            </w:r>
          </w:p>
          <w:p>
            <w:pPr>
              <w:pStyle w:val="24"/>
              <w:bidi w:val="0"/>
              <w:rPr>
                <w:rFonts w:hint="default"/>
              </w:rPr>
            </w:pPr>
            <w:r>
              <w:rPr>
                <w:rFonts w:hint="default"/>
              </w:rPr>
              <w:t>(%)</w:t>
            </w:r>
          </w:p>
        </w:tc>
        <w:tc>
          <w:tcPr>
            <w:tcW w:w="1057" w:type="dxa"/>
            <w:vMerge w:val="restart"/>
            <w:tcBorders>
              <w:tl2br w:val="nil"/>
              <w:tr2bl w:val="nil"/>
            </w:tcBorders>
            <w:shd w:val="clear" w:color="auto" w:fill="auto"/>
            <w:noWrap w:val="0"/>
            <w:vAlign w:val="center"/>
          </w:tcPr>
          <w:p>
            <w:pPr>
              <w:pStyle w:val="24"/>
              <w:bidi w:val="0"/>
              <w:rPr>
                <w:rFonts w:hint="default"/>
              </w:rPr>
            </w:pPr>
            <w:r>
              <w:rPr>
                <w:rFonts w:hint="default"/>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1452" w:type="dxa"/>
            <w:vMerge w:val="continue"/>
            <w:tcBorders>
              <w:tl2br w:val="nil"/>
              <w:tr2bl w:val="nil"/>
            </w:tcBorders>
            <w:shd w:val="clear" w:color="auto" w:fill="auto"/>
            <w:noWrap w:val="0"/>
            <w:vAlign w:val="center"/>
          </w:tcPr>
          <w:p>
            <w:pPr>
              <w:pStyle w:val="24"/>
              <w:bidi w:val="0"/>
              <w:rPr>
                <w:rFonts w:hint="default"/>
              </w:rPr>
            </w:pPr>
          </w:p>
        </w:tc>
        <w:tc>
          <w:tcPr>
            <w:tcW w:w="1320" w:type="dxa"/>
            <w:vMerge w:val="continue"/>
            <w:tcBorders>
              <w:tl2br w:val="nil"/>
              <w:tr2bl w:val="nil"/>
            </w:tcBorders>
            <w:shd w:val="clear" w:color="auto" w:fill="auto"/>
            <w:noWrap w:val="0"/>
            <w:vAlign w:val="center"/>
          </w:tcPr>
          <w:p>
            <w:pPr>
              <w:pStyle w:val="24"/>
              <w:bidi w:val="0"/>
              <w:rPr>
                <w:rFonts w:hint="default"/>
              </w:rPr>
            </w:pPr>
          </w:p>
        </w:tc>
        <w:tc>
          <w:tcPr>
            <w:tcW w:w="1344" w:type="dxa"/>
            <w:vMerge w:val="continue"/>
            <w:tcBorders>
              <w:tl2br w:val="nil"/>
              <w:tr2bl w:val="nil"/>
            </w:tcBorders>
            <w:shd w:val="clear" w:color="auto" w:fill="auto"/>
            <w:noWrap w:val="0"/>
            <w:vAlign w:val="center"/>
          </w:tcPr>
          <w:p>
            <w:pPr>
              <w:pStyle w:val="24"/>
              <w:bidi w:val="0"/>
              <w:rPr>
                <w:rFonts w:hint="default"/>
              </w:rPr>
            </w:pPr>
          </w:p>
        </w:tc>
        <w:tc>
          <w:tcPr>
            <w:tcW w:w="1295" w:type="dxa"/>
            <w:tcBorders>
              <w:tl2br w:val="nil"/>
              <w:tr2bl w:val="nil"/>
            </w:tcBorders>
            <w:shd w:val="clear" w:color="auto" w:fill="auto"/>
            <w:noWrap w:val="0"/>
            <w:vAlign w:val="center"/>
          </w:tcPr>
          <w:p>
            <w:pPr>
              <w:pStyle w:val="24"/>
              <w:bidi w:val="0"/>
              <w:rPr>
                <w:rFonts w:hint="default"/>
              </w:rPr>
            </w:pPr>
            <w:r>
              <w:rPr>
                <w:rFonts w:hint="default"/>
              </w:rPr>
              <w:t>第1次</w:t>
            </w:r>
          </w:p>
        </w:tc>
        <w:tc>
          <w:tcPr>
            <w:tcW w:w="1349" w:type="dxa"/>
            <w:tcBorders>
              <w:tl2br w:val="nil"/>
              <w:tr2bl w:val="nil"/>
            </w:tcBorders>
            <w:shd w:val="clear" w:color="auto" w:fill="auto"/>
            <w:noWrap w:val="0"/>
            <w:vAlign w:val="center"/>
          </w:tcPr>
          <w:p>
            <w:pPr>
              <w:pStyle w:val="24"/>
              <w:bidi w:val="0"/>
              <w:rPr>
                <w:rFonts w:hint="default"/>
              </w:rPr>
            </w:pPr>
            <w:r>
              <w:rPr>
                <w:rFonts w:hint="default"/>
              </w:rPr>
              <w:t>第2次</w:t>
            </w:r>
          </w:p>
        </w:tc>
        <w:tc>
          <w:tcPr>
            <w:tcW w:w="1020" w:type="dxa"/>
            <w:vMerge w:val="continue"/>
            <w:tcBorders>
              <w:tl2br w:val="nil"/>
              <w:tr2bl w:val="nil"/>
            </w:tcBorders>
            <w:shd w:val="clear" w:color="auto" w:fill="auto"/>
            <w:noWrap w:val="0"/>
            <w:vAlign w:val="center"/>
          </w:tcPr>
          <w:p>
            <w:pPr>
              <w:pStyle w:val="24"/>
              <w:bidi w:val="0"/>
              <w:rPr>
                <w:rFonts w:hint="default"/>
              </w:rPr>
            </w:pPr>
          </w:p>
        </w:tc>
        <w:tc>
          <w:tcPr>
            <w:tcW w:w="1020" w:type="dxa"/>
            <w:vMerge w:val="continue"/>
            <w:tcBorders>
              <w:tl2br w:val="nil"/>
              <w:tr2bl w:val="nil"/>
            </w:tcBorders>
            <w:shd w:val="clear" w:color="auto" w:fill="auto"/>
            <w:noWrap w:val="0"/>
            <w:vAlign w:val="center"/>
          </w:tcPr>
          <w:p>
            <w:pPr>
              <w:pStyle w:val="24"/>
              <w:bidi w:val="0"/>
              <w:rPr>
                <w:rFonts w:hint="default"/>
              </w:rPr>
            </w:pPr>
          </w:p>
        </w:tc>
        <w:tc>
          <w:tcPr>
            <w:tcW w:w="1057" w:type="dxa"/>
            <w:vMerge w:val="continue"/>
            <w:tcBorders>
              <w:tl2br w:val="nil"/>
              <w:tr2bl w:val="nil"/>
            </w:tcBorders>
            <w:shd w:val="clear" w:color="auto" w:fill="auto"/>
            <w:noWrap w:val="0"/>
            <w:vAlign w:val="center"/>
          </w:tcPr>
          <w:p>
            <w:pPr>
              <w:pStyle w:val="24"/>
              <w:bidi w:val="0"/>
              <w:rPr>
                <w:rFonts w:hint="default"/>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六价铬</w:t>
            </w:r>
          </w:p>
        </w:tc>
        <w:tc>
          <w:tcPr>
            <w:tcW w:w="13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B21080280</w:t>
            </w:r>
          </w:p>
        </w:tc>
        <w:tc>
          <w:tcPr>
            <w:tcW w:w="134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0.205±0.010</w:t>
            </w:r>
          </w:p>
        </w:tc>
        <w:tc>
          <w:tcPr>
            <w:tcW w:w="1295"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0.208</w:t>
            </w:r>
          </w:p>
        </w:tc>
        <w:tc>
          <w:tcPr>
            <w:tcW w:w="134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1.5</w:t>
            </w:r>
          </w:p>
        </w:tc>
        <w:tc>
          <w:tcPr>
            <w:tcW w:w="105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挥发性酚</w:t>
            </w:r>
          </w:p>
        </w:tc>
        <w:tc>
          <w:tcPr>
            <w:tcW w:w="13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200367</w:t>
            </w:r>
          </w:p>
        </w:tc>
        <w:tc>
          <w:tcPr>
            <w:tcW w:w="134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32.1±2.3ug/L</w:t>
            </w:r>
          </w:p>
        </w:tc>
        <w:tc>
          <w:tcPr>
            <w:tcW w:w="1295"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30.6</w:t>
            </w:r>
            <w:r>
              <w:rPr>
                <w:rFonts w:hint="default"/>
                <w:lang w:val="en-US" w:eastAsia="zh-CN"/>
              </w:rPr>
              <w:t>ug/L</w:t>
            </w:r>
          </w:p>
        </w:tc>
        <w:tc>
          <w:tcPr>
            <w:tcW w:w="134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-4.6</w:t>
            </w:r>
          </w:p>
        </w:tc>
        <w:tc>
          <w:tcPr>
            <w:tcW w:w="105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石油类</w:t>
            </w:r>
          </w:p>
        </w:tc>
        <w:tc>
          <w:tcPr>
            <w:tcW w:w="13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A22050248</w:t>
            </w:r>
          </w:p>
        </w:tc>
        <w:tc>
          <w:tcPr>
            <w:tcW w:w="134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5.11±0.26</w:t>
            </w:r>
          </w:p>
        </w:tc>
        <w:tc>
          <w:tcPr>
            <w:tcW w:w="1295"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4.93</w:t>
            </w:r>
          </w:p>
        </w:tc>
        <w:tc>
          <w:tcPr>
            <w:tcW w:w="134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-3.5</w:t>
            </w:r>
          </w:p>
        </w:tc>
        <w:tc>
          <w:tcPr>
            <w:tcW w:w="105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化学需氧量</w:t>
            </w:r>
          </w:p>
        </w:tc>
        <w:tc>
          <w:tcPr>
            <w:tcW w:w="13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0.73</w:t>
            </w:r>
          </w:p>
        </w:tc>
        <w:tc>
          <w:tcPr>
            <w:tcW w:w="134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0.68</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3.5</w:t>
            </w:r>
          </w:p>
        </w:tc>
        <w:tc>
          <w:tcPr>
            <w:tcW w:w="1020"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default"/>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1.33</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1.15</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 xml:space="preserve">7.3 </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汞</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0.000007L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0.000007L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0.000007L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0.000007L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砷</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0.0005L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0.0005L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0.0005L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0.0005L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镉</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0.00001L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0.00001L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0.00001L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0.00001L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铅</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0.00003L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0.00003L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0.00003L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0.00003L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镍</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0.0005L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0.0005L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0.0005L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0.0005L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锌</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0.0885</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0.0823</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3.6</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0.0451</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0.0410</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4.8</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总铬</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w:t>
            </w:r>
            <w:r>
              <w:rPr>
                <w:rFonts w:hint="eastAsia"/>
                <w:lang w:val="en-US" w:eastAsia="zh-CN"/>
              </w:rPr>
              <w:t>000</w:t>
            </w:r>
            <w:r>
              <w:rPr>
                <w:rFonts w:hint="default"/>
                <w:lang w:val="en-US" w:eastAsia="zh-CN"/>
              </w:rPr>
              <w:t>4</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w:t>
            </w:r>
            <w:r>
              <w:rPr>
                <w:rFonts w:hint="eastAsia"/>
                <w:lang w:val="en-US" w:eastAsia="zh-CN"/>
              </w:rPr>
              <w:t>000</w:t>
            </w:r>
            <w:r>
              <w:rPr>
                <w:rFonts w:hint="default"/>
                <w:lang w:val="en-US" w:eastAsia="zh-CN"/>
              </w:rPr>
              <w:t>5</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11</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w:t>
            </w:r>
            <w:r>
              <w:rPr>
                <w:rFonts w:hint="default"/>
                <w:lang w:val="en-US" w:eastAsia="zh-CN"/>
              </w:rPr>
              <w:t>14</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w:t>
            </w:r>
            <w:r>
              <w:rPr>
                <w:rFonts w:hint="default"/>
                <w:lang w:val="en-US" w:eastAsia="zh-CN"/>
              </w:rPr>
              <w:t>13</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3.7</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六价铬</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default"/>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亚硝酸盐</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0.073</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0.080</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4.6</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default"/>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0.076</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0.071</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3.4</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硝酸盐</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0.100</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0.104</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2.0</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default"/>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0.113</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0.106</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3.2</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氨氮</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0.114</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0.105</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4.1</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0.115</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0.110</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2.2</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活性磷酸盐</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0.045</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0.045</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0.034</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0.033</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1.5</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铜</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0.0007</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0.0007</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0.0014</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0.0015</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3.4</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硫化物</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0.0002L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0.0002L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0.0002L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0.0002L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挥发性酚</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0.0011L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0.0011L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0.0011L</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0.0011L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restart"/>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溶解氧</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6.78</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6.85</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0.5</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vMerge w:val="continue"/>
            <w:tcBorders>
              <w:tl2br w:val="nil"/>
              <w:tr2bl w:val="nil"/>
            </w:tcBorders>
            <w:shd w:val="clear" w:color="auto" w:fill="auto"/>
            <w:vAlign w:val="center"/>
          </w:tcPr>
          <w:p>
            <w:pPr>
              <w:pStyle w:val="24"/>
              <w:bidi w:val="0"/>
              <w:rPr>
                <w:rFonts w:hint="eastAsia"/>
                <w:lang w:val="en-US" w:eastAsia="zh-CN"/>
              </w:rPr>
            </w:pP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7.21</w:t>
            </w:r>
          </w:p>
        </w:tc>
        <w:tc>
          <w:tcPr>
            <w:tcW w:w="134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7.37</w:t>
            </w:r>
          </w:p>
        </w:tc>
        <w:tc>
          <w:tcPr>
            <w:tcW w:w="102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1.1</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甲苯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间，对-二甲苯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w:t>
            </w:r>
            <w:r>
              <w:rPr>
                <w:rFonts w:hint="eastAsia"/>
                <w:lang w:val="en-US" w:eastAsia="zh-CN"/>
              </w:rPr>
              <w:t>22</w:t>
            </w:r>
            <w:r>
              <w:rPr>
                <w:rFonts w:hint="default"/>
                <w:lang w:val="en-US" w:eastAsia="zh-CN"/>
              </w:rPr>
              <w:t>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w:t>
            </w:r>
            <w:r>
              <w:rPr>
                <w:rFonts w:hint="eastAsia"/>
                <w:lang w:val="en-US" w:eastAsia="zh-CN"/>
              </w:rPr>
              <w:t>22</w:t>
            </w:r>
            <w:r>
              <w:rPr>
                <w:rFonts w:hint="default"/>
                <w:lang w:val="en-US" w:eastAsia="zh-CN"/>
              </w:rPr>
              <w:t>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邻-二甲苯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苯乙烯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实验平行样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甲苯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间，对-二甲苯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w:t>
            </w:r>
            <w:r>
              <w:rPr>
                <w:rFonts w:hint="eastAsia"/>
                <w:lang w:val="en-US" w:eastAsia="zh-CN"/>
              </w:rPr>
              <w:t>22</w:t>
            </w:r>
            <w:r>
              <w:rPr>
                <w:rFonts w:hint="default"/>
                <w:lang w:val="en-US" w:eastAsia="zh-CN"/>
              </w:rPr>
              <w:t>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w:t>
            </w:r>
            <w:r>
              <w:rPr>
                <w:rFonts w:hint="eastAsia"/>
                <w:lang w:val="en-US" w:eastAsia="zh-CN"/>
              </w:rPr>
              <w:t>22</w:t>
            </w:r>
            <w:r>
              <w:rPr>
                <w:rFonts w:hint="default"/>
                <w:lang w:val="en-US" w:eastAsia="zh-CN"/>
              </w:rPr>
              <w:t>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邻-二甲苯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0.0014L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2"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苯乙烯</w:t>
            </w:r>
          </w:p>
        </w:tc>
        <w:tc>
          <w:tcPr>
            <w:tcW w:w="13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采样平行样</w:t>
            </w:r>
          </w:p>
        </w:tc>
        <w:tc>
          <w:tcPr>
            <w:tcW w:w="1344"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295"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134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0.0006L</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w:t>
            </w:r>
          </w:p>
        </w:tc>
        <w:tc>
          <w:tcPr>
            <w:tcW w:w="1057"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bl>
    <w:p>
      <w:pPr>
        <w:pStyle w:val="23"/>
        <w:bidi w:val="0"/>
      </w:pPr>
      <w:r>
        <w:rPr>
          <w:rFonts w:hint="eastAsia"/>
        </w:rPr>
        <w:t>表</w:t>
      </w:r>
      <w:r>
        <w:t>8.1.</w:t>
      </w:r>
      <w:r>
        <w:rPr>
          <w:rFonts w:hint="eastAsia"/>
          <w:lang w:val="en-US" w:eastAsia="zh-CN"/>
        </w:rPr>
        <w:t>10</w:t>
      </w:r>
      <w:r>
        <w:t xml:space="preserve"> </w:t>
      </w:r>
      <w:r>
        <w:rPr>
          <w:rFonts w:hint="eastAsia"/>
          <w:lang w:val="en-US" w:eastAsia="zh-CN"/>
        </w:rPr>
        <w:t>海水</w:t>
      </w:r>
      <w:r>
        <w:rPr>
          <w:rFonts w:hint="eastAsia"/>
        </w:rPr>
        <w:t>质量控制数据汇总表（</w:t>
      </w:r>
      <w:r>
        <w:rPr>
          <w:rFonts w:hint="eastAsia"/>
          <w:lang w:val="en-US" w:eastAsia="zh-CN"/>
        </w:rPr>
        <w:t>二</w:t>
      </w:r>
      <w:r>
        <w:rPr>
          <w:rFonts w:hint="eastAsia"/>
        </w:rPr>
        <w:t>）</w:t>
      </w:r>
    </w:p>
    <w:tbl>
      <w:tblPr>
        <w:tblStyle w:val="14"/>
        <w:tblW w:w="9942" w:type="dxa"/>
        <w:jc w:val="center"/>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355"/>
        <w:gridCol w:w="2388"/>
        <w:gridCol w:w="841"/>
        <w:gridCol w:w="930"/>
        <w:gridCol w:w="920"/>
        <w:gridCol w:w="1250"/>
        <w:gridCol w:w="1290"/>
        <w:gridCol w:w="96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Ex>
        <w:trPr>
          <w:trHeight w:val="442" w:hRule="atLeast"/>
          <w:tblHeader/>
          <w:jc w:val="center"/>
        </w:trPr>
        <w:tc>
          <w:tcPr>
            <w:tcW w:w="1355"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检测项目</w:t>
            </w:r>
          </w:p>
        </w:tc>
        <w:tc>
          <w:tcPr>
            <w:tcW w:w="2388"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样品编号</w:t>
            </w:r>
          </w:p>
        </w:tc>
        <w:tc>
          <w:tcPr>
            <w:tcW w:w="841"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加标量</w:t>
            </w:r>
          </w:p>
          <w:p>
            <w:pPr>
              <w:pStyle w:val="24"/>
              <w:bidi w:val="0"/>
              <w:rPr>
                <w:rFonts w:hint="default"/>
                <w:lang w:val="en-US" w:eastAsia="zh-CN"/>
              </w:rPr>
            </w:pPr>
            <w:r>
              <w:rPr>
                <w:rFonts w:hint="default"/>
                <w:lang w:val="en-US" w:eastAsia="zh-CN"/>
              </w:rPr>
              <w:t>(mg/L)</w:t>
            </w:r>
          </w:p>
        </w:tc>
        <w:tc>
          <w:tcPr>
            <w:tcW w:w="1850" w:type="dxa"/>
            <w:gridSpan w:val="2"/>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检测结果(mg/L)</w:t>
            </w:r>
          </w:p>
        </w:tc>
        <w:tc>
          <w:tcPr>
            <w:tcW w:w="1250"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加标回收率(%）</w:t>
            </w:r>
          </w:p>
        </w:tc>
        <w:tc>
          <w:tcPr>
            <w:tcW w:w="1290"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评价标准(%)</w:t>
            </w:r>
          </w:p>
        </w:tc>
        <w:tc>
          <w:tcPr>
            <w:tcW w:w="968"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结果评价</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tblHeader/>
          <w:jc w:val="center"/>
        </w:trPr>
        <w:tc>
          <w:tcPr>
            <w:tcW w:w="1355" w:type="dxa"/>
            <w:vMerge w:val="continue"/>
            <w:tcBorders>
              <w:tl2br w:val="nil"/>
              <w:tr2bl w:val="nil"/>
            </w:tcBorders>
            <w:shd w:val="clear" w:color="auto" w:fill="auto"/>
            <w:vAlign w:val="center"/>
          </w:tcPr>
          <w:p>
            <w:pPr>
              <w:pStyle w:val="24"/>
              <w:bidi w:val="0"/>
              <w:rPr>
                <w:rFonts w:hint="default"/>
                <w:lang w:val="en-US" w:eastAsia="zh-CN"/>
              </w:rPr>
            </w:pPr>
          </w:p>
        </w:tc>
        <w:tc>
          <w:tcPr>
            <w:tcW w:w="2388" w:type="dxa"/>
            <w:vMerge w:val="continue"/>
            <w:tcBorders>
              <w:tl2br w:val="nil"/>
              <w:tr2bl w:val="nil"/>
            </w:tcBorders>
            <w:shd w:val="clear" w:color="auto" w:fill="auto"/>
            <w:vAlign w:val="center"/>
          </w:tcPr>
          <w:p>
            <w:pPr>
              <w:pStyle w:val="24"/>
              <w:bidi w:val="0"/>
              <w:rPr>
                <w:rFonts w:hint="default"/>
                <w:lang w:val="en-US" w:eastAsia="zh-CN"/>
              </w:rPr>
            </w:pPr>
          </w:p>
        </w:tc>
        <w:tc>
          <w:tcPr>
            <w:tcW w:w="841" w:type="dxa"/>
            <w:vMerge w:val="continue"/>
            <w:tcBorders>
              <w:tl2br w:val="nil"/>
              <w:tr2bl w:val="nil"/>
            </w:tcBorders>
            <w:shd w:val="clear" w:color="auto" w:fill="auto"/>
            <w:vAlign w:val="center"/>
          </w:tcPr>
          <w:p>
            <w:pPr>
              <w:pStyle w:val="24"/>
              <w:bidi w:val="0"/>
              <w:rPr>
                <w:rFonts w:hint="default"/>
                <w:lang w:val="en-US" w:eastAsia="zh-CN"/>
              </w:rPr>
            </w:pPr>
          </w:p>
        </w:tc>
        <w:tc>
          <w:tcPr>
            <w:tcW w:w="93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样品</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加标样品</w:t>
            </w:r>
          </w:p>
        </w:tc>
        <w:tc>
          <w:tcPr>
            <w:tcW w:w="1250" w:type="dxa"/>
            <w:vMerge w:val="continue"/>
            <w:tcBorders>
              <w:tl2br w:val="nil"/>
              <w:tr2bl w:val="nil"/>
            </w:tcBorders>
            <w:shd w:val="clear" w:color="auto" w:fill="auto"/>
            <w:vAlign w:val="center"/>
          </w:tcPr>
          <w:p>
            <w:pPr>
              <w:pStyle w:val="24"/>
              <w:bidi w:val="0"/>
              <w:rPr>
                <w:rFonts w:hint="default"/>
                <w:lang w:val="en-US" w:eastAsia="zh-CN"/>
              </w:rPr>
            </w:pPr>
          </w:p>
        </w:tc>
        <w:tc>
          <w:tcPr>
            <w:tcW w:w="1290" w:type="dxa"/>
            <w:vMerge w:val="continue"/>
            <w:tcBorders>
              <w:tl2br w:val="nil"/>
              <w:tr2bl w:val="nil"/>
            </w:tcBorders>
            <w:shd w:val="clear" w:color="auto" w:fill="auto"/>
            <w:vAlign w:val="center"/>
          </w:tcPr>
          <w:p>
            <w:pPr>
              <w:pStyle w:val="24"/>
              <w:bidi w:val="0"/>
              <w:rPr>
                <w:rFonts w:hint="default"/>
                <w:lang w:val="en-US" w:eastAsia="zh-CN"/>
              </w:rPr>
            </w:pPr>
          </w:p>
        </w:tc>
        <w:tc>
          <w:tcPr>
            <w:tcW w:w="968" w:type="dxa"/>
            <w:vMerge w:val="continue"/>
            <w:tcBorders>
              <w:tl2br w:val="nil"/>
              <w:tr2bl w:val="nil"/>
            </w:tcBorders>
            <w:shd w:val="clear" w:color="auto" w:fill="auto"/>
            <w:vAlign w:val="center"/>
          </w:tcPr>
          <w:p>
            <w:pPr>
              <w:pStyle w:val="24"/>
              <w:bidi w:val="0"/>
              <w:rPr>
                <w:rFonts w:hint="default"/>
                <w:lang w:val="en-US" w:eastAsia="zh-CN"/>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苯</w:t>
            </w: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FHJ2303058-SKB1-VOC-JB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0.0469</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93.8</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rPr>
                <w:rFonts w:hint="default"/>
                <w:lang w:val="en-US" w:eastAsia="zh-CN"/>
              </w:rPr>
            </w:pP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FHJ23030580408-JB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0.0463</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92.6</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甲苯</w:t>
            </w: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FHJ2303058-SKB1-VOC-JB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0.0454</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90.8</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rPr>
                <w:rFonts w:hint="default"/>
                <w:lang w:val="en-US" w:eastAsia="zh-CN"/>
              </w:rPr>
            </w:pP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FHJ23030580408-JB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0.0453</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90.6</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间，对-二甲苯</w:t>
            </w: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FHJ2303058-SKB1-VOC-JB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0.1000</w:t>
            </w:r>
          </w:p>
        </w:tc>
        <w:tc>
          <w:tcPr>
            <w:tcW w:w="93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0.1026</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103</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rPr>
                <w:rFonts w:hint="default"/>
                <w:lang w:val="en-US" w:eastAsia="zh-CN"/>
              </w:rPr>
            </w:pP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FHJ23030580408-JB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0.1000</w:t>
            </w:r>
          </w:p>
        </w:tc>
        <w:tc>
          <w:tcPr>
            <w:tcW w:w="93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0.1027</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103</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rPr>
                <w:rFonts w:hint="default"/>
                <w:lang w:val="en-US" w:eastAsia="zh-CN"/>
              </w:rPr>
            </w:pPr>
            <w:r>
              <w:rPr>
                <w:rFonts w:hint="default"/>
                <w:lang w:val="en-US" w:eastAsia="zh-CN"/>
              </w:rPr>
              <w:t>邻-二甲苯</w:t>
            </w: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FHJ2303058-SKB1-VOC-JB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0.0406</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81.2</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rPr>
                <w:rFonts w:hint="default"/>
                <w:lang w:val="en-US" w:eastAsia="zh-CN"/>
              </w:rPr>
            </w:pP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FHJ23030580408-JB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0.0424</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84.8</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restart"/>
            <w:tcBorders>
              <w:tl2br w:val="nil"/>
              <w:tr2bl w:val="nil"/>
            </w:tcBorders>
            <w:shd w:val="clear" w:color="auto" w:fill="auto"/>
            <w:vAlign w:val="center"/>
          </w:tcPr>
          <w:p>
            <w:pPr>
              <w:pStyle w:val="24"/>
              <w:bidi w:val="0"/>
              <w:rPr>
                <w:rFonts w:hint="default"/>
                <w:lang w:val="en-US" w:eastAsia="zh-CN"/>
              </w:rPr>
            </w:pPr>
            <w:r>
              <w:rPr>
                <w:rFonts w:hint="default"/>
              </w:rPr>
              <w:t>苯乙烯</w:t>
            </w: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FHJ2303058-SKB1-VOC-JB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0.0435</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87.0</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80</w:t>
            </w:r>
            <w:r>
              <w:rPr>
                <w:rFonts w:hint="default"/>
                <w:lang w:val="en-US" w:eastAsia="zh-CN"/>
              </w:rPr>
              <w:t>～</w:t>
            </w:r>
            <w:r>
              <w:rPr>
                <w:rFonts w:hint="eastAsia"/>
                <w:lang w:val="en-US" w:eastAsia="zh-CN"/>
              </w:rPr>
              <w:t>120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2" w:hRule="atLeast"/>
          <w:jc w:val="center"/>
        </w:trPr>
        <w:tc>
          <w:tcPr>
            <w:tcW w:w="1355" w:type="dxa"/>
            <w:vMerge w:val="continue"/>
            <w:tcBorders>
              <w:tl2br w:val="nil"/>
              <w:tr2bl w:val="nil"/>
            </w:tcBorders>
            <w:shd w:val="clear" w:color="auto" w:fill="auto"/>
            <w:vAlign w:val="center"/>
          </w:tcPr>
          <w:p>
            <w:pPr>
              <w:pStyle w:val="24"/>
              <w:bidi w:val="0"/>
              <w:rPr>
                <w:rFonts w:hint="default"/>
              </w:rPr>
            </w:pPr>
          </w:p>
        </w:tc>
        <w:tc>
          <w:tcPr>
            <w:tcW w:w="238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FHJ23030580408-JB</w:t>
            </w:r>
          </w:p>
        </w:tc>
        <w:tc>
          <w:tcPr>
            <w:tcW w:w="841"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0.0500</w:t>
            </w:r>
          </w:p>
        </w:tc>
        <w:tc>
          <w:tcPr>
            <w:tcW w:w="93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ND</w:t>
            </w:r>
          </w:p>
        </w:tc>
        <w:tc>
          <w:tcPr>
            <w:tcW w:w="92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0.0451</w:t>
            </w:r>
          </w:p>
        </w:tc>
        <w:tc>
          <w:tcPr>
            <w:tcW w:w="1250"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90.2</w:t>
            </w:r>
          </w:p>
        </w:tc>
        <w:tc>
          <w:tcPr>
            <w:tcW w:w="1290"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60</w:t>
            </w:r>
            <w:r>
              <w:rPr>
                <w:rFonts w:hint="default"/>
                <w:lang w:val="en-US" w:eastAsia="zh-CN"/>
              </w:rPr>
              <w:t>～</w:t>
            </w:r>
            <w:r>
              <w:rPr>
                <w:rFonts w:hint="eastAsia"/>
                <w:lang w:val="en-US" w:eastAsia="zh-CN"/>
              </w:rPr>
              <w:t>130</w:t>
            </w:r>
          </w:p>
        </w:tc>
        <w:tc>
          <w:tcPr>
            <w:tcW w:w="968"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符合</w:t>
            </w:r>
          </w:p>
        </w:tc>
      </w:tr>
    </w:tbl>
    <w:p>
      <w:pPr>
        <w:pStyle w:val="23"/>
        <w:bidi w:val="0"/>
        <w:rPr>
          <w:rFonts w:hint="eastAsia"/>
          <w:lang w:eastAsia="zh-CN"/>
        </w:rPr>
      </w:pPr>
      <w:r>
        <w:rPr>
          <w:rFonts w:hint="eastAsia"/>
        </w:rPr>
        <w:t>表</w:t>
      </w:r>
      <w:r>
        <w:t>8.1.</w:t>
      </w:r>
      <w:r>
        <w:rPr>
          <w:rFonts w:hint="eastAsia"/>
          <w:lang w:val="en-US" w:eastAsia="zh-CN"/>
        </w:rPr>
        <w:t>11</w:t>
      </w:r>
      <w:r>
        <w:t xml:space="preserve"> </w:t>
      </w:r>
      <w:r>
        <w:rPr>
          <w:rFonts w:hint="eastAsia"/>
          <w:lang w:val="en-US" w:eastAsia="zh-CN"/>
        </w:rPr>
        <w:t>海洋沉积物</w:t>
      </w:r>
      <w:r>
        <w:rPr>
          <w:rFonts w:hint="eastAsia"/>
        </w:rPr>
        <w:t>质量控制数据汇总表（</w:t>
      </w:r>
      <w:r>
        <w:rPr>
          <w:rFonts w:hint="eastAsia"/>
          <w:lang w:val="en-US" w:eastAsia="zh-CN"/>
        </w:rPr>
        <w:t>一</w:t>
      </w:r>
      <w:r>
        <w:rPr>
          <w:rFonts w:hint="eastAsia"/>
        </w:rPr>
        <w:t>）</w:t>
      </w:r>
    </w:p>
    <w:tbl>
      <w:tblPr>
        <w:tblStyle w:val="14"/>
        <w:tblW w:w="997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037"/>
        <w:gridCol w:w="1835"/>
        <w:gridCol w:w="1526"/>
        <w:gridCol w:w="1526"/>
        <w:gridCol w:w="1526"/>
        <w:gridCol w:w="15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trHeight w:val="454" w:hRule="atLeast"/>
          <w:tblHeader/>
          <w:jc w:val="center"/>
        </w:trPr>
        <w:tc>
          <w:tcPr>
            <w:tcW w:w="2037" w:type="dxa"/>
            <w:tcBorders>
              <w:tl2br w:val="nil"/>
              <w:tr2bl w:val="nil"/>
            </w:tcBorders>
            <w:shd w:val="clear" w:color="auto" w:fill="auto"/>
            <w:noWrap w:val="0"/>
            <w:vAlign w:val="center"/>
          </w:tcPr>
          <w:p>
            <w:pPr>
              <w:jc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检测项目</w:t>
            </w:r>
          </w:p>
        </w:tc>
        <w:tc>
          <w:tcPr>
            <w:tcW w:w="1835" w:type="dxa"/>
            <w:tcBorders>
              <w:tl2br w:val="nil"/>
              <w:tr2bl w:val="nil"/>
            </w:tcBorders>
            <w:shd w:val="clear" w:color="auto" w:fill="auto"/>
            <w:noWrap w:val="0"/>
            <w:vAlign w:val="center"/>
          </w:tcPr>
          <w:p>
            <w:pPr>
              <w:jc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cs="Times New Roman"/>
                <w:color w:val="auto"/>
                <w:sz w:val="18"/>
                <w:szCs w:val="18"/>
                <w:highlight w:val="none"/>
                <w:lang w:val="en-US" w:eastAsia="zh-CN"/>
              </w:rPr>
              <w:t>控样编号</w:t>
            </w:r>
          </w:p>
        </w:tc>
        <w:tc>
          <w:tcPr>
            <w:tcW w:w="1526" w:type="dxa"/>
            <w:tcBorders>
              <w:tl2br w:val="nil"/>
              <w:tr2bl w:val="nil"/>
            </w:tcBorders>
            <w:shd w:val="clear" w:color="auto" w:fill="auto"/>
            <w:noWrap w:val="0"/>
            <w:vAlign w:val="center"/>
          </w:tcPr>
          <w:p>
            <w:pPr>
              <w:spacing w:line="240" w:lineRule="auto"/>
              <w:jc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cs="Times New Roman"/>
                <w:color w:val="auto"/>
                <w:sz w:val="18"/>
                <w:szCs w:val="18"/>
                <w:highlight w:val="none"/>
                <w:lang w:eastAsia="zh-CN"/>
              </w:rPr>
              <w:t>标准值</w:t>
            </w:r>
            <w:r>
              <w:rPr>
                <w:rFonts w:hint="default" w:ascii="Times New Roman" w:hAnsi="Times New Roman" w:cs="Times New Roman"/>
                <w:color w:val="auto"/>
                <w:sz w:val="18"/>
                <w:szCs w:val="18"/>
                <w:highlight w:val="none"/>
              </w:rPr>
              <w:t>(</w:t>
            </w:r>
            <w:r>
              <w:rPr>
                <w:rFonts w:hint="default" w:ascii="Times New Roman" w:hAnsi="Times New Roman" w:eastAsia="宋体" w:cs="Times New Roman"/>
                <w:color w:val="auto"/>
                <w:sz w:val="18"/>
                <w:szCs w:val="18"/>
                <w:highlight w:val="none"/>
                <w:lang w:eastAsia="zh-CN"/>
              </w:rPr>
              <w:t>mg/kg</w:t>
            </w:r>
            <w:r>
              <w:rPr>
                <w:rFonts w:hint="default" w:ascii="Times New Roman" w:hAnsi="Times New Roman" w:cs="Times New Roman"/>
                <w:color w:val="auto"/>
                <w:sz w:val="18"/>
                <w:szCs w:val="18"/>
                <w:highlight w:val="none"/>
              </w:rPr>
              <w:t>)</w:t>
            </w:r>
          </w:p>
        </w:tc>
        <w:tc>
          <w:tcPr>
            <w:tcW w:w="1526" w:type="dxa"/>
            <w:tcBorders>
              <w:tl2br w:val="nil"/>
              <w:tr2bl w:val="nil"/>
            </w:tcBorders>
            <w:shd w:val="clear" w:color="auto" w:fill="auto"/>
            <w:noWrap w:val="0"/>
            <w:vAlign w:val="center"/>
          </w:tcPr>
          <w:p>
            <w:pPr>
              <w:spacing w:line="240" w:lineRule="auto"/>
              <w:jc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cs="Times New Roman"/>
                <w:color w:val="auto"/>
                <w:sz w:val="18"/>
                <w:szCs w:val="18"/>
                <w:highlight w:val="none"/>
                <w:lang w:eastAsia="zh-CN"/>
              </w:rPr>
              <w:t>标准偏差（</w:t>
            </w:r>
            <w:r>
              <w:rPr>
                <w:rFonts w:hint="default" w:ascii="Times New Roman" w:hAnsi="Times New Roman" w:cs="Times New Roman"/>
                <w:color w:val="auto"/>
                <w:sz w:val="18"/>
                <w:szCs w:val="18"/>
                <w:highlight w:val="none"/>
                <w:lang w:val="en-US" w:eastAsia="zh-CN"/>
              </w:rPr>
              <w:t>S</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w:t>
            </w:r>
            <w:r>
              <w:rPr>
                <w:rFonts w:hint="default" w:ascii="Times New Roman" w:hAnsi="Times New Roman" w:eastAsia="宋体" w:cs="Times New Roman"/>
                <w:color w:val="auto"/>
                <w:sz w:val="18"/>
                <w:szCs w:val="18"/>
                <w:highlight w:val="none"/>
                <w:lang w:eastAsia="zh-CN"/>
              </w:rPr>
              <w:t>mg/kg</w:t>
            </w:r>
            <w:r>
              <w:rPr>
                <w:rFonts w:hint="default" w:ascii="Times New Roman" w:hAnsi="Times New Roman" w:cs="Times New Roman"/>
                <w:color w:val="auto"/>
                <w:sz w:val="18"/>
                <w:szCs w:val="18"/>
                <w:highlight w:val="none"/>
              </w:rPr>
              <w:t>)</w:t>
            </w:r>
          </w:p>
        </w:tc>
        <w:tc>
          <w:tcPr>
            <w:tcW w:w="1526" w:type="dxa"/>
            <w:tcBorders>
              <w:tl2br w:val="nil"/>
              <w:tr2bl w:val="nil"/>
            </w:tcBorders>
            <w:shd w:val="clear" w:color="auto" w:fill="auto"/>
            <w:noWrap w:val="0"/>
            <w:vAlign w:val="center"/>
          </w:tcPr>
          <w:p>
            <w:pPr>
              <w:spacing w:line="240" w:lineRule="auto"/>
              <w:jc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cs="Times New Roman"/>
                <w:color w:val="auto"/>
                <w:sz w:val="18"/>
                <w:szCs w:val="18"/>
                <w:highlight w:val="none"/>
              </w:rPr>
              <w:t>测定值(</w:t>
            </w:r>
            <w:r>
              <w:rPr>
                <w:rFonts w:hint="default" w:ascii="Times New Roman" w:hAnsi="Times New Roman" w:eastAsia="宋体" w:cs="Times New Roman"/>
                <w:color w:val="auto"/>
                <w:sz w:val="18"/>
                <w:szCs w:val="18"/>
                <w:highlight w:val="none"/>
                <w:lang w:eastAsia="zh-CN"/>
              </w:rPr>
              <w:t>mg/kg</w:t>
            </w:r>
            <w:r>
              <w:rPr>
                <w:rFonts w:hint="default" w:ascii="Times New Roman" w:hAnsi="Times New Roman" w:cs="Times New Roman"/>
                <w:color w:val="auto"/>
                <w:sz w:val="18"/>
                <w:szCs w:val="18"/>
                <w:highlight w:val="none"/>
              </w:rPr>
              <w:t>)</w:t>
            </w:r>
          </w:p>
        </w:tc>
        <w:tc>
          <w:tcPr>
            <w:tcW w:w="1528" w:type="dxa"/>
            <w:tcBorders>
              <w:tl2br w:val="nil"/>
              <w:tr2bl w:val="nil"/>
            </w:tcBorders>
            <w:shd w:val="clear" w:color="auto" w:fill="auto"/>
            <w:noWrap w:val="0"/>
            <w:vAlign w:val="center"/>
          </w:tcPr>
          <w:p>
            <w:pPr>
              <w:spacing w:line="240" w:lineRule="auto"/>
              <w:jc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cs="Times New Roman"/>
                <w:sz w:val="18"/>
                <w:szCs w:val="18"/>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汞</w:t>
            </w:r>
          </w:p>
        </w:tc>
        <w:tc>
          <w:tcPr>
            <w:tcW w:w="183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GBW07316</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0.13</w:t>
            </w:r>
            <w:r>
              <w:rPr>
                <w:rFonts w:hint="eastAsia" w:ascii="Times New Roman" w:hAnsi="Times New Roman" w:eastAsia="宋体" w:cs="Times New Roman"/>
                <w:i w:val="0"/>
                <w:color w:val="auto"/>
                <w:kern w:val="0"/>
                <w:sz w:val="18"/>
                <w:szCs w:val="18"/>
                <w:u w:val="none"/>
                <w:lang w:val="en-US" w:eastAsia="zh-CN" w:bidi="ar"/>
              </w:rPr>
              <w:t>0</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0.02</w:t>
            </w:r>
            <w:r>
              <w:rPr>
                <w:rFonts w:hint="eastAsia" w:ascii="Times New Roman" w:hAnsi="Times New Roman" w:eastAsia="宋体" w:cs="Times New Roman"/>
                <w:i w:val="0"/>
                <w:color w:val="auto"/>
                <w:kern w:val="0"/>
                <w:sz w:val="18"/>
                <w:szCs w:val="18"/>
                <w:u w:val="none"/>
                <w:lang w:val="en-US" w:eastAsia="zh-CN" w:bidi="ar"/>
              </w:rPr>
              <w:t>0</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0.146</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砷</w:t>
            </w:r>
          </w:p>
        </w:tc>
        <w:tc>
          <w:tcPr>
            <w:tcW w:w="183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GBW07333</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7.6</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0.5</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8.0</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铬</w:t>
            </w:r>
          </w:p>
        </w:tc>
        <w:tc>
          <w:tcPr>
            <w:tcW w:w="183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GBW07333</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107</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4</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108</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铜</w:t>
            </w:r>
          </w:p>
        </w:tc>
        <w:tc>
          <w:tcPr>
            <w:tcW w:w="183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GBW07333</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29.1</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1.1</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28.4</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锌</w:t>
            </w:r>
          </w:p>
        </w:tc>
        <w:tc>
          <w:tcPr>
            <w:tcW w:w="183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GBW07333</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114</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6</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118</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镉</w:t>
            </w:r>
          </w:p>
        </w:tc>
        <w:tc>
          <w:tcPr>
            <w:tcW w:w="183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GBW07333</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0.28</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0.03</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0.27</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3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铅</w:t>
            </w:r>
          </w:p>
        </w:tc>
        <w:tc>
          <w:tcPr>
            <w:tcW w:w="183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GBW07333</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29.0</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eastAsia" w:ascii="Times New Roman" w:hAnsi="Times New Roman" w:eastAsia="宋体" w:cs="Times New Roman"/>
                <w:i w:val="0"/>
                <w:color w:val="auto"/>
                <w:kern w:val="0"/>
                <w:sz w:val="18"/>
                <w:szCs w:val="18"/>
                <w:u w:val="none"/>
                <w:lang w:val="en-US" w:eastAsia="zh-CN" w:bidi="ar"/>
              </w:rPr>
              <w:t>1</w:t>
            </w:r>
            <w:r>
              <w:rPr>
                <w:rFonts w:hint="default" w:ascii="Times New Roman" w:hAnsi="Times New Roman" w:eastAsia="宋体" w:cs="Times New Roman"/>
                <w:i w:val="0"/>
                <w:color w:val="auto"/>
                <w:kern w:val="0"/>
                <w:sz w:val="18"/>
                <w:szCs w:val="18"/>
                <w:u w:val="none"/>
                <w:lang w:val="en-US" w:eastAsia="zh-CN" w:bidi="ar"/>
              </w:rPr>
              <w:t>.6</w:t>
            </w:r>
          </w:p>
        </w:tc>
        <w:tc>
          <w:tcPr>
            <w:tcW w:w="152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27.5</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符合</w:t>
            </w:r>
          </w:p>
        </w:tc>
      </w:tr>
    </w:tbl>
    <w:p>
      <w:pPr>
        <w:pStyle w:val="23"/>
        <w:bidi w:val="0"/>
        <w:rPr>
          <w:rFonts w:hint="eastAsia"/>
          <w:lang w:eastAsia="zh-CN"/>
        </w:rPr>
      </w:pPr>
      <w:r>
        <w:rPr>
          <w:rFonts w:hint="eastAsia"/>
        </w:rPr>
        <w:t>表</w:t>
      </w:r>
      <w:r>
        <w:t>8.1.</w:t>
      </w:r>
      <w:r>
        <w:rPr>
          <w:rFonts w:hint="eastAsia"/>
          <w:lang w:val="en-US" w:eastAsia="zh-CN"/>
        </w:rPr>
        <w:t>12</w:t>
      </w:r>
      <w:r>
        <w:t xml:space="preserve"> </w:t>
      </w:r>
      <w:r>
        <w:rPr>
          <w:rFonts w:hint="eastAsia"/>
          <w:lang w:val="en-US" w:eastAsia="zh-CN"/>
        </w:rPr>
        <w:t>海洋沉积物</w:t>
      </w:r>
      <w:r>
        <w:rPr>
          <w:rFonts w:hint="eastAsia"/>
        </w:rPr>
        <w:t>质量控制数据汇总表（</w:t>
      </w:r>
      <w:r>
        <w:rPr>
          <w:rFonts w:hint="eastAsia"/>
          <w:lang w:val="en-US" w:eastAsia="zh-CN"/>
        </w:rPr>
        <w:t>二</w:t>
      </w:r>
      <w:r>
        <w:rPr>
          <w:rFonts w:hint="eastAsia"/>
        </w:rPr>
        <w:t>）</w:t>
      </w:r>
    </w:p>
    <w:tbl>
      <w:tblPr>
        <w:tblStyle w:val="14"/>
        <w:tblW w:w="989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028"/>
        <w:gridCol w:w="1454"/>
        <w:gridCol w:w="1232"/>
        <w:gridCol w:w="1254"/>
        <w:gridCol w:w="1227"/>
        <w:gridCol w:w="1787"/>
        <w:gridCol w:w="91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trHeight w:val="454" w:hRule="atLeast"/>
          <w:tblHeader/>
          <w:jc w:val="center"/>
        </w:trPr>
        <w:tc>
          <w:tcPr>
            <w:tcW w:w="2028"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default"/>
                <w:lang w:eastAsia="zh-CN"/>
              </w:rPr>
              <w:br w:type="page"/>
            </w:r>
            <w:r>
              <w:rPr>
                <w:rFonts w:hint="default"/>
              </w:rPr>
              <w:t>项目名称</w:t>
            </w:r>
          </w:p>
        </w:tc>
        <w:tc>
          <w:tcPr>
            <w:tcW w:w="1454"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控样编号</w:t>
            </w:r>
          </w:p>
        </w:tc>
        <w:tc>
          <w:tcPr>
            <w:tcW w:w="2486"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测定值(mg/</w:t>
            </w:r>
            <w:r>
              <w:rPr>
                <w:rFonts w:hint="eastAsia"/>
                <w:lang w:val="en-US" w:eastAsia="zh-CN"/>
              </w:rPr>
              <w:t>kg</w:t>
            </w:r>
            <w:r>
              <w:rPr>
                <w:rFonts w:hint="default"/>
              </w:rPr>
              <w:t>)</w:t>
            </w:r>
          </w:p>
        </w:tc>
        <w:tc>
          <w:tcPr>
            <w:tcW w:w="1227" w:type="dxa"/>
            <w:vMerge w:val="restart"/>
            <w:tcBorders>
              <w:tl2br w:val="nil"/>
              <w:tr2bl w:val="nil"/>
            </w:tcBorders>
            <w:shd w:val="clear" w:color="auto" w:fill="auto"/>
            <w:noWrap w:val="0"/>
            <w:vAlign w:val="center"/>
          </w:tcPr>
          <w:p>
            <w:pPr>
              <w:pStyle w:val="24"/>
              <w:bidi w:val="0"/>
              <w:jc w:val="center"/>
              <w:rPr>
                <w:rFonts w:hint="default"/>
              </w:rPr>
            </w:pPr>
            <w:r>
              <w:rPr>
                <w:rFonts w:hint="default"/>
              </w:rPr>
              <w:t>相对偏差</w:t>
            </w:r>
          </w:p>
          <w:p>
            <w:pPr>
              <w:pStyle w:val="24"/>
              <w:bidi w:val="0"/>
              <w:jc w:val="center"/>
              <w:rPr>
                <w:rFonts w:hint="default"/>
                <w:lang w:val="en-US" w:eastAsia="zh-CN"/>
              </w:rPr>
            </w:pPr>
            <w:r>
              <w:rPr>
                <w:rFonts w:hint="default"/>
              </w:rPr>
              <w:t>（%）</w:t>
            </w:r>
          </w:p>
        </w:tc>
        <w:tc>
          <w:tcPr>
            <w:tcW w:w="1787"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评价标准(允许相对偏差)(%)</w:t>
            </w:r>
          </w:p>
        </w:tc>
        <w:tc>
          <w:tcPr>
            <w:tcW w:w="916" w:type="dxa"/>
            <w:vMerge w:val="restart"/>
            <w:tcBorders>
              <w:tl2br w:val="nil"/>
              <w:tr2bl w:val="nil"/>
            </w:tcBorders>
            <w:shd w:val="clear" w:color="auto" w:fill="auto"/>
            <w:noWrap w:val="0"/>
            <w:vAlign w:val="center"/>
          </w:tcPr>
          <w:p>
            <w:pPr>
              <w:pStyle w:val="24"/>
              <w:bidi w:val="0"/>
              <w:jc w:val="center"/>
              <w:rPr>
                <w:rFonts w:hint="default"/>
                <w:lang w:val="en-US" w:eastAsia="zh-CN"/>
              </w:rPr>
            </w:pPr>
            <w:r>
              <w:rPr>
                <w:rFonts w:hint="default"/>
              </w:rPr>
              <w:t>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2028"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1454"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1232"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第1次</w:t>
            </w:r>
          </w:p>
        </w:tc>
        <w:tc>
          <w:tcPr>
            <w:tcW w:w="125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第2次</w:t>
            </w:r>
          </w:p>
        </w:tc>
        <w:tc>
          <w:tcPr>
            <w:tcW w:w="1227"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1787"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c>
          <w:tcPr>
            <w:tcW w:w="916" w:type="dxa"/>
            <w:vMerge w:val="continue"/>
            <w:tcBorders>
              <w:tl2br w:val="nil"/>
              <w:tr2bl w:val="nil"/>
            </w:tcBorders>
            <w:shd w:val="clear" w:color="auto" w:fill="auto"/>
            <w:noWrap w:val="0"/>
            <w:vAlign w:val="center"/>
          </w:tcPr>
          <w:p>
            <w:pPr>
              <w:pStyle w:val="24"/>
              <w:bidi w:val="0"/>
              <w:jc w:val="center"/>
              <w:rPr>
                <w:rFonts w:hint="default"/>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汞</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0.050</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0.052</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2.0</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0.060</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0.065</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4.0</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35</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砷</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11.5</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12.3</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3.4</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15.2</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13.1</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7.4</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铬</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27</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29</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3.6</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31</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36</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7.5</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铜</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10.3</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11.6</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5.9</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9.3</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10.2</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4.6</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锌</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62</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56</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5.1</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53</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62</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7.8</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镉</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0.08</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0.09</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5.9</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0.12</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0.14</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7.7</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40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铅</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11</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12</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4.3</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26</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28</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3.7</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30</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有机碳</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0.82</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0.78</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2.5</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0.88</w:t>
            </w:r>
          </w:p>
        </w:tc>
        <w:tc>
          <w:tcPr>
            <w:tcW w:w="12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0.85</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1.7</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restart"/>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硫化物</w:t>
            </w: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实验平行样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9.78</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8.60</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6.4</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8" w:type="dxa"/>
            <w:vMerge w:val="continue"/>
            <w:tcBorders>
              <w:tl2br w:val="nil"/>
              <w:tr2bl w:val="nil"/>
            </w:tcBorders>
            <w:shd w:val="clear" w:color="auto" w:fill="auto"/>
            <w:vAlign w:val="center"/>
          </w:tcPr>
          <w:p>
            <w:pPr>
              <w:pStyle w:val="24"/>
              <w:bidi w:val="0"/>
              <w:jc w:val="center"/>
              <w:rPr>
                <w:rFonts w:hint="eastAsia"/>
                <w:lang w:val="en-US" w:eastAsia="zh-CN"/>
              </w:rPr>
            </w:pPr>
          </w:p>
        </w:tc>
        <w:tc>
          <w:tcPr>
            <w:tcW w:w="1454"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采样平行</w:t>
            </w:r>
            <w:r>
              <w:rPr>
                <w:rFonts w:hint="default"/>
                <w:lang w:val="en-US" w:eastAsia="zh-CN"/>
              </w:rPr>
              <w:t>样</w:t>
            </w:r>
          </w:p>
        </w:tc>
        <w:tc>
          <w:tcPr>
            <w:tcW w:w="1232"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10.8</w:t>
            </w:r>
          </w:p>
        </w:tc>
        <w:tc>
          <w:tcPr>
            <w:tcW w:w="1254"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9.72</w:t>
            </w:r>
          </w:p>
        </w:tc>
        <w:tc>
          <w:tcPr>
            <w:tcW w:w="1227"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5.3</w:t>
            </w:r>
          </w:p>
        </w:tc>
        <w:tc>
          <w:tcPr>
            <w:tcW w:w="1787"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w:t>
            </w:r>
          </w:p>
        </w:tc>
        <w:tc>
          <w:tcPr>
            <w:tcW w:w="916"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符合</w:t>
            </w:r>
          </w:p>
        </w:tc>
      </w:tr>
    </w:tbl>
    <w:p>
      <w:pPr>
        <w:pStyle w:val="17"/>
      </w:pPr>
      <w:bookmarkStart w:id="175" w:name="_Toc24380"/>
      <w:r>
        <w:t xml:space="preserve">8.2 </w:t>
      </w:r>
      <w:r>
        <w:rPr>
          <w:rFonts w:hint="eastAsia"/>
        </w:rPr>
        <w:t>仪器设备检定/校准情况表</w:t>
      </w:r>
      <w:bookmarkEnd w:id="175"/>
    </w:p>
    <w:p>
      <w:pPr>
        <w:pStyle w:val="19"/>
        <w:ind w:firstLine="480"/>
      </w:pPr>
      <w:r>
        <w:rPr>
          <w:rFonts w:hint="eastAsia"/>
        </w:rPr>
        <w:t>检</w:t>
      </w:r>
      <w:r>
        <w:t>测期间所用仪器经计量部门检定/校准合格且在检定/校准有效期内。本次</w:t>
      </w:r>
      <w:r>
        <w:rPr>
          <w:rFonts w:hint="eastAsia"/>
        </w:rPr>
        <w:t>检</w:t>
      </w:r>
      <w:r>
        <w:t>测分析仪器设备的检定/校准情况见表8.2.1。</w:t>
      </w:r>
    </w:p>
    <w:p>
      <w:pPr>
        <w:pStyle w:val="23"/>
        <w:rPr>
          <w:lang w:val="zh-CN"/>
        </w:rPr>
      </w:pPr>
      <w:r>
        <w:rPr>
          <w:lang w:val="zh-CN"/>
        </w:rPr>
        <w:t>表</w:t>
      </w:r>
      <w:r>
        <w:t>8.2.1 仪器设备检定/校准情况表</w:t>
      </w:r>
    </w:p>
    <w:tbl>
      <w:tblPr>
        <w:tblStyle w:val="14"/>
        <w:tblW w:w="965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
        <w:gridCol w:w="4"/>
        <w:gridCol w:w="2142"/>
        <w:gridCol w:w="1779"/>
        <w:gridCol w:w="6"/>
        <w:gridCol w:w="1899"/>
        <w:gridCol w:w="21"/>
        <w:gridCol w:w="1509"/>
        <w:gridCol w:w="6"/>
        <w:gridCol w:w="229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tblHeader/>
          <w:jc w:val="center"/>
        </w:trPr>
        <w:tc>
          <w:tcPr>
            <w:tcW w:w="2148" w:type="dxa"/>
            <w:gridSpan w:val="3"/>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检测项目</w:t>
            </w:r>
          </w:p>
        </w:tc>
        <w:tc>
          <w:tcPr>
            <w:tcW w:w="1779" w:type="dxa"/>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采样/分析设备</w:t>
            </w:r>
          </w:p>
        </w:tc>
        <w:tc>
          <w:tcPr>
            <w:tcW w:w="1905"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型号</w:t>
            </w:r>
          </w:p>
        </w:tc>
        <w:tc>
          <w:tcPr>
            <w:tcW w:w="1530"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设备编号</w:t>
            </w:r>
          </w:p>
        </w:tc>
        <w:tc>
          <w:tcPr>
            <w:tcW w:w="2297"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有效期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9659" w:type="dxa"/>
            <w:gridSpan w:val="10"/>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地下水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rPr>
            </w:pPr>
            <w:r>
              <w:rPr>
                <w:rFonts w:hint="default"/>
                <w:lang w:val="en-US" w:eastAsia="zh-CN"/>
              </w:rPr>
              <w:t>pH</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便携式多参数分析仪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DZB-718</w:t>
            </w:r>
          </w:p>
        </w:tc>
        <w:tc>
          <w:tcPr>
            <w:tcW w:w="1530"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CTP02244</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2022.09.15～2023.09.14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溶解性总固体</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电子天平</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ME104E</w:t>
            </w:r>
          </w:p>
        </w:tc>
        <w:tc>
          <w:tcPr>
            <w:tcW w:w="1530"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CTP03192</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2022.04.20～2023.04.19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铅、砷、镉</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电感耦合等离子体质谱仪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iCAP RQ</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CTP03107</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2022.04.20～2023.04.19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汞</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原子荧光光度计</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AFS-8530</w:t>
            </w:r>
          </w:p>
        </w:tc>
        <w:tc>
          <w:tcPr>
            <w:tcW w:w="1530"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CTP03193</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2022.04.20～2023.04.19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亚硝酸盐（以N计）、氰化物、氨氮（以N计）、挥发性酚类（以苯酚计）</w:t>
            </w:r>
            <w:r>
              <w:rPr>
                <w:rFonts w:hint="eastAsia"/>
                <w:lang w:val="en-US" w:eastAsia="zh-CN"/>
              </w:rPr>
              <w:t>、</w:t>
            </w:r>
            <w:r>
              <w:rPr>
                <w:rFonts w:hint="default"/>
                <w:lang w:val="en-US" w:eastAsia="zh-CN"/>
              </w:rPr>
              <w:t>硫酸盐</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可见分光光度计</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721</w:t>
            </w:r>
          </w:p>
        </w:tc>
        <w:tc>
          <w:tcPr>
            <w:tcW w:w="1530"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CTP03123</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2022.04.19～2024.04.18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铬（六价）、硝酸盐（以N计）、石油类</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紫外可见分光光度计</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UV-1800PC</w:t>
            </w:r>
          </w:p>
        </w:tc>
        <w:tc>
          <w:tcPr>
            <w:tcW w:w="1530"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CTP03012</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2022.04.19～2023.04.18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苯、甲苯、间，对-二甲苯、邻-二甲苯、</w:t>
            </w:r>
            <w:r>
              <w:rPr>
                <w:rFonts w:hint="default"/>
              </w:rPr>
              <w:t>苯乙烯</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气质联用仪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GCMS-QP2010 SE</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CTP03155</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2022.04.20～2024.04.19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rPr>
              <w:t>石油烃（C</w:t>
            </w:r>
            <w:r>
              <w:rPr>
                <w:rFonts w:hint="default"/>
                <w:vertAlign w:val="subscript"/>
              </w:rPr>
              <w:t>6</w:t>
            </w:r>
            <w:r>
              <w:rPr>
                <w:rFonts w:hint="default"/>
              </w:rPr>
              <w:t>-C</w:t>
            </w:r>
            <w:r>
              <w:rPr>
                <w:rFonts w:hint="default"/>
                <w:vertAlign w:val="subscript"/>
              </w:rPr>
              <w:t>9</w:t>
            </w:r>
            <w:r>
              <w:rPr>
                <w:rFonts w:hint="default"/>
              </w:rPr>
              <w:t>）</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气质联用仪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GCMS-QP2010 SE</w:t>
            </w:r>
          </w:p>
        </w:tc>
        <w:tc>
          <w:tcPr>
            <w:tcW w:w="1530" w:type="dxa"/>
            <w:gridSpan w:val="2"/>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CTP03137</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2022.04.19～2024.04.18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石油烃（C</w:t>
            </w:r>
            <w:r>
              <w:rPr>
                <w:rFonts w:hint="default"/>
                <w:vertAlign w:val="subscript"/>
                <w:lang w:val="en-US" w:eastAsia="zh-CN"/>
              </w:rPr>
              <w:t>10</w:t>
            </w:r>
            <w:r>
              <w:rPr>
                <w:rFonts w:hint="default"/>
                <w:lang w:val="en-US" w:eastAsia="zh-CN"/>
              </w:rPr>
              <w:t>-C</w:t>
            </w:r>
            <w:r>
              <w:rPr>
                <w:rFonts w:hint="default"/>
                <w:vertAlign w:val="subscript"/>
                <w:lang w:val="en-US" w:eastAsia="zh-CN"/>
              </w:rPr>
              <w:t>40</w:t>
            </w:r>
            <w:r>
              <w:rPr>
                <w:rFonts w:hint="default"/>
                <w:lang w:val="en-US" w:eastAsia="zh-CN"/>
              </w:rPr>
              <w:t>）</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气相色谱仪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7820A</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eastAsia="zh-CN"/>
              </w:rPr>
              <w:t>CTP</w:t>
            </w:r>
            <w:r>
              <w:rPr>
                <w:rFonts w:hint="default"/>
                <w:lang w:val="en-US" w:eastAsia="zh-CN"/>
              </w:rPr>
              <w:t>03</w:t>
            </w:r>
            <w:r>
              <w:rPr>
                <w:rFonts w:hint="eastAsia"/>
                <w:lang w:val="en-US" w:eastAsia="zh-CN"/>
              </w:rPr>
              <w:t>064</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2022.04.20～2024.04.19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Na</w:t>
            </w:r>
            <w:r>
              <w:rPr>
                <w:rFonts w:hint="default"/>
                <w:vertAlign w:val="superscript"/>
                <w:lang w:val="en-US" w:eastAsia="zh-CN"/>
              </w:rPr>
              <w:t>+</w:t>
            </w:r>
            <w:r>
              <w:rPr>
                <w:rFonts w:hint="default"/>
                <w:lang w:val="en-US" w:eastAsia="zh-CN"/>
              </w:rPr>
              <w:t>、K</w:t>
            </w:r>
            <w:r>
              <w:rPr>
                <w:rFonts w:hint="default"/>
                <w:vertAlign w:val="superscript"/>
                <w:lang w:val="en-US" w:eastAsia="zh-CN"/>
              </w:rPr>
              <w:t>+</w:t>
            </w:r>
            <w:r>
              <w:rPr>
                <w:rFonts w:hint="default"/>
                <w:lang w:val="en-US" w:eastAsia="zh-CN"/>
              </w:rPr>
              <w:t>、Mg</w:t>
            </w:r>
            <w:r>
              <w:rPr>
                <w:rFonts w:hint="default"/>
                <w:vertAlign w:val="superscript"/>
                <w:lang w:val="en-US" w:eastAsia="zh-CN"/>
              </w:rPr>
              <w:t>2+</w:t>
            </w:r>
            <w:r>
              <w:rPr>
                <w:rFonts w:hint="default"/>
                <w:lang w:val="en-US" w:eastAsia="zh-CN"/>
              </w:rPr>
              <w:t>、Ca</w:t>
            </w:r>
            <w:r>
              <w:rPr>
                <w:rFonts w:hint="default"/>
                <w:vertAlign w:val="superscript"/>
                <w:lang w:val="en-US" w:eastAsia="zh-CN"/>
              </w:rPr>
              <w:t>2+</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电感耦合等离子体光谱仪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iCAP 7200 Plus</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03094</w:t>
            </w:r>
          </w:p>
        </w:tc>
        <w:tc>
          <w:tcPr>
            <w:tcW w:w="2297"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2022.04.20～2024.04.19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9659" w:type="dxa"/>
            <w:gridSpan w:val="10"/>
            <w:tcBorders>
              <w:tl2br w:val="nil"/>
              <w:tr2bl w:val="nil"/>
            </w:tcBorders>
            <w:shd w:val="clear" w:color="auto" w:fill="auto"/>
            <w:noWrap w:val="0"/>
            <w:vAlign w:val="center"/>
          </w:tcPr>
          <w:p>
            <w:pPr>
              <w:pStyle w:val="24"/>
              <w:bidi w:val="0"/>
              <w:jc w:val="center"/>
              <w:rPr>
                <w:rFonts w:hint="default"/>
                <w:lang w:eastAsia="zh-CN"/>
              </w:rPr>
            </w:pPr>
            <w:r>
              <w:rPr>
                <w:rFonts w:hint="default"/>
                <w:lang w:eastAsia="zh-CN"/>
              </w:rPr>
              <w:t>土壤</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pH</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酸度计</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PHS-3C</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CTP03004</w:t>
            </w:r>
          </w:p>
        </w:tc>
        <w:tc>
          <w:tcPr>
            <w:tcW w:w="2297" w:type="dxa"/>
            <w:gridSpan w:val="2"/>
            <w:tcBorders>
              <w:tl2br w:val="nil"/>
              <w:tr2bl w:val="nil"/>
            </w:tcBorders>
            <w:shd w:val="clear" w:color="auto" w:fill="auto"/>
            <w:noWrap w:val="0"/>
            <w:tcMar>
              <w:left w:w="0" w:type="dxa"/>
              <w:right w:w="0" w:type="dxa"/>
            </w:tcMar>
            <w:vAlign w:val="center"/>
          </w:tcPr>
          <w:p>
            <w:pPr>
              <w:pStyle w:val="24"/>
              <w:bidi w:val="0"/>
              <w:jc w:val="center"/>
              <w:rPr>
                <w:rFonts w:hint="default"/>
                <w:lang w:val="en-US" w:eastAsia="zh-CN"/>
              </w:rPr>
            </w:pPr>
            <w:r>
              <w:rPr>
                <w:rFonts w:hint="default"/>
                <w:lang w:val="en-US" w:eastAsia="zh-CN"/>
              </w:rPr>
              <w:t>2022.04.20～2023.04.19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半挥发性有机物</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气相色谱气质联用仪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GCMS-QP2010 SE</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CTP03156</w:t>
            </w:r>
          </w:p>
        </w:tc>
        <w:tc>
          <w:tcPr>
            <w:tcW w:w="2297" w:type="dxa"/>
            <w:gridSpan w:val="2"/>
            <w:tcBorders>
              <w:tl2br w:val="nil"/>
              <w:tr2bl w:val="nil"/>
            </w:tcBorders>
            <w:shd w:val="clear" w:color="auto" w:fill="auto"/>
            <w:noWrap w:val="0"/>
            <w:tcMar>
              <w:left w:w="0" w:type="dxa"/>
              <w:right w:w="0" w:type="dxa"/>
            </w:tcMar>
            <w:vAlign w:val="center"/>
          </w:tcPr>
          <w:p>
            <w:pPr>
              <w:pStyle w:val="24"/>
              <w:bidi w:val="0"/>
              <w:jc w:val="center"/>
              <w:rPr>
                <w:rFonts w:hint="default"/>
                <w:lang w:val="en-US" w:eastAsia="zh-CN"/>
              </w:rPr>
            </w:pPr>
            <w:r>
              <w:rPr>
                <w:rFonts w:hint="default"/>
                <w:lang w:val="en-US" w:eastAsia="zh-CN"/>
              </w:rPr>
              <w:t>2022.04.20～2024.04.19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挥发性有机物</w:t>
            </w:r>
          </w:p>
        </w:tc>
        <w:tc>
          <w:tcPr>
            <w:tcW w:w="1779"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rPr>
              <w:t>气相色谱气质联用仪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GCMS-QP2010 SE</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CTP</w:t>
            </w:r>
            <w:r>
              <w:rPr>
                <w:rFonts w:hint="eastAsia"/>
                <w:lang w:val="en-US" w:eastAsia="zh-CN"/>
              </w:rPr>
              <w:t>03137</w:t>
            </w:r>
          </w:p>
        </w:tc>
        <w:tc>
          <w:tcPr>
            <w:tcW w:w="2297" w:type="dxa"/>
            <w:gridSpan w:val="2"/>
            <w:tcBorders>
              <w:tl2br w:val="nil"/>
              <w:tr2bl w:val="nil"/>
            </w:tcBorders>
            <w:shd w:val="clear" w:color="auto" w:fill="auto"/>
            <w:noWrap w:val="0"/>
            <w:tcMar>
              <w:left w:w="0" w:type="dxa"/>
              <w:right w:w="0" w:type="dxa"/>
            </w:tcMar>
            <w:vAlign w:val="center"/>
          </w:tcPr>
          <w:p>
            <w:pPr>
              <w:pStyle w:val="24"/>
              <w:bidi w:val="0"/>
              <w:jc w:val="center"/>
              <w:rPr>
                <w:rFonts w:hint="default"/>
                <w:lang w:val="en-US" w:eastAsia="zh-CN"/>
              </w:rPr>
            </w:pPr>
            <w:r>
              <w:rPr>
                <w:rFonts w:hint="default"/>
                <w:lang w:val="en-US" w:eastAsia="zh-CN"/>
              </w:rPr>
              <w:t>2022.04.19～2024.04.18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noWrap w:val="0"/>
            <w:vAlign w:val="center"/>
          </w:tcPr>
          <w:p>
            <w:pPr>
              <w:pStyle w:val="24"/>
              <w:bidi w:val="0"/>
              <w:jc w:val="center"/>
              <w:rPr>
                <w:rFonts w:hint="default"/>
                <w:lang w:val="en-US" w:eastAsia="zh-CN"/>
              </w:rPr>
            </w:pPr>
            <w:r>
              <w:rPr>
                <w:rFonts w:hint="default"/>
              </w:rPr>
              <w:t>铜</w:t>
            </w:r>
            <w:r>
              <w:rPr>
                <w:rFonts w:hint="default"/>
                <w:lang w:val="en-US" w:eastAsia="zh-CN"/>
              </w:rPr>
              <w:t>、</w:t>
            </w:r>
            <w:r>
              <w:rPr>
                <w:rFonts w:hint="default"/>
              </w:rPr>
              <w:t>铅</w:t>
            </w:r>
            <w:r>
              <w:rPr>
                <w:rFonts w:hint="default"/>
                <w:lang w:val="en-US" w:eastAsia="zh-CN"/>
              </w:rPr>
              <w:t>、</w:t>
            </w:r>
            <w:r>
              <w:rPr>
                <w:rFonts w:hint="default"/>
              </w:rPr>
              <w:t>镍</w:t>
            </w:r>
            <w:r>
              <w:rPr>
                <w:rFonts w:hint="default"/>
                <w:lang w:val="en-US" w:eastAsia="zh-CN"/>
              </w:rPr>
              <w:t>、</w:t>
            </w:r>
            <w:r>
              <w:rPr>
                <w:rFonts w:hint="default"/>
              </w:rPr>
              <w:t>镉</w:t>
            </w:r>
          </w:p>
        </w:tc>
        <w:tc>
          <w:tcPr>
            <w:tcW w:w="1779" w:type="dxa"/>
            <w:tcBorders>
              <w:tl2br w:val="nil"/>
              <w:tr2bl w:val="nil"/>
            </w:tcBorders>
            <w:shd w:val="clear" w:color="auto" w:fill="auto"/>
            <w:noWrap w:val="0"/>
            <w:vAlign w:val="center"/>
          </w:tcPr>
          <w:p>
            <w:pPr>
              <w:pStyle w:val="24"/>
              <w:bidi w:val="0"/>
              <w:jc w:val="center"/>
              <w:rPr>
                <w:rFonts w:hint="default"/>
              </w:rPr>
            </w:pPr>
            <w:r>
              <w:rPr>
                <w:rFonts w:hint="default"/>
              </w:rPr>
              <w:t>电感耦合等离子体质谱仪</w:t>
            </w:r>
          </w:p>
        </w:tc>
        <w:tc>
          <w:tcPr>
            <w:tcW w:w="1905"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iCAP RQ</w:t>
            </w:r>
          </w:p>
        </w:tc>
        <w:tc>
          <w:tcPr>
            <w:tcW w:w="1530" w:type="dxa"/>
            <w:gridSpan w:val="2"/>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CTP03107</w:t>
            </w:r>
          </w:p>
        </w:tc>
        <w:tc>
          <w:tcPr>
            <w:tcW w:w="2297" w:type="dxa"/>
            <w:gridSpan w:val="2"/>
            <w:tcBorders>
              <w:tl2br w:val="nil"/>
              <w:tr2bl w:val="nil"/>
            </w:tcBorders>
            <w:shd w:val="clear" w:color="auto" w:fill="auto"/>
            <w:noWrap w:val="0"/>
            <w:tcMar>
              <w:left w:w="0" w:type="dxa"/>
              <w:right w:w="0" w:type="dxa"/>
            </w:tcMar>
            <w:vAlign w:val="center"/>
          </w:tcPr>
          <w:p>
            <w:pPr>
              <w:pStyle w:val="24"/>
              <w:bidi w:val="0"/>
              <w:jc w:val="center"/>
              <w:rPr>
                <w:rFonts w:hint="default"/>
                <w:lang w:val="en-US" w:eastAsia="zh-CN"/>
              </w:rPr>
            </w:pPr>
            <w:r>
              <w:rPr>
                <w:rFonts w:hint="default"/>
                <w:lang w:val="en-US" w:eastAsia="zh-CN"/>
              </w:rPr>
              <w:t>2022.04.20～2023.04.19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铬（六价）</w:t>
            </w:r>
          </w:p>
        </w:tc>
        <w:tc>
          <w:tcPr>
            <w:tcW w:w="1779" w:type="dxa"/>
            <w:tcBorders>
              <w:tl2br w:val="nil"/>
              <w:tr2bl w:val="nil"/>
            </w:tcBorders>
            <w:shd w:val="clear" w:color="auto" w:fill="auto"/>
            <w:vAlign w:val="center"/>
          </w:tcPr>
          <w:p>
            <w:pPr>
              <w:pStyle w:val="24"/>
              <w:bidi w:val="0"/>
              <w:jc w:val="center"/>
              <w:rPr>
                <w:rFonts w:hint="default"/>
                <w:lang w:val="en-US" w:eastAsia="zh-CN"/>
              </w:rPr>
            </w:pPr>
            <w:r>
              <w:rPr>
                <w:rFonts w:hint="default"/>
              </w:rPr>
              <w:t>原子吸收分光光度计（火焰）</w:t>
            </w:r>
          </w:p>
        </w:tc>
        <w:tc>
          <w:tcPr>
            <w:tcW w:w="1905"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TAS-990F</w:t>
            </w:r>
          </w:p>
        </w:tc>
        <w:tc>
          <w:tcPr>
            <w:tcW w:w="1530"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CTP03078</w:t>
            </w:r>
          </w:p>
        </w:tc>
        <w:tc>
          <w:tcPr>
            <w:tcW w:w="2297"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2022.04.20～2024.04.19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汞</w:t>
            </w:r>
          </w:p>
        </w:tc>
        <w:tc>
          <w:tcPr>
            <w:tcW w:w="1779"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原子荧光光度计</w:t>
            </w:r>
          </w:p>
        </w:tc>
        <w:tc>
          <w:tcPr>
            <w:tcW w:w="1905"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AFS-8530</w:t>
            </w:r>
          </w:p>
        </w:tc>
        <w:tc>
          <w:tcPr>
            <w:tcW w:w="1530"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eastAsia="zh-CN"/>
              </w:rPr>
              <w:t>CTP03193</w:t>
            </w:r>
          </w:p>
        </w:tc>
        <w:tc>
          <w:tcPr>
            <w:tcW w:w="2297"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2022.04.20～2023.04.19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vAlign w:val="center"/>
          </w:tcPr>
          <w:p>
            <w:pPr>
              <w:pStyle w:val="24"/>
              <w:bidi w:val="0"/>
              <w:jc w:val="center"/>
              <w:rPr>
                <w:rFonts w:hint="default"/>
                <w:lang w:val="en-US" w:eastAsia="zh-CN"/>
              </w:rPr>
            </w:pPr>
            <w:r>
              <w:rPr>
                <w:rFonts w:hint="default"/>
              </w:rPr>
              <w:t>砷</w:t>
            </w:r>
          </w:p>
        </w:tc>
        <w:tc>
          <w:tcPr>
            <w:tcW w:w="1779" w:type="dxa"/>
            <w:tcBorders>
              <w:tl2br w:val="nil"/>
              <w:tr2bl w:val="nil"/>
            </w:tcBorders>
            <w:shd w:val="clear" w:color="auto" w:fill="auto"/>
            <w:vAlign w:val="center"/>
          </w:tcPr>
          <w:p>
            <w:pPr>
              <w:pStyle w:val="24"/>
              <w:bidi w:val="0"/>
              <w:jc w:val="center"/>
              <w:rPr>
                <w:rFonts w:hint="default"/>
              </w:rPr>
            </w:pPr>
            <w:r>
              <w:rPr>
                <w:rFonts w:hint="default"/>
              </w:rPr>
              <w:t>原子荧光光度计</w:t>
            </w:r>
          </w:p>
        </w:tc>
        <w:tc>
          <w:tcPr>
            <w:tcW w:w="1905"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AFS-8500</w:t>
            </w:r>
          </w:p>
        </w:tc>
        <w:tc>
          <w:tcPr>
            <w:tcW w:w="1530"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CTP03147</w:t>
            </w:r>
          </w:p>
        </w:tc>
        <w:tc>
          <w:tcPr>
            <w:tcW w:w="2297"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2023.04.11～2024.04.10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石油烃（C</w:t>
            </w:r>
            <w:r>
              <w:rPr>
                <w:rFonts w:hint="default"/>
                <w:vertAlign w:val="subscript"/>
                <w:lang w:val="en-US" w:eastAsia="zh-CN"/>
              </w:rPr>
              <w:t>10</w:t>
            </w:r>
            <w:r>
              <w:rPr>
                <w:rFonts w:hint="default"/>
                <w:lang w:val="en-US" w:eastAsia="zh-CN"/>
              </w:rPr>
              <w:t>-C</w:t>
            </w:r>
            <w:r>
              <w:rPr>
                <w:rFonts w:hint="default"/>
                <w:vertAlign w:val="subscript"/>
                <w:lang w:val="en-US" w:eastAsia="zh-CN"/>
              </w:rPr>
              <w:t>40</w:t>
            </w:r>
            <w:r>
              <w:rPr>
                <w:rFonts w:hint="default"/>
                <w:lang w:val="en-US" w:eastAsia="zh-CN"/>
              </w:rPr>
              <w:t>）</w:t>
            </w:r>
          </w:p>
        </w:tc>
        <w:tc>
          <w:tcPr>
            <w:tcW w:w="1779"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气相色谱仪</w:t>
            </w:r>
          </w:p>
        </w:tc>
        <w:tc>
          <w:tcPr>
            <w:tcW w:w="1905"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7820A</w:t>
            </w:r>
          </w:p>
        </w:tc>
        <w:tc>
          <w:tcPr>
            <w:tcW w:w="1530"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eastAsia="zh-CN"/>
              </w:rPr>
              <w:t>CTP</w:t>
            </w:r>
            <w:r>
              <w:rPr>
                <w:rFonts w:hint="default"/>
                <w:lang w:val="en-US" w:eastAsia="zh-CN"/>
              </w:rPr>
              <w:t>03064</w:t>
            </w:r>
          </w:p>
        </w:tc>
        <w:tc>
          <w:tcPr>
            <w:tcW w:w="2297"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2022.04.20～2024.04.19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2148" w:type="dxa"/>
            <w:gridSpan w:val="3"/>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石油烃（C</w:t>
            </w:r>
            <w:r>
              <w:rPr>
                <w:rFonts w:hint="default"/>
                <w:vertAlign w:val="subscript"/>
                <w:lang w:val="en-US" w:eastAsia="zh-CN"/>
              </w:rPr>
              <w:t>6</w:t>
            </w:r>
            <w:r>
              <w:rPr>
                <w:rFonts w:hint="default"/>
                <w:lang w:val="en-US" w:eastAsia="zh-CN"/>
              </w:rPr>
              <w:t>-C</w:t>
            </w:r>
            <w:r>
              <w:rPr>
                <w:rFonts w:hint="default"/>
                <w:vertAlign w:val="subscript"/>
                <w:lang w:val="en-US" w:eastAsia="zh-CN"/>
              </w:rPr>
              <w:t>9</w:t>
            </w:r>
            <w:r>
              <w:rPr>
                <w:rFonts w:hint="default"/>
                <w:lang w:val="en-US" w:eastAsia="zh-CN"/>
              </w:rPr>
              <w:t>）</w:t>
            </w:r>
          </w:p>
        </w:tc>
        <w:tc>
          <w:tcPr>
            <w:tcW w:w="1779" w:type="dxa"/>
            <w:tcBorders>
              <w:tl2br w:val="nil"/>
              <w:tr2bl w:val="nil"/>
            </w:tcBorders>
            <w:shd w:val="clear" w:color="auto" w:fill="auto"/>
            <w:vAlign w:val="center"/>
          </w:tcPr>
          <w:p>
            <w:pPr>
              <w:pStyle w:val="24"/>
              <w:bidi w:val="0"/>
              <w:jc w:val="center"/>
              <w:rPr>
                <w:rFonts w:hint="default"/>
                <w:lang w:val="en-US" w:eastAsia="zh-CN"/>
              </w:rPr>
            </w:pPr>
            <w:r>
              <w:rPr>
                <w:rFonts w:hint="default"/>
              </w:rPr>
              <w:t>气相色谱气质联用仪</w:t>
            </w:r>
          </w:p>
        </w:tc>
        <w:tc>
          <w:tcPr>
            <w:tcW w:w="1905"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GCMS-QP2010 SE</w:t>
            </w:r>
          </w:p>
        </w:tc>
        <w:tc>
          <w:tcPr>
            <w:tcW w:w="1530"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CTP03137</w:t>
            </w:r>
          </w:p>
        </w:tc>
        <w:tc>
          <w:tcPr>
            <w:tcW w:w="2297" w:type="dxa"/>
            <w:gridSpan w:val="2"/>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2022.04.19～2024.04.18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jc w:val="center"/>
        </w:trPr>
        <w:tc>
          <w:tcPr>
            <w:tcW w:w="9659" w:type="dxa"/>
            <w:gridSpan w:val="10"/>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空气</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647" w:hRule="atLeast"/>
          <w:tblHeader/>
          <w:jc w:val="center"/>
        </w:trPr>
        <w:tc>
          <w:tcPr>
            <w:tcW w:w="2146" w:type="dxa"/>
            <w:gridSpan w:val="2"/>
            <w:tcBorders>
              <w:tl2br w:val="nil"/>
              <w:tr2bl w:val="nil"/>
            </w:tcBorders>
            <w:noWrap w:val="0"/>
            <w:vAlign w:val="center"/>
          </w:tcPr>
          <w:p>
            <w:pPr>
              <w:pStyle w:val="24"/>
              <w:bidi w:val="0"/>
              <w:rPr>
                <w:rFonts w:hint="default"/>
              </w:rPr>
            </w:pPr>
            <w:r>
              <w:rPr>
                <w:rFonts w:hint="default"/>
              </w:rPr>
              <w:t>检测项目</w:t>
            </w:r>
          </w:p>
        </w:tc>
        <w:tc>
          <w:tcPr>
            <w:tcW w:w="1785" w:type="dxa"/>
            <w:gridSpan w:val="2"/>
            <w:tcBorders>
              <w:tl2br w:val="nil"/>
              <w:tr2bl w:val="nil"/>
            </w:tcBorders>
            <w:noWrap w:val="0"/>
            <w:vAlign w:val="center"/>
          </w:tcPr>
          <w:p>
            <w:pPr>
              <w:pStyle w:val="24"/>
              <w:bidi w:val="0"/>
              <w:rPr>
                <w:rFonts w:hint="default"/>
              </w:rPr>
            </w:pPr>
            <w:r>
              <w:rPr>
                <w:rFonts w:hint="default"/>
              </w:rPr>
              <w:t>分析设备/采样设备</w:t>
            </w:r>
          </w:p>
        </w:tc>
        <w:tc>
          <w:tcPr>
            <w:tcW w:w="1920" w:type="dxa"/>
            <w:gridSpan w:val="2"/>
            <w:tcBorders>
              <w:tl2br w:val="nil"/>
              <w:tr2bl w:val="nil"/>
            </w:tcBorders>
            <w:noWrap w:val="0"/>
            <w:vAlign w:val="center"/>
          </w:tcPr>
          <w:p>
            <w:pPr>
              <w:pStyle w:val="24"/>
              <w:bidi w:val="0"/>
              <w:rPr>
                <w:rFonts w:hint="default"/>
              </w:rPr>
            </w:pPr>
            <w:r>
              <w:rPr>
                <w:rFonts w:hint="default"/>
              </w:rPr>
              <w:t>型号</w:t>
            </w:r>
          </w:p>
        </w:tc>
        <w:tc>
          <w:tcPr>
            <w:tcW w:w="1515" w:type="dxa"/>
            <w:gridSpan w:val="2"/>
            <w:tcBorders>
              <w:tl2br w:val="nil"/>
              <w:tr2bl w:val="nil"/>
            </w:tcBorders>
            <w:noWrap w:val="0"/>
            <w:vAlign w:val="center"/>
          </w:tcPr>
          <w:p>
            <w:pPr>
              <w:pStyle w:val="24"/>
              <w:bidi w:val="0"/>
              <w:rPr>
                <w:rFonts w:hint="default"/>
              </w:rPr>
            </w:pPr>
            <w:r>
              <w:rPr>
                <w:rFonts w:hint="default"/>
              </w:rPr>
              <w:t>设备编号</w:t>
            </w:r>
          </w:p>
        </w:tc>
        <w:tc>
          <w:tcPr>
            <w:tcW w:w="2291" w:type="dxa"/>
            <w:tcBorders>
              <w:tl2br w:val="nil"/>
              <w:tr2bl w:val="nil"/>
            </w:tcBorders>
            <w:noWrap w:val="0"/>
            <w:vAlign w:val="center"/>
          </w:tcPr>
          <w:p>
            <w:pPr>
              <w:pStyle w:val="24"/>
              <w:bidi w:val="0"/>
              <w:rPr>
                <w:rFonts w:hint="default"/>
              </w:rPr>
            </w:pPr>
            <w:r>
              <w:rPr>
                <w:rFonts w:hint="default"/>
              </w:rPr>
              <w:t>有效期</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23" w:hRule="atLeast"/>
          <w:jc w:val="center"/>
        </w:trPr>
        <w:tc>
          <w:tcPr>
            <w:tcW w:w="2146" w:type="dxa"/>
            <w:gridSpan w:val="2"/>
            <w:tcBorders>
              <w:tl2br w:val="nil"/>
              <w:tr2bl w:val="nil"/>
            </w:tcBorders>
            <w:noWrap w:val="0"/>
            <w:vAlign w:val="center"/>
          </w:tcPr>
          <w:p>
            <w:pPr>
              <w:pStyle w:val="24"/>
              <w:bidi w:val="0"/>
              <w:rPr>
                <w:rFonts w:hint="default"/>
                <w:lang w:val="en-US" w:eastAsia="zh-CN"/>
              </w:rPr>
            </w:pPr>
            <w:r>
              <w:rPr>
                <w:rFonts w:hint="eastAsia"/>
                <w:lang w:val="en-US" w:eastAsia="zh-CN"/>
              </w:rPr>
              <w:t>TVOC(环境空气）</w:t>
            </w:r>
          </w:p>
        </w:tc>
        <w:tc>
          <w:tcPr>
            <w:tcW w:w="1785"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智能综合大气采样器</w:t>
            </w:r>
          </w:p>
        </w:tc>
        <w:tc>
          <w:tcPr>
            <w:tcW w:w="1920"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ADS-2062E-2.0</w:t>
            </w:r>
          </w:p>
        </w:tc>
        <w:tc>
          <w:tcPr>
            <w:tcW w:w="1515" w:type="dxa"/>
            <w:gridSpan w:val="2"/>
            <w:tcBorders>
              <w:tl2br w:val="nil"/>
              <w:tr2bl w:val="nil"/>
            </w:tcBorders>
            <w:noWrap w:val="0"/>
            <w:vAlign w:val="center"/>
          </w:tcPr>
          <w:p>
            <w:pPr>
              <w:pStyle w:val="24"/>
              <w:bidi w:val="0"/>
              <w:rPr>
                <w:rFonts w:hint="default"/>
                <w:lang w:val="en-US" w:eastAsia="zh-CN"/>
              </w:rPr>
            </w:pPr>
            <w:r>
              <w:rPr>
                <w:rFonts w:hint="default"/>
                <w:lang w:val="en-US" w:eastAsia="zh-CN"/>
              </w:rPr>
              <w:t>CTP</w:t>
            </w:r>
            <w:r>
              <w:rPr>
                <w:rFonts w:hint="eastAsia"/>
                <w:lang w:val="en-US" w:eastAsia="zh-CN"/>
              </w:rPr>
              <w:t>01322</w:t>
            </w:r>
          </w:p>
        </w:tc>
        <w:tc>
          <w:tcPr>
            <w:tcW w:w="2291" w:type="dxa"/>
            <w:tcBorders>
              <w:tl2br w:val="nil"/>
              <w:tr2bl w:val="nil"/>
            </w:tcBorders>
            <w:noWrap w:val="0"/>
            <w:tcMar>
              <w:left w:w="0" w:type="dxa"/>
              <w:right w:w="0" w:type="dxa"/>
            </w:tcMar>
            <w:vAlign w:val="center"/>
          </w:tcPr>
          <w:p>
            <w:pPr>
              <w:pStyle w:val="24"/>
              <w:bidi w:val="0"/>
              <w:rPr>
                <w:rFonts w:hint="default"/>
              </w:rPr>
            </w:pPr>
            <w:r>
              <w:rPr>
                <w:rFonts w:hint="default"/>
              </w:rPr>
              <w:t>2023.03.12～2024.03.11</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23" w:hRule="atLeast"/>
          <w:jc w:val="center"/>
        </w:trPr>
        <w:tc>
          <w:tcPr>
            <w:tcW w:w="2146" w:type="dxa"/>
            <w:gridSpan w:val="2"/>
            <w:tcBorders>
              <w:tl2br w:val="nil"/>
              <w:tr2bl w:val="nil"/>
            </w:tcBorders>
            <w:noWrap w:val="0"/>
            <w:vAlign w:val="center"/>
          </w:tcPr>
          <w:p>
            <w:pPr>
              <w:pStyle w:val="24"/>
              <w:bidi w:val="0"/>
              <w:rPr>
                <w:rFonts w:hint="default"/>
                <w:lang w:val="en-US" w:eastAsia="zh-CN"/>
              </w:rPr>
            </w:pPr>
            <w:r>
              <w:rPr>
                <w:rFonts w:hint="eastAsia"/>
                <w:lang w:val="en-US" w:eastAsia="zh-CN"/>
              </w:rPr>
              <w:t>硫化氢、氨（固定源）</w:t>
            </w:r>
          </w:p>
        </w:tc>
        <w:tc>
          <w:tcPr>
            <w:tcW w:w="1785"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大气采样器</w:t>
            </w:r>
          </w:p>
        </w:tc>
        <w:tc>
          <w:tcPr>
            <w:tcW w:w="1920"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ZC-Q</w:t>
            </w:r>
          </w:p>
        </w:tc>
        <w:tc>
          <w:tcPr>
            <w:tcW w:w="1515" w:type="dxa"/>
            <w:gridSpan w:val="2"/>
            <w:tcBorders>
              <w:tl2br w:val="nil"/>
              <w:tr2bl w:val="nil"/>
            </w:tcBorders>
            <w:noWrap w:val="0"/>
            <w:vAlign w:val="center"/>
          </w:tcPr>
          <w:p>
            <w:pPr>
              <w:pStyle w:val="24"/>
              <w:bidi w:val="0"/>
              <w:rPr>
                <w:rFonts w:hint="default"/>
                <w:lang w:val="en-US" w:eastAsia="zh-CN"/>
              </w:rPr>
            </w:pPr>
            <w:r>
              <w:rPr>
                <w:rFonts w:hint="default"/>
                <w:lang w:val="en-US" w:eastAsia="zh-CN"/>
              </w:rPr>
              <w:t>CTP</w:t>
            </w:r>
            <w:r>
              <w:rPr>
                <w:rFonts w:hint="eastAsia"/>
                <w:lang w:val="en-US" w:eastAsia="zh-CN"/>
              </w:rPr>
              <w:t>01180</w:t>
            </w:r>
          </w:p>
        </w:tc>
        <w:tc>
          <w:tcPr>
            <w:tcW w:w="2291" w:type="dxa"/>
            <w:tcBorders>
              <w:tl2br w:val="nil"/>
              <w:tr2bl w:val="nil"/>
            </w:tcBorders>
            <w:noWrap w:val="0"/>
            <w:tcMar>
              <w:left w:w="0" w:type="dxa"/>
              <w:right w:w="0" w:type="dxa"/>
            </w:tcMar>
            <w:vAlign w:val="center"/>
          </w:tcPr>
          <w:p>
            <w:pPr>
              <w:pStyle w:val="24"/>
              <w:bidi w:val="0"/>
              <w:rPr>
                <w:rFonts w:hint="default"/>
              </w:rPr>
            </w:pPr>
            <w:r>
              <w:rPr>
                <w:rFonts w:hint="default"/>
              </w:rPr>
              <w:t>2022.11.24～2023.11.23</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23" w:hRule="atLeast"/>
          <w:jc w:val="center"/>
        </w:trPr>
        <w:tc>
          <w:tcPr>
            <w:tcW w:w="2146" w:type="dxa"/>
            <w:gridSpan w:val="2"/>
            <w:vMerge w:val="restart"/>
            <w:tcBorders>
              <w:tl2br w:val="nil"/>
              <w:tr2bl w:val="nil"/>
            </w:tcBorders>
            <w:noWrap w:val="0"/>
            <w:vAlign w:val="center"/>
          </w:tcPr>
          <w:p>
            <w:pPr>
              <w:pStyle w:val="24"/>
              <w:bidi w:val="0"/>
              <w:rPr>
                <w:rFonts w:hint="eastAsia"/>
                <w:lang w:val="en-US" w:eastAsia="zh-CN"/>
              </w:rPr>
            </w:pPr>
            <w:r>
              <w:rPr>
                <w:rFonts w:hint="eastAsia"/>
                <w:lang w:val="en-US" w:eastAsia="zh-CN"/>
              </w:rPr>
              <w:t>非甲烷总烃</w:t>
            </w:r>
          </w:p>
          <w:p>
            <w:pPr>
              <w:pStyle w:val="24"/>
              <w:bidi w:val="0"/>
              <w:rPr>
                <w:rFonts w:hint="eastAsia"/>
                <w:lang w:eastAsia="zh-CN"/>
              </w:rPr>
            </w:pPr>
            <w:r>
              <w:rPr>
                <w:rFonts w:hint="eastAsia"/>
                <w:lang w:val="en-US" w:eastAsia="zh-CN"/>
              </w:rPr>
              <w:t>（固定源）</w:t>
            </w:r>
          </w:p>
        </w:tc>
        <w:tc>
          <w:tcPr>
            <w:tcW w:w="1785"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自动烟尘烟气综合测试仪</w:t>
            </w:r>
          </w:p>
        </w:tc>
        <w:tc>
          <w:tcPr>
            <w:tcW w:w="1920"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ZR-3260D型</w:t>
            </w:r>
          </w:p>
        </w:tc>
        <w:tc>
          <w:tcPr>
            <w:tcW w:w="1515" w:type="dxa"/>
            <w:gridSpan w:val="2"/>
            <w:tcBorders>
              <w:tl2br w:val="nil"/>
              <w:tr2bl w:val="nil"/>
            </w:tcBorders>
            <w:noWrap w:val="0"/>
            <w:vAlign w:val="center"/>
          </w:tcPr>
          <w:p>
            <w:pPr>
              <w:pStyle w:val="24"/>
              <w:bidi w:val="0"/>
              <w:rPr>
                <w:rFonts w:hint="default"/>
                <w:lang w:val="en-US" w:eastAsia="zh-CN"/>
              </w:rPr>
            </w:pPr>
            <w:r>
              <w:rPr>
                <w:rFonts w:hint="default"/>
                <w:lang w:val="en-US" w:eastAsia="zh-CN"/>
              </w:rPr>
              <w:t>CTP</w:t>
            </w:r>
            <w:r>
              <w:rPr>
                <w:rFonts w:hint="eastAsia"/>
                <w:lang w:val="en-US" w:eastAsia="zh-CN"/>
              </w:rPr>
              <w:t>01294</w:t>
            </w:r>
          </w:p>
        </w:tc>
        <w:tc>
          <w:tcPr>
            <w:tcW w:w="2291" w:type="dxa"/>
            <w:tcBorders>
              <w:tl2br w:val="nil"/>
              <w:tr2bl w:val="nil"/>
            </w:tcBorders>
            <w:noWrap w:val="0"/>
            <w:tcMar>
              <w:left w:w="0" w:type="dxa"/>
              <w:right w:w="0" w:type="dxa"/>
            </w:tcMar>
            <w:vAlign w:val="center"/>
          </w:tcPr>
          <w:p>
            <w:pPr>
              <w:pStyle w:val="24"/>
              <w:bidi w:val="0"/>
              <w:rPr>
                <w:rFonts w:hint="default"/>
              </w:rPr>
            </w:pPr>
            <w:r>
              <w:rPr>
                <w:rFonts w:hint="default"/>
              </w:rPr>
              <w:t>2023.02.20～2024.02.19</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23" w:hRule="atLeast"/>
          <w:jc w:val="center"/>
        </w:trPr>
        <w:tc>
          <w:tcPr>
            <w:tcW w:w="2146" w:type="dxa"/>
            <w:gridSpan w:val="2"/>
            <w:vMerge w:val="continue"/>
            <w:tcBorders>
              <w:tl2br w:val="nil"/>
              <w:tr2bl w:val="nil"/>
            </w:tcBorders>
            <w:noWrap w:val="0"/>
            <w:vAlign w:val="center"/>
          </w:tcPr>
          <w:p>
            <w:pPr>
              <w:pStyle w:val="24"/>
              <w:bidi w:val="0"/>
              <w:rPr>
                <w:rFonts w:hint="eastAsia"/>
                <w:lang w:val="en-US" w:eastAsia="zh-CN"/>
              </w:rPr>
            </w:pPr>
          </w:p>
        </w:tc>
        <w:tc>
          <w:tcPr>
            <w:tcW w:w="1785"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自动烟尘烟气综合测试仪</w:t>
            </w:r>
          </w:p>
        </w:tc>
        <w:tc>
          <w:tcPr>
            <w:tcW w:w="1920"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ZR-3260型</w:t>
            </w:r>
          </w:p>
        </w:tc>
        <w:tc>
          <w:tcPr>
            <w:tcW w:w="1515" w:type="dxa"/>
            <w:gridSpan w:val="2"/>
            <w:tcBorders>
              <w:tl2br w:val="nil"/>
              <w:tr2bl w:val="nil"/>
            </w:tcBorders>
            <w:noWrap w:val="0"/>
            <w:vAlign w:val="center"/>
          </w:tcPr>
          <w:p>
            <w:pPr>
              <w:pStyle w:val="24"/>
              <w:bidi w:val="0"/>
              <w:rPr>
                <w:rFonts w:hint="default"/>
                <w:lang w:val="en-US" w:eastAsia="zh-CN"/>
              </w:rPr>
            </w:pPr>
            <w:r>
              <w:rPr>
                <w:rFonts w:hint="default"/>
                <w:lang w:val="en-US" w:eastAsia="zh-CN"/>
              </w:rPr>
              <w:t>CTP</w:t>
            </w:r>
            <w:r>
              <w:rPr>
                <w:rFonts w:hint="eastAsia"/>
                <w:lang w:val="en-US" w:eastAsia="zh-CN"/>
              </w:rPr>
              <w:t>01278</w:t>
            </w:r>
          </w:p>
        </w:tc>
        <w:tc>
          <w:tcPr>
            <w:tcW w:w="2291" w:type="dxa"/>
            <w:tcBorders>
              <w:tl2br w:val="nil"/>
              <w:tr2bl w:val="nil"/>
            </w:tcBorders>
            <w:noWrap w:val="0"/>
            <w:tcMar>
              <w:left w:w="0" w:type="dxa"/>
              <w:right w:w="0" w:type="dxa"/>
            </w:tcMar>
            <w:vAlign w:val="center"/>
          </w:tcPr>
          <w:p>
            <w:pPr>
              <w:pStyle w:val="24"/>
              <w:bidi w:val="0"/>
              <w:rPr>
                <w:rFonts w:hint="default"/>
              </w:rPr>
            </w:pPr>
            <w:r>
              <w:rPr>
                <w:rFonts w:hint="default"/>
              </w:rPr>
              <w:t>2022.11.09～2023.11.08</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23" w:hRule="atLeast"/>
          <w:jc w:val="center"/>
        </w:trPr>
        <w:tc>
          <w:tcPr>
            <w:tcW w:w="2146" w:type="dxa"/>
            <w:gridSpan w:val="2"/>
            <w:tcBorders>
              <w:tl2br w:val="nil"/>
              <w:tr2bl w:val="nil"/>
            </w:tcBorders>
            <w:noWrap w:val="0"/>
            <w:vAlign w:val="center"/>
          </w:tcPr>
          <w:p>
            <w:pPr>
              <w:pStyle w:val="24"/>
              <w:bidi w:val="0"/>
              <w:rPr>
                <w:rFonts w:hint="eastAsia"/>
                <w:lang w:eastAsia="zh-CN"/>
              </w:rPr>
            </w:pPr>
            <w:r>
              <w:rPr>
                <w:rFonts w:hint="eastAsia"/>
                <w:lang w:eastAsia="zh-CN"/>
              </w:rPr>
              <w:t>氨、硫化氢（固定源）</w:t>
            </w:r>
          </w:p>
        </w:tc>
        <w:tc>
          <w:tcPr>
            <w:tcW w:w="1785"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可见分光光度计</w:t>
            </w:r>
          </w:p>
        </w:tc>
        <w:tc>
          <w:tcPr>
            <w:tcW w:w="1920"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721</w:t>
            </w:r>
          </w:p>
        </w:tc>
        <w:tc>
          <w:tcPr>
            <w:tcW w:w="1515" w:type="dxa"/>
            <w:gridSpan w:val="2"/>
            <w:tcBorders>
              <w:tl2br w:val="nil"/>
              <w:tr2bl w:val="nil"/>
            </w:tcBorders>
            <w:noWrap w:val="0"/>
            <w:vAlign w:val="center"/>
          </w:tcPr>
          <w:p>
            <w:pPr>
              <w:pStyle w:val="24"/>
              <w:bidi w:val="0"/>
              <w:rPr>
                <w:rFonts w:hint="default"/>
                <w:lang w:val="en-US" w:eastAsia="zh-CN"/>
              </w:rPr>
            </w:pPr>
            <w:r>
              <w:rPr>
                <w:rFonts w:hint="default"/>
                <w:lang w:val="en-US" w:eastAsia="zh-CN"/>
              </w:rPr>
              <w:t>CTP</w:t>
            </w:r>
            <w:r>
              <w:rPr>
                <w:rFonts w:hint="eastAsia"/>
                <w:lang w:val="en-US" w:eastAsia="zh-CN"/>
              </w:rPr>
              <w:t>03123</w:t>
            </w:r>
          </w:p>
        </w:tc>
        <w:tc>
          <w:tcPr>
            <w:tcW w:w="2291" w:type="dxa"/>
            <w:tcBorders>
              <w:tl2br w:val="nil"/>
              <w:tr2bl w:val="nil"/>
            </w:tcBorders>
            <w:noWrap w:val="0"/>
            <w:tcMar>
              <w:left w:w="0" w:type="dxa"/>
              <w:right w:w="0" w:type="dxa"/>
            </w:tcMar>
            <w:vAlign w:val="center"/>
          </w:tcPr>
          <w:p>
            <w:pPr>
              <w:pStyle w:val="24"/>
              <w:bidi w:val="0"/>
              <w:rPr>
                <w:rFonts w:hint="default"/>
              </w:rPr>
            </w:pPr>
            <w:r>
              <w:rPr>
                <w:rFonts w:hint="default"/>
              </w:rPr>
              <w:t>2022.04.19～2023.04.18</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23" w:hRule="atLeast"/>
          <w:jc w:val="center"/>
        </w:trPr>
        <w:tc>
          <w:tcPr>
            <w:tcW w:w="2146"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非甲烷总烃</w:t>
            </w:r>
          </w:p>
          <w:p>
            <w:pPr>
              <w:pStyle w:val="24"/>
              <w:bidi w:val="0"/>
              <w:rPr>
                <w:rFonts w:hint="eastAsia"/>
                <w:lang w:eastAsia="zh-CN"/>
              </w:rPr>
            </w:pPr>
            <w:r>
              <w:rPr>
                <w:rFonts w:hint="eastAsia"/>
                <w:lang w:val="en-US" w:eastAsia="zh-CN"/>
              </w:rPr>
              <w:t>（固定源、</w:t>
            </w:r>
            <w:r>
              <w:rPr>
                <w:rFonts w:hint="eastAsia"/>
                <w:lang w:eastAsia="zh-CN"/>
              </w:rPr>
              <w:t>无组织</w:t>
            </w:r>
            <w:r>
              <w:rPr>
                <w:rFonts w:hint="eastAsia"/>
                <w:lang w:val="en-US" w:eastAsia="zh-CN"/>
              </w:rPr>
              <w:t>）</w:t>
            </w:r>
          </w:p>
        </w:tc>
        <w:tc>
          <w:tcPr>
            <w:tcW w:w="1785"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气相色谱仪</w:t>
            </w:r>
          </w:p>
        </w:tc>
        <w:tc>
          <w:tcPr>
            <w:tcW w:w="1920"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A60</w:t>
            </w:r>
          </w:p>
        </w:tc>
        <w:tc>
          <w:tcPr>
            <w:tcW w:w="1515" w:type="dxa"/>
            <w:gridSpan w:val="2"/>
            <w:tcBorders>
              <w:tl2br w:val="nil"/>
              <w:tr2bl w:val="nil"/>
            </w:tcBorders>
            <w:noWrap w:val="0"/>
            <w:vAlign w:val="center"/>
          </w:tcPr>
          <w:p>
            <w:pPr>
              <w:pStyle w:val="24"/>
              <w:bidi w:val="0"/>
              <w:rPr>
                <w:rFonts w:hint="default"/>
                <w:lang w:val="en-US" w:eastAsia="zh-CN"/>
              </w:rPr>
            </w:pPr>
            <w:r>
              <w:rPr>
                <w:rFonts w:hint="default"/>
                <w:lang w:val="en-US" w:eastAsia="zh-CN"/>
              </w:rPr>
              <w:t>CTP</w:t>
            </w:r>
            <w:r>
              <w:rPr>
                <w:rFonts w:hint="eastAsia"/>
                <w:lang w:val="en-US" w:eastAsia="zh-CN"/>
              </w:rPr>
              <w:t>03176</w:t>
            </w:r>
          </w:p>
        </w:tc>
        <w:tc>
          <w:tcPr>
            <w:tcW w:w="2291" w:type="dxa"/>
            <w:tcBorders>
              <w:tl2br w:val="nil"/>
              <w:tr2bl w:val="nil"/>
            </w:tcBorders>
            <w:noWrap w:val="0"/>
            <w:tcMar>
              <w:left w:w="0" w:type="dxa"/>
              <w:right w:w="0" w:type="dxa"/>
            </w:tcMar>
            <w:vAlign w:val="center"/>
          </w:tcPr>
          <w:p>
            <w:pPr>
              <w:pStyle w:val="24"/>
              <w:bidi w:val="0"/>
              <w:rPr>
                <w:rFonts w:hint="default"/>
              </w:rPr>
            </w:pPr>
            <w:r>
              <w:rPr>
                <w:rFonts w:hint="default"/>
              </w:rPr>
              <w:t>2022.04.19～2024.04.18</w:t>
            </w:r>
          </w:p>
        </w:tc>
      </w:tr>
      <w:tr>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gridBefore w:val="1"/>
          <w:wBefore w:w="2" w:type="dxa"/>
          <w:trHeight w:val="23" w:hRule="atLeast"/>
          <w:jc w:val="center"/>
        </w:trPr>
        <w:tc>
          <w:tcPr>
            <w:tcW w:w="2146"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TVOC（环境空气）</w:t>
            </w:r>
          </w:p>
        </w:tc>
        <w:tc>
          <w:tcPr>
            <w:tcW w:w="1785"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气相色谱仪</w:t>
            </w:r>
          </w:p>
        </w:tc>
        <w:tc>
          <w:tcPr>
            <w:tcW w:w="1920"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7820A</w:t>
            </w:r>
          </w:p>
        </w:tc>
        <w:tc>
          <w:tcPr>
            <w:tcW w:w="1515" w:type="dxa"/>
            <w:gridSpan w:val="2"/>
            <w:tcBorders>
              <w:tl2br w:val="nil"/>
              <w:tr2bl w:val="nil"/>
            </w:tcBorders>
            <w:noWrap w:val="0"/>
            <w:vAlign w:val="center"/>
          </w:tcPr>
          <w:p>
            <w:pPr>
              <w:pStyle w:val="24"/>
              <w:bidi w:val="0"/>
              <w:rPr>
                <w:rFonts w:hint="default"/>
                <w:lang w:val="en-US" w:eastAsia="zh-CN"/>
              </w:rPr>
            </w:pPr>
            <w:r>
              <w:rPr>
                <w:rFonts w:hint="default"/>
                <w:lang w:val="en-US" w:eastAsia="zh-CN"/>
              </w:rPr>
              <w:t>CTP</w:t>
            </w:r>
            <w:r>
              <w:rPr>
                <w:rFonts w:hint="eastAsia"/>
                <w:lang w:val="en-US" w:eastAsia="zh-CN"/>
              </w:rPr>
              <w:t>03133</w:t>
            </w:r>
          </w:p>
        </w:tc>
        <w:tc>
          <w:tcPr>
            <w:tcW w:w="2291" w:type="dxa"/>
            <w:tcBorders>
              <w:tl2br w:val="nil"/>
              <w:tr2bl w:val="nil"/>
            </w:tcBorders>
            <w:noWrap w:val="0"/>
            <w:tcMar>
              <w:left w:w="0" w:type="dxa"/>
              <w:right w:w="0" w:type="dxa"/>
            </w:tcMar>
            <w:vAlign w:val="center"/>
          </w:tcPr>
          <w:p>
            <w:pPr>
              <w:pStyle w:val="24"/>
              <w:bidi w:val="0"/>
              <w:rPr>
                <w:rFonts w:hint="default"/>
              </w:rPr>
            </w:pPr>
            <w:r>
              <w:rPr>
                <w:rFonts w:hint="default"/>
              </w:rPr>
              <w:t>2022.4.20～2024.4.19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9653" w:type="dxa"/>
            <w:gridSpan w:val="8"/>
            <w:tcBorders>
              <w:tl2br w:val="nil"/>
              <w:tr2bl w:val="nil"/>
            </w:tcBorders>
            <w:shd w:val="clear" w:color="auto" w:fill="auto"/>
            <w:noWrap w:val="0"/>
            <w:vAlign w:val="center"/>
          </w:tcPr>
          <w:p>
            <w:pPr>
              <w:pStyle w:val="24"/>
              <w:bidi w:val="0"/>
              <w:rPr>
                <w:rFonts w:hint="default"/>
                <w:lang w:eastAsia="zh-CN"/>
              </w:rPr>
            </w:pPr>
            <w:r>
              <w:rPr>
                <w:rFonts w:hint="eastAsia"/>
                <w:lang w:eastAsia="zh-CN"/>
              </w:rPr>
              <w:t>海水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default"/>
              </w:rPr>
              <w:t>检测项目</w:t>
            </w:r>
          </w:p>
        </w:tc>
        <w:tc>
          <w:tcPr>
            <w:tcW w:w="1779" w:type="dxa"/>
            <w:tcBorders>
              <w:tl2br w:val="nil"/>
              <w:tr2bl w:val="nil"/>
            </w:tcBorders>
            <w:shd w:val="clear" w:color="auto" w:fill="auto"/>
            <w:noWrap w:val="0"/>
            <w:vAlign w:val="center"/>
          </w:tcPr>
          <w:p>
            <w:pPr>
              <w:pStyle w:val="24"/>
              <w:bidi w:val="0"/>
              <w:rPr>
                <w:rFonts w:hint="default"/>
              </w:rPr>
            </w:pPr>
            <w:r>
              <w:rPr>
                <w:rFonts w:hint="default"/>
              </w:rPr>
              <w:t>分析设备/</w:t>
            </w:r>
          </w:p>
          <w:p>
            <w:pPr>
              <w:pStyle w:val="24"/>
              <w:bidi w:val="0"/>
              <w:rPr>
                <w:rFonts w:hint="default"/>
                <w:lang w:val="en-US" w:eastAsia="zh-CN"/>
              </w:rPr>
            </w:pPr>
            <w:r>
              <w:rPr>
                <w:rFonts w:hint="default"/>
              </w:rPr>
              <w:t>采样设备</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default"/>
              </w:rPr>
              <w:t>型号</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default"/>
              </w:rPr>
              <w:t>设备编号</w:t>
            </w:r>
          </w:p>
        </w:tc>
        <w:tc>
          <w:tcPr>
            <w:tcW w:w="2297" w:type="dxa"/>
            <w:gridSpan w:val="2"/>
            <w:tcBorders>
              <w:tl2br w:val="nil"/>
              <w:tr2bl w:val="nil"/>
            </w:tcBorders>
            <w:shd w:val="clear" w:color="auto" w:fill="auto"/>
            <w:noWrap w:val="0"/>
            <w:vAlign w:val="center"/>
          </w:tcPr>
          <w:p>
            <w:pPr>
              <w:pStyle w:val="24"/>
              <w:bidi w:val="0"/>
              <w:rPr>
                <w:rFonts w:hint="default"/>
                <w:lang w:val="en-US" w:eastAsia="zh-CN"/>
              </w:rPr>
            </w:pPr>
            <w:r>
              <w:rPr>
                <w:rFonts w:hint="default"/>
              </w:rPr>
              <w:t>有效期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eastAsia" w:ascii="Times New Roman" w:hAnsi="Times New Roman" w:eastAsia="宋体" w:cs="Times New Roman"/>
                <w:kern w:val="0"/>
                <w:sz w:val="20"/>
                <w:szCs w:val="21"/>
                <w:lang w:val="en-US" w:eastAsia="zh-CN" w:bidi="ar-SA"/>
              </w:rPr>
            </w:pPr>
            <w:r>
              <w:rPr>
                <w:rFonts w:hint="eastAsia"/>
                <w:lang w:val="en-US" w:eastAsia="zh-CN"/>
              </w:rPr>
              <w:t>pH</w:t>
            </w:r>
          </w:p>
        </w:tc>
        <w:tc>
          <w:tcPr>
            <w:tcW w:w="1779" w:type="dxa"/>
            <w:tcBorders>
              <w:tl2br w:val="nil"/>
              <w:tr2bl w:val="nil"/>
            </w:tcBorders>
            <w:shd w:val="clear" w:color="auto" w:fill="auto"/>
            <w:noWrap w:val="0"/>
            <w:vAlign w:val="center"/>
          </w:tcPr>
          <w:p>
            <w:pPr>
              <w:pStyle w:val="24"/>
              <w:bidi w:val="0"/>
              <w:rPr>
                <w:rFonts w:hint="eastAsia" w:ascii="Times New Roman" w:hAnsi="Times New Roman" w:eastAsia="宋体" w:cs="Times New Roman"/>
                <w:kern w:val="0"/>
                <w:sz w:val="20"/>
                <w:szCs w:val="21"/>
                <w:lang w:val="en-US" w:eastAsia="zh-CN" w:bidi="ar-SA"/>
              </w:rPr>
            </w:pPr>
            <w:r>
              <w:rPr>
                <w:rFonts w:hint="eastAsia"/>
                <w:lang w:val="en-US" w:eastAsia="zh-CN"/>
              </w:rPr>
              <w:t>便携式多参数分析仪</w:t>
            </w:r>
          </w:p>
        </w:tc>
        <w:tc>
          <w:tcPr>
            <w:tcW w:w="1926" w:type="dxa"/>
            <w:gridSpan w:val="3"/>
            <w:tcBorders>
              <w:tl2br w:val="nil"/>
              <w:tr2bl w:val="nil"/>
            </w:tcBorders>
            <w:shd w:val="clear" w:color="auto" w:fill="auto"/>
            <w:noWrap w:val="0"/>
            <w:vAlign w:val="center"/>
          </w:tcPr>
          <w:p>
            <w:pPr>
              <w:pStyle w:val="24"/>
              <w:bidi w:val="0"/>
              <w:rPr>
                <w:rFonts w:hint="eastAsia" w:ascii="Times New Roman" w:hAnsi="Times New Roman" w:eastAsia="宋体" w:cs="Times New Roman"/>
                <w:kern w:val="0"/>
                <w:sz w:val="20"/>
                <w:szCs w:val="21"/>
                <w:lang w:val="en-US" w:eastAsia="zh-CN" w:bidi="ar-SA"/>
              </w:rPr>
            </w:pPr>
            <w:r>
              <w:rPr>
                <w:rFonts w:hint="eastAsia"/>
                <w:lang w:val="en-US" w:eastAsia="zh-CN"/>
              </w:rPr>
              <w:t>DZB-718</w:t>
            </w:r>
          </w:p>
        </w:tc>
        <w:tc>
          <w:tcPr>
            <w:tcW w:w="1509" w:type="dxa"/>
            <w:tcBorders>
              <w:tl2br w:val="nil"/>
              <w:tr2bl w:val="nil"/>
            </w:tcBorders>
            <w:shd w:val="clear" w:color="auto" w:fill="auto"/>
            <w:noWrap w:val="0"/>
            <w:vAlign w:val="center"/>
          </w:tcPr>
          <w:p>
            <w:pPr>
              <w:pStyle w:val="24"/>
              <w:bidi w:val="0"/>
              <w:rPr>
                <w:rFonts w:hint="eastAsia" w:ascii="Times New Roman" w:hAnsi="Times New Roman" w:eastAsia="宋体" w:cs="Times New Roman"/>
                <w:kern w:val="0"/>
                <w:sz w:val="20"/>
                <w:szCs w:val="21"/>
                <w:lang w:val="en-US" w:eastAsia="zh-CN" w:bidi="ar-SA"/>
              </w:rPr>
            </w:pPr>
            <w:r>
              <w:rPr>
                <w:rFonts w:hint="eastAsia"/>
                <w:lang w:val="en-US" w:eastAsia="zh-CN"/>
              </w:rPr>
              <w:t>CTP02244</w:t>
            </w:r>
          </w:p>
        </w:tc>
        <w:tc>
          <w:tcPr>
            <w:tcW w:w="2297" w:type="dxa"/>
            <w:gridSpan w:val="2"/>
            <w:tcBorders>
              <w:tl2br w:val="nil"/>
              <w:tr2bl w:val="nil"/>
            </w:tcBorders>
            <w:shd w:val="clear" w:color="auto" w:fill="auto"/>
            <w:noWrap w:val="0"/>
            <w:vAlign w:val="center"/>
          </w:tcPr>
          <w:p>
            <w:pPr>
              <w:pStyle w:val="24"/>
              <w:bidi w:val="0"/>
              <w:rPr>
                <w:rFonts w:hint="eastAsia" w:ascii="Times New Roman" w:hAnsi="Times New Roman" w:eastAsia="宋体" w:cs="Times New Roman"/>
                <w:kern w:val="0"/>
                <w:sz w:val="20"/>
                <w:szCs w:val="21"/>
                <w:lang w:val="en-US" w:eastAsia="zh-CN" w:bidi="ar-SA"/>
              </w:rPr>
            </w:pPr>
            <w:r>
              <w:rPr>
                <w:rFonts w:hint="eastAsia"/>
                <w:lang w:val="en-US" w:eastAsia="zh-CN"/>
              </w:rPr>
              <w:t>2022.09.15</w:t>
            </w:r>
            <w:r>
              <w:rPr>
                <w:rFonts w:hint="default"/>
                <w:lang w:val="en-US" w:eastAsia="zh-CN"/>
              </w:rPr>
              <w:t>～2023.09.14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水温</w:t>
            </w:r>
          </w:p>
        </w:tc>
        <w:tc>
          <w:tcPr>
            <w:tcW w:w="1779" w:type="dxa"/>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表层温度表</w:t>
            </w:r>
          </w:p>
        </w:tc>
        <w:tc>
          <w:tcPr>
            <w:tcW w:w="1926" w:type="dxa"/>
            <w:gridSpan w:val="3"/>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1509" w:type="dxa"/>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CTP03126</w:t>
            </w:r>
          </w:p>
        </w:tc>
        <w:tc>
          <w:tcPr>
            <w:tcW w:w="2297" w:type="dxa"/>
            <w:gridSpan w:val="2"/>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2022.04.20</w:t>
            </w:r>
            <w:r>
              <w:rPr>
                <w:rFonts w:hint="default" w:ascii="Times New Roman" w:hAnsi="Times New Roman" w:eastAsia="宋体" w:cs="Times New Roman"/>
                <w:lang w:val="en-US" w:eastAsia="zh-CN"/>
              </w:rPr>
              <w:t>～2023.04.19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盐度</w:t>
            </w:r>
          </w:p>
        </w:tc>
        <w:tc>
          <w:tcPr>
            <w:tcW w:w="1779" w:type="dxa"/>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便携式多参数分析仪</w:t>
            </w:r>
          </w:p>
        </w:tc>
        <w:tc>
          <w:tcPr>
            <w:tcW w:w="1926" w:type="dxa"/>
            <w:gridSpan w:val="3"/>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DZB-718</w:t>
            </w:r>
          </w:p>
        </w:tc>
        <w:tc>
          <w:tcPr>
            <w:tcW w:w="1509" w:type="dxa"/>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CTP02246</w:t>
            </w:r>
          </w:p>
        </w:tc>
        <w:tc>
          <w:tcPr>
            <w:tcW w:w="2297" w:type="dxa"/>
            <w:gridSpan w:val="2"/>
            <w:tcBorders>
              <w:tl2br w:val="nil"/>
              <w:tr2bl w:val="nil"/>
            </w:tcBorders>
            <w:shd w:val="clear" w:color="auto" w:fill="auto"/>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2022.09.15</w:t>
            </w:r>
            <w:r>
              <w:rPr>
                <w:rFonts w:hint="default" w:ascii="Times New Roman" w:hAnsi="Times New Roman" w:eastAsia="宋体" w:cs="Times New Roman"/>
                <w:lang w:val="en-US" w:eastAsia="zh-CN"/>
              </w:rPr>
              <w:t>～2023.09.14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eastAsia"/>
                <w:lang w:val="en-US" w:eastAsia="zh-CN"/>
              </w:rPr>
            </w:pPr>
            <w:r>
              <w:rPr>
                <w:rFonts w:hint="eastAsia"/>
                <w:lang w:val="en-US" w:eastAsia="zh-CN"/>
              </w:rPr>
              <w:t>悬浮物</w:t>
            </w:r>
          </w:p>
        </w:tc>
        <w:tc>
          <w:tcPr>
            <w:tcW w:w="1779" w:type="dxa"/>
            <w:tcBorders>
              <w:tl2br w:val="nil"/>
              <w:tr2bl w:val="nil"/>
            </w:tcBorders>
            <w:shd w:val="clear" w:color="auto" w:fill="auto"/>
            <w:noWrap w:val="0"/>
            <w:vAlign w:val="center"/>
          </w:tcPr>
          <w:p>
            <w:pPr>
              <w:pStyle w:val="24"/>
              <w:bidi w:val="0"/>
              <w:rPr>
                <w:rFonts w:hint="eastAsia"/>
                <w:lang w:val="en-US" w:eastAsia="zh-CN"/>
              </w:rPr>
            </w:pPr>
            <w:r>
              <w:rPr>
                <w:rFonts w:hint="eastAsia"/>
                <w:lang w:val="en-US" w:eastAsia="zh-CN"/>
              </w:rPr>
              <w:t>精密天平</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XS105DU</w:t>
            </w:r>
          </w:p>
        </w:tc>
        <w:tc>
          <w:tcPr>
            <w:tcW w:w="1509" w:type="dxa"/>
            <w:tcBorders>
              <w:tl2br w:val="nil"/>
              <w:tr2bl w:val="nil"/>
            </w:tcBorders>
            <w:shd w:val="clear" w:color="auto" w:fill="auto"/>
            <w:noWrap w:val="0"/>
            <w:vAlign w:val="center"/>
          </w:tcPr>
          <w:p>
            <w:pPr>
              <w:pStyle w:val="24"/>
              <w:bidi w:val="0"/>
              <w:rPr>
                <w:rFonts w:hint="eastAsia"/>
                <w:lang w:val="en-US" w:eastAsia="zh-CN"/>
              </w:rPr>
            </w:pPr>
            <w:r>
              <w:rPr>
                <w:rFonts w:hint="eastAsia"/>
                <w:lang w:val="en-US" w:eastAsia="zh-CN"/>
              </w:rPr>
              <w:t>CTP03003</w:t>
            </w:r>
          </w:p>
        </w:tc>
        <w:tc>
          <w:tcPr>
            <w:tcW w:w="2297" w:type="dxa"/>
            <w:gridSpan w:val="2"/>
            <w:tcBorders>
              <w:tl2br w:val="nil"/>
              <w:tr2bl w:val="nil"/>
            </w:tcBorders>
            <w:shd w:val="clear" w:color="auto" w:fill="auto"/>
            <w:noWrap w:val="0"/>
            <w:vAlign w:val="center"/>
          </w:tcPr>
          <w:p>
            <w:pPr>
              <w:pStyle w:val="24"/>
              <w:bidi w:val="0"/>
              <w:rPr>
                <w:rFonts w:hint="eastAsia"/>
                <w:lang w:val="en-US" w:eastAsia="zh-CN"/>
              </w:rPr>
            </w:pPr>
            <w:r>
              <w:rPr>
                <w:rFonts w:hint="eastAsia"/>
                <w:lang w:val="en-US" w:eastAsia="zh-CN"/>
              </w:rPr>
              <w:t>2022.04.20</w:t>
            </w:r>
            <w:r>
              <w:rPr>
                <w:rFonts w:hint="default"/>
                <w:lang w:val="en-US" w:eastAsia="zh-CN"/>
              </w:rPr>
              <w:t>～</w:t>
            </w:r>
            <w:r>
              <w:rPr>
                <w:rFonts w:hint="eastAsia"/>
                <w:lang w:val="en-US" w:eastAsia="zh-CN"/>
              </w:rPr>
              <w:t>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汞、砷</w:t>
            </w:r>
          </w:p>
        </w:tc>
        <w:tc>
          <w:tcPr>
            <w:tcW w:w="177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原子荧光光度计</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AFS-8500</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CTP03147</w:t>
            </w:r>
          </w:p>
        </w:tc>
        <w:tc>
          <w:tcPr>
            <w:tcW w:w="2297" w:type="dxa"/>
            <w:gridSpan w:val="2"/>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2022.04.19</w:t>
            </w:r>
            <w:r>
              <w:rPr>
                <w:rFonts w:hint="default"/>
                <w:lang w:val="en-US" w:eastAsia="zh-CN"/>
              </w:rPr>
              <w:t>～</w:t>
            </w:r>
            <w:r>
              <w:rPr>
                <w:rFonts w:hint="eastAsia"/>
                <w:lang w:val="en-US" w:eastAsia="zh-CN"/>
              </w:rPr>
              <w:t>2023.04.18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镍、铜、镉、铅</w:t>
            </w:r>
          </w:p>
        </w:tc>
        <w:tc>
          <w:tcPr>
            <w:tcW w:w="177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原子吸收光谱仪</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PinAAcle 900Z</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CTP03191</w:t>
            </w:r>
          </w:p>
        </w:tc>
        <w:tc>
          <w:tcPr>
            <w:tcW w:w="2297" w:type="dxa"/>
            <w:gridSpan w:val="2"/>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2022.04.19</w:t>
            </w:r>
            <w:r>
              <w:rPr>
                <w:rFonts w:hint="default"/>
                <w:lang w:val="en-US" w:eastAsia="zh-CN"/>
              </w:rPr>
              <w:t>～</w:t>
            </w:r>
            <w:r>
              <w:rPr>
                <w:rFonts w:hint="eastAsia"/>
                <w:lang w:val="en-US" w:eastAsia="zh-CN"/>
              </w:rPr>
              <w:t>2024.04.18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锌</w:t>
            </w:r>
          </w:p>
        </w:tc>
        <w:tc>
          <w:tcPr>
            <w:tcW w:w="177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原子吸收分光光度计</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TAS-990F</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CTP03078</w:t>
            </w:r>
          </w:p>
        </w:tc>
        <w:tc>
          <w:tcPr>
            <w:tcW w:w="2297" w:type="dxa"/>
            <w:gridSpan w:val="2"/>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2022.04.20</w:t>
            </w:r>
            <w:r>
              <w:rPr>
                <w:rFonts w:hint="default"/>
                <w:lang w:val="en-US" w:eastAsia="zh-CN"/>
              </w:rPr>
              <w:t>～</w:t>
            </w:r>
            <w:r>
              <w:rPr>
                <w:rFonts w:hint="eastAsia"/>
                <w:lang w:val="en-US" w:eastAsia="zh-CN"/>
              </w:rPr>
              <w:t>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总铬、六价铬、亚硝酸盐、硝酸盐、硫化物、挥发性酚</w:t>
            </w:r>
          </w:p>
        </w:tc>
        <w:tc>
          <w:tcPr>
            <w:tcW w:w="177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可见分光光度计</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721型</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CTP03123</w:t>
            </w:r>
          </w:p>
        </w:tc>
        <w:tc>
          <w:tcPr>
            <w:tcW w:w="2297" w:type="dxa"/>
            <w:gridSpan w:val="2"/>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2022.04.19</w:t>
            </w:r>
            <w:r>
              <w:rPr>
                <w:rFonts w:hint="default"/>
                <w:lang w:val="en-US" w:eastAsia="zh-CN"/>
              </w:rPr>
              <w:t>～</w:t>
            </w:r>
            <w:r>
              <w:rPr>
                <w:rFonts w:hint="eastAsia"/>
                <w:lang w:val="en-US" w:eastAsia="zh-CN"/>
              </w:rPr>
              <w:t>2023.04.18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石油类、氨氮、活性磷酸盐</w:t>
            </w:r>
          </w:p>
        </w:tc>
        <w:tc>
          <w:tcPr>
            <w:tcW w:w="177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紫外可见分光光度计</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UV-1800PC</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CTP03012</w:t>
            </w:r>
          </w:p>
        </w:tc>
        <w:tc>
          <w:tcPr>
            <w:tcW w:w="2297" w:type="dxa"/>
            <w:gridSpan w:val="2"/>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2022.04.19</w:t>
            </w:r>
            <w:r>
              <w:rPr>
                <w:rFonts w:hint="default"/>
                <w:lang w:val="en-US" w:eastAsia="zh-CN"/>
              </w:rPr>
              <w:t>～</w:t>
            </w:r>
            <w:r>
              <w:rPr>
                <w:rFonts w:hint="eastAsia"/>
                <w:lang w:val="en-US" w:eastAsia="zh-CN"/>
              </w:rPr>
              <w:t>2023.04.18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苯</w:t>
            </w:r>
            <w:r>
              <w:rPr>
                <w:rFonts w:hint="eastAsia"/>
                <w:lang w:val="en-US" w:eastAsia="zh-CN"/>
              </w:rPr>
              <w:t>、</w:t>
            </w:r>
            <w:r>
              <w:rPr>
                <w:rFonts w:hint="default"/>
                <w:lang w:val="en-US" w:eastAsia="zh-CN"/>
              </w:rPr>
              <w:t>甲苯</w:t>
            </w:r>
            <w:r>
              <w:rPr>
                <w:rFonts w:hint="eastAsia"/>
                <w:lang w:val="en-US" w:eastAsia="zh-CN"/>
              </w:rPr>
              <w:t>、</w:t>
            </w:r>
            <w:r>
              <w:rPr>
                <w:rFonts w:hint="default"/>
                <w:lang w:val="en-US" w:eastAsia="zh-CN"/>
              </w:rPr>
              <w:t>二甲苯</w:t>
            </w:r>
            <w:r>
              <w:rPr>
                <w:rFonts w:hint="eastAsia"/>
                <w:lang w:val="en-US" w:eastAsia="zh-CN"/>
              </w:rPr>
              <w:t>、苯乙烯</w:t>
            </w:r>
          </w:p>
        </w:tc>
        <w:tc>
          <w:tcPr>
            <w:tcW w:w="177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气相色谱气质联用仪</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GCMS-QP2010 SE</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CTP03155</w:t>
            </w:r>
          </w:p>
        </w:tc>
        <w:tc>
          <w:tcPr>
            <w:tcW w:w="2297" w:type="dxa"/>
            <w:gridSpan w:val="2"/>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2022.04.20</w:t>
            </w:r>
            <w:r>
              <w:rPr>
                <w:rFonts w:hint="default"/>
                <w:lang w:val="en-US" w:eastAsia="zh-CN"/>
              </w:rPr>
              <w:t>～</w:t>
            </w:r>
            <w:r>
              <w:rPr>
                <w:rFonts w:hint="eastAsia"/>
                <w:lang w:val="en-US" w:eastAsia="zh-CN"/>
              </w:rPr>
              <w:t>2024.04.19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9653" w:type="dxa"/>
            <w:gridSpan w:val="8"/>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海洋沉积物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noWrap w:val="0"/>
            <w:vAlign w:val="center"/>
          </w:tcPr>
          <w:p>
            <w:pPr>
              <w:pStyle w:val="24"/>
              <w:bidi w:val="0"/>
              <w:rPr>
                <w:rFonts w:hint="default"/>
                <w:lang w:val="en-US" w:eastAsia="zh-CN"/>
              </w:rPr>
            </w:pPr>
            <w:r>
              <w:rPr>
                <w:rFonts w:hint="eastAsia"/>
                <w:lang w:val="en-US" w:eastAsia="zh-CN"/>
              </w:rPr>
              <w:t>砷、铬、</w:t>
            </w:r>
            <w:r>
              <w:rPr>
                <w:rFonts w:hint="default"/>
                <w:lang w:val="en-US" w:eastAsia="zh-CN"/>
              </w:rPr>
              <w:t>铜、铅、锌、镉</w:t>
            </w:r>
          </w:p>
        </w:tc>
        <w:tc>
          <w:tcPr>
            <w:tcW w:w="177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电感耦合等离子体质谱仪</w:t>
            </w:r>
          </w:p>
        </w:tc>
        <w:tc>
          <w:tcPr>
            <w:tcW w:w="1926" w:type="dxa"/>
            <w:gridSpan w:val="3"/>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iCAP RQ</w:t>
            </w:r>
          </w:p>
        </w:tc>
        <w:tc>
          <w:tcPr>
            <w:tcW w:w="1509" w:type="dxa"/>
            <w:tcBorders>
              <w:tl2br w:val="nil"/>
              <w:tr2bl w:val="nil"/>
            </w:tcBorders>
            <w:shd w:val="clear" w:color="auto" w:fill="auto"/>
            <w:noWrap w:val="0"/>
            <w:vAlign w:val="center"/>
          </w:tcPr>
          <w:p>
            <w:pPr>
              <w:pStyle w:val="24"/>
              <w:bidi w:val="0"/>
              <w:rPr>
                <w:rFonts w:hint="default"/>
                <w:lang w:val="en-US" w:eastAsia="zh-CN"/>
              </w:rPr>
            </w:pPr>
            <w:r>
              <w:rPr>
                <w:rFonts w:hint="default"/>
                <w:lang w:val="en-US" w:eastAsia="zh-CN"/>
              </w:rPr>
              <w:t>CTP03107</w:t>
            </w:r>
          </w:p>
        </w:tc>
        <w:tc>
          <w:tcPr>
            <w:tcW w:w="2297" w:type="dxa"/>
            <w:gridSpan w:val="2"/>
            <w:tcBorders>
              <w:tl2br w:val="nil"/>
              <w:tr2bl w:val="nil"/>
            </w:tcBorders>
            <w:shd w:val="clear" w:color="auto" w:fill="auto"/>
            <w:noWrap w:val="0"/>
            <w:tcMar>
              <w:left w:w="0" w:type="dxa"/>
              <w:right w:w="0" w:type="dxa"/>
            </w:tcMar>
            <w:vAlign w:val="center"/>
          </w:tcPr>
          <w:p>
            <w:pPr>
              <w:pStyle w:val="24"/>
              <w:bidi w:val="0"/>
              <w:rPr>
                <w:rFonts w:hint="default"/>
                <w:lang w:val="en-US" w:eastAsia="zh-CN"/>
              </w:rPr>
            </w:pPr>
            <w:r>
              <w:rPr>
                <w:rFonts w:hint="default"/>
                <w:lang w:val="en-US" w:eastAsia="zh-CN"/>
              </w:rPr>
              <w:t>2022.04.20～2023.04.19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汞</w:t>
            </w:r>
          </w:p>
        </w:tc>
        <w:tc>
          <w:tcPr>
            <w:tcW w:w="177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原子荧光光度计</w:t>
            </w:r>
          </w:p>
        </w:tc>
        <w:tc>
          <w:tcPr>
            <w:tcW w:w="1926" w:type="dxa"/>
            <w:gridSpan w:val="3"/>
            <w:tcBorders>
              <w:tl2br w:val="nil"/>
              <w:tr2bl w:val="nil"/>
            </w:tcBorders>
            <w:shd w:val="clear" w:color="auto" w:fill="auto"/>
            <w:vAlign w:val="center"/>
          </w:tcPr>
          <w:p>
            <w:pPr>
              <w:pStyle w:val="24"/>
              <w:bidi w:val="0"/>
              <w:rPr>
                <w:rFonts w:hint="default"/>
                <w:lang w:val="en-US" w:eastAsia="zh-CN"/>
              </w:rPr>
            </w:pPr>
            <w:r>
              <w:rPr>
                <w:rFonts w:hint="default"/>
                <w:lang w:val="en-US" w:eastAsia="zh-CN"/>
              </w:rPr>
              <w:t>AFS-8530</w:t>
            </w:r>
          </w:p>
        </w:tc>
        <w:tc>
          <w:tcPr>
            <w:tcW w:w="1509" w:type="dxa"/>
            <w:tcBorders>
              <w:tl2br w:val="nil"/>
              <w:tr2bl w:val="nil"/>
            </w:tcBorders>
            <w:shd w:val="clear" w:color="auto" w:fill="auto"/>
            <w:vAlign w:val="center"/>
          </w:tcPr>
          <w:p>
            <w:pPr>
              <w:pStyle w:val="24"/>
              <w:bidi w:val="0"/>
              <w:rPr>
                <w:rFonts w:hint="default"/>
                <w:lang w:val="en-US" w:eastAsia="zh-CN"/>
              </w:rPr>
            </w:pPr>
            <w:r>
              <w:rPr>
                <w:rFonts w:hint="default"/>
                <w:lang w:val="en-US" w:eastAsia="zh-CN"/>
              </w:rPr>
              <w:t>CTP03193</w:t>
            </w:r>
          </w:p>
        </w:tc>
        <w:tc>
          <w:tcPr>
            <w:tcW w:w="2297" w:type="dxa"/>
            <w:gridSpan w:val="2"/>
            <w:tcBorders>
              <w:tl2br w:val="nil"/>
              <w:tr2bl w:val="nil"/>
            </w:tcBorders>
            <w:shd w:val="clear" w:color="auto" w:fill="auto"/>
            <w:vAlign w:val="center"/>
          </w:tcPr>
          <w:p>
            <w:pPr>
              <w:pStyle w:val="24"/>
              <w:bidi w:val="0"/>
              <w:rPr>
                <w:rFonts w:hint="default"/>
                <w:lang w:val="en-US" w:eastAsia="zh-CN"/>
              </w:rPr>
            </w:pPr>
            <w:r>
              <w:rPr>
                <w:rFonts w:hint="default"/>
                <w:lang w:val="en-US" w:eastAsia="zh-CN"/>
              </w:rPr>
              <w:t>2023.04.11～2024.04.10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有机碳</w:t>
            </w:r>
          </w:p>
        </w:tc>
        <w:tc>
          <w:tcPr>
            <w:tcW w:w="177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电子天平</w:t>
            </w:r>
          </w:p>
        </w:tc>
        <w:tc>
          <w:tcPr>
            <w:tcW w:w="1926" w:type="dxa"/>
            <w:gridSpan w:val="3"/>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ME104E</w:t>
            </w:r>
          </w:p>
        </w:tc>
        <w:tc>
          <w:tcPr>
            <w:tcW w:w="150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CTP03192</w:t>
            </w:r>
          </w:p>
        </w:tc>
        <w:tc>
          <w:tcPr>
            <w:tcW w:w="2297" w:type="dxa"/>
            <w:gridSpan w:val="2"/>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2023.04.14～2024.04.13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vAlign w:val="center"/>
          </w:tcPr>
          <w:p>
            <w:pPr>
              <w:pStyle w:val="24"/>
              <w:bidi w:val="0"/>
              <w:rPr>
                <w:rFonts w:hint="eastAsia"/>
                <w:lang w:val="en-US" w:eastAsia="zh-CN"/>
              </w:rPr>
            </w:pPr>
            <w:r>
              <w:rPr>
                <w:rFonts w:hint="eastAsia"/>
                <w:lang w:val="en-US" w:eastAsia="zh-CN"/>
              </w:rPr>
              <w:t>硫化物</w:t>
            </w:r>
          </w:p>
        </w:tc>
        <w:tc>
          <w:tcPr>
            <w:tcW w:w="177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可见分光光度计</w:t>
            </w:r>
          </w:p>
        </w:tc>
        <w:tc>
          <w:tcPr>
            <w:tcW w:w="1926" w:type="dxa"/>
            <w:gridSpan w:val="3"/>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721型</w:t>
            </w:r>
          </w:p>
        </w:tc>
        <w:tc>
          <w:tcPr>
            <w:tcW w:w="1509" w:type="dxa"/>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CTP03123</w:t>
            </w:r>
          </w:p>
        </w:tc>
        <w:tc>
          <w:tcPr>
            <w:tcW w:w="2297" w:type="dxa"/>
            <w:gridSpan w:val="2"/>
            <w:tcBorders>
              <w:tl2br w:val="nil"/>
              <w:tr2bl w:val="nil"/>
            </w:tcBorders>
            <w:shd w:val="clear" w:color="auto" w:fill="auto"/>
            <w:vAlign w:val="center"/>
          </w:tcPr>
          <w:p>
            <w:pPr>
              <w:pStyle w:val="24"/>
              <w:bidi w:val="0"/>
              <w:rPr>
                <w:rFonts w:hint="default"/>
                <w:lang w:val="en-US" w:eastAsia="zh-CN"/>
              </w:rPr>
            </w:pPr>
            <w:r>
              <w:rPr>
                <w:rFonts w:hint="eastAsia"/>
                <w:lang w:val="en-US" w:eastAsia="zh-CN"/>
              </w:rPr>
              <w:t>2022.04.19</w:t>
            </w:r>
            <w:r>
              <w:rPr>
                <w:rFonts w:hint="default"/>
                <w:lang w:val="en-US" w:eastAsia="zh-CN"/>
              </w:rPr>
              <w:t>～</w:t>
            </w:r>
            <w:r>
              <w:rPr>
                <w:rFonts w:hint="eastAsia"/>
                <w:lang w:val="en-US" w:eastAsia="zh-CN"/>
              </w:rPr>
              <w:t>2023.04.18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6" w:type="dxa"/>
          <w:trHeight w:val="442" w:hRule="atLeast"/>
          <w:jc w:val="center"/>
        </w:trPr>
        <w:tc>
          <w:tcPr>
            <w:tcW w:w="2142" w:type="dxa"/>
            <w:tcBorders>
              <w:tl2br w:val="nil"/>
              <w:tr2bl w:val="nil"/>
            </w:tcBorders>
            <w:shd w:val="clear" w:color="auto" w:fill="auto"/>
            <w:vAlign w:val="center"/>
          </w:tcPr>
          <w:p>
            <w:pPr>
              <w:pStyle w:val="24"/>
              <w:bidi w:val="0"/>
              <w:rPr>
                <w:rFonts w:hint="eastAsia"/>
                <w:lang w:val="en-US" w:eastAsia="zh-CN"/>
              </w:rPr>
            </w:pPr>
            <w:r>
              <w:rPr>
                <w:rFonts w:hint="default"/>
                <w:lang w:val="en-US" w:eastAsia="zh-CN"/>
              </w:rPr>
              <w:t>石油类</w:t>
            </w:r>
          </w:p>
        </w:tc>
        <w:tc>
          <w:tcPr>
            <w:tcW w:w="1779" w:type="dxa"/>
            <w:tcBorders>
              <w:tl2br w:val="nil"/>
              <w:tr2bl w:val="nil"/>
            </w:tcBorders>
            <w:shd w:val="clear" w:color="auto" w:fill="auto"/>
            <w:vAlign w:val="center"/>
          </w:tcPr>
          <w:p>
            <w:pPr>
              <w:pStyle w:val="24"/>
              <w:bidi w:val="0"/>
              <w:rPr>
                <w:rFonts w:hint="eastAsia"/>
                <w:lang w:val="en-US" w:eastAsia="zh-CN"/>
              </w:rPr>
            </w:pPr>
            <w:r>
              <w:rPr>
                <w:rFonts w:hint="eastAsia"/>
                <w:lang w:val="en-US" w:eastAsia="zh-CN"/>
              </w:rPr>
              <w:t>紫外可见分光光度计</w:t>
            </w:r>
          </w:p>
        </w:tc>
        <w:tc>
          <w:tcPr>
            <w:tcW w:w="1926" w:type="dxa"/>
            <w:gridSpan w:val="3"/>
            <w:tcBorders>
              <w:tl2br w:val="nil"/>
              <w:tr2bl w:val="nil"/>
            </w:tcBorders>
            <w:shd w:val="clear" w:color="auto" w:fill="auto"/>
            <w:vAlign w:val="center"/>
          </w:tcPr>
          <w:p>
            <w:pPr>
              <w:pStyle w:val="24"/>
              <w:bidi w:val="0"/>
              <w:rPr>
                <w:rFonts w:hint="eastAsia"/>
                <w:lang w:val="en-US" w:eastAsia="zh-CN"/>
              </w:rPr>
            </w:pPr>
            <w:r>
              <w:rPr>
                <w:rFonts w:hint="default"/>
                <w:lang w:val="en-US" w:eastAsia="zh-CN"/>
              </w:rPr>
              <w:t>UV-1800PC</w:t>
            </w:r>
          </w:p>
        </w:tc>
        <w:tc>
          <w:tcPr>
            <w:tcW w:w="1509" w:type="dxa"/>
            <w:tcBorders>
              <w:tl2br w:val="nil"/>
              <w:tr2bl w:val="nil"/>
            </w:tcBorders>
            <w:shd w:val="clear" w:color="auto" w:fill="auto"/>
            <w:vAlign w:val="center"/>
          </w:tcPr>
          <w:p>
            <w:pPr>
              <w:pStyle w:val="24"/>
              <w:bidi w:val="0"/>
              <w:rPr>
                <w:rFonts w:hint="eastAsia"/>
                <w:lang w:val="en-US" w:eastAsia="zh-CN"/>
              </w:rPr>
            </w:pPr>
            <w:r>
              <w:rPr>
                <w:rFonts w:hint="eastAsia"/>
                <w:lang w:val="en-US" w:eastAsia="zh-CN"/>
              </w:rPr>
              <w:t>CTP03012</w:t>
            </w:r>
          </w:p>
        </w:tc>
        <w:tc>
          <w:tcPr>
            <w:tcW w:w="2297" w:type="dxa"/>
            <w:gridSpan w:val="2"/>
            <w:tcBorders>
              <w:tl2br w:val="nil"/>
              <w:tr2bl w:val="nil"/>
            </w:tcBorders>
            <w:shd w:val="clear" w:color="auto" w:fill="auto"/>
            <w:vAlign w:val="center"/>
          </w:tcPr>
          <w:p>
            <w:pPr>
              <w:pStyle w:val="24"/>
              <w:bidi w:val="0"/>
              <w:rPr>
                <w:rFonts w:hint="eastAsia"/>
                <w:lang w:val="en-US" w:eastAsia="zh-CN"/>
              </w:rPr>
            </w:pPr>
            <w:r>
              <w:rPr>
                <w:rFonts w:hint="eastAsia"/>
                <w:lang w:val="en-US" w:eastAsia="zh-CN"/>
              </w:rPr>
              <w:t>2022.04.19</w:t>
            </w:r>
            <w:r>
              <w:rPr>
                <w:rFonts w:hint="default"/>
                <w:lang w:val="en-US" w:eastAsia="zh-CN"/>
              </w:rPr>
              <w:t>～</w:t>
            </w:r>
            <w:r>
              <w:rPr>
                <w:rFonts w:hint="eastAsia"/>
                <w:lang w:val="en-US" w:eastAsia="zh-CN"/>
              </w:rPr>
              <w:t>2023.04.18</w:t>
            </w:r>
          </w:p>
        </w:tc>
      </w:tr>
    </w:tbl>
    <w:p>
      <w:pPr>
        <w:pStyle w:val="17"/>
      </w:pPr>
      <w:bookmarkStart w:id="176" w:name="_Toc8830"/>
      <w:r>
        <w:t xml:space="preserve">8.3 </w:t>
      </w:r>
      <w:r>
        <w:rPr>
          <w:rFonts w:hint="eastAsia"/>
        </w:rPr>
        <w:t>检测人员持证上岗</w:t>
      </w:r>
      <w:bookmarkEnd w:id="176"/>
    </w:p>
    <w:p>
      <w:pPr>
        <w:pStyle w:val="19"/>
        <w:ind w:firstLine="480"/>
      </w:pPr>
      <w:r>
        <w:rPr>
          <w:rFonts w:hint="eastAsia"/>
        </w:rPr>
        <w:t>参加本次检测的人员，均持有承担相应检测项目的上岗证，并在有效期内，</w:t>
      </w:r>
      <w:r>
        <w:t>详见表8.3.1</w:t>
      </w:r>
      <w:r>
        <w:rPr>
          <w:rFonts w:hint="eastAsia"/>
        </w:rPr>
        <w:t>。</w:t>
      </w:r>
    </w:p>
    <w:p>
      <w:pPr>
        <w:pStyle w:val="23"/>
        <w:rPr>
          <w:lang w:val="zh-CN"/>
        </w:rPr>
      </w:pPr>
      <w:r>
        <w:rPr>
          <w:rFonts w:hint="eastAsia"/>
          <w:lang w:val="zh-CN"/>
        </w:rPr>
        <w:t>表</w:t>
      </w:r>
      <w:r>
        <w:t>8.</w:t>
      </w:r>
      <w:r>
        <w:rPr>
          <w:rFonts w:hint="eastAsia"/>
          <w:lang w:val="en-US" w:eastAsia="zh-CN"/>
        </w:rPr>
        <w:t>3</w:t>
      </w:r>
      <w:r>
        <w:t xml:space="preserve">.1 </w:t>
      </w:r>
      <w:r>
        <w:rPr>
          <w:rFonts w:hint="eastAsia"/>
          <w:lang w:val="zh-CN"/>
        </w:rPr>
        <w:t>检测人员情况一览表</w:t>
      </w:r>
    </w:p>
    <w:tbl>
      <w:tblPr>
        <w:tblStyle w:val="14"/>
        <w:tblW w:w="966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93"/>
        <w:gridCol w:w="1252"/>
        <w:gridCol w:w="4084"/>
        <w:gridCol w:w="1378"/>
        <w:gridCol w:w="18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Ex>
        <w:trPr>
          <w:trHeight w:val="454" w:hRule="atLeast"/>
          <w:tblHeader/>
          <w:jc w:val="center"/>
        </w:trPr>
        <w:tc>
          <w:tcPr>
            <w:tcW w:w="1093"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序号</w:t>
            </w:r>
          </w:p>
        </w:tc>
        <w:tc>
          <w:tcPr>
            <w:tcW w:w="1252"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姓名</w:t>
            </w:r>
          </w:p>
        </w:tc>
        <w:tc>
          <w:tcPr>
            <w:tcW w:w="408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承担项目</w:t>
            </w:r>
          </w:p>
        </w:tc>
        <w:tc>
          <w:tcPr>
            <w:tcW w:w="1378"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证书编号</w:t>
            </w:r>
          </w:p>
        </w:tc>
        <w:tc>
          <w:tcPr>
            <w:tcW w:w="1854"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有效期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1</w:t>
            </w:r>
          </w:p>
        </w:tc>
        <w:tc>
          <w:tcPr>
            <w:tcW w:w="1252"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陈嘉铭</w:t>
            </w:r>
          </w:p>
        </w:tc>
        <w:tc>
          <w:tcPr>
            <w:tcW w:w="4084"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采样：地下水、检测pH、土壤、</w:t>
            </w:r>
            <w:r>
              <w:rPr>
                <w:rFonts w:hint="eastAsia" w:ascii="Times New Roman" w:hAnsi="Times New Roman" w:eastAsia="宋体" w:cs="Times New Roman"/>
                <w:bCs w:val="0"/>
                <w:color w:val="auto"/>
                <w:kern w:val="2"/>
                <w:sz w:val="18"/>
                <w:szCs w:val="18"/>
                <w:highlight w:val="none"/>
                <w:lang w:val="en-US" w:eastAsia="zh-CN"/>
              </w:rPr>
              <w:t>固定源、无组织、环境空气、臭气浓度</w:t>
            </w:r>
            <w:r>
              <w:rPr>
                <w:rFonts w:hint="eastAsia" w:cs="Times New Roman"/>
                <w:bCs w:val="0"/>
                <w:color w:val="auto"/>
                <w:kern w:val="2"/>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水温</w:t>
            </w:r>
            <w:r>
              <w:rPr>
                <w:rFonts w:hint="eastAsia" w:cs="Times New Roman"/>
                <w:color w:val="auto"/>
                <w:sz w:val="18"/>
                <w:szCs w:val="18"/>
                <w:highlight w:val="none"/>
                <w:lang w:val="en-US" w:eastAsia="zh-CN"/>
              </w:rPr>
              <w:t>、海水、海洋沉积物</w:t>
            </w:r>
          </w:p>
        </w:tc>
        <w:tc>
          <w:tcPr>
            <w:tcW w:w="1378"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CY017</w:t>
            </w:r>
          </w:p>
        </w:tc>
        <w:tc>
          <w:tcPr>
            <w:tcW w:w="185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2024</w:t>
            </w:r>
            <w:r>
              <w:rPr>
                <w:rFonts w:hint="eastAsia"/>
                <w:lang w:val="en-US" w:eastAsia="zh-CN"/>
              </w:rPr>
              <w:t>.0</w:t>
            </w:r>
            <w:r>
              <w:rPr>
                <w:rFonts w:hint="default"/>
                <w:lang w:val="en-US" w:eastAsia="zh-CN"/>
              </w:rPr>
              <w:t>3</w:t>
            </w:r>
            <w:r>
              <w:rPr>
                <w:rFonts w:hint="eastAsia"/>
                <w:lang w:val="en-US" w:eastAsia="zh-CN"/>
              </w:rPr>
              <w:t>.</w:t>
            </w:r>
            <w:r>
              <w:rPr>
                <w:rFonts w:hint="default"/>
                <w:lang w:val="en-US" w:eastAsia="zh-CN"/>
              </w:rPr>
              <w:t>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2</w:t>
            </w:r>
          </w:p>
        </w:tc>
        <w:tc>
          <w:tcPr>
            <w:tcW w:w="1252" w:type="dxa"/>
            <w:tcBorders>
              <w:tl2br w:val="nil"/>
              <w:tr2bl w:val="nil"/>
            </w:tcBorders>
            <w:shd w:val="clear" w:color="auto" w:fill="auto"/>
            <w:noWrap w:val="0"/>
            <w:vAlign w:val="center"/>
          </w:tcPr>
          <w:p>
            <w:pPr>
              <w:pStyle w:val="24"/>
              <w:bidi w:val="0"/>
              <w:jc w:val="center"/>
              <w:rPr>
                <w:rFonts w:hint="eastAsia"/>
                <w:lang w:val="en-US" w:eastAsia="zh-CN"/>
              </w:rPr>
            </w:pPr>
            <w:r>
              <w:rPr>
                <w:rFonts w:hint="eastAsia"/>
                <w:lang w:val="en-US" w:eastAsia="zh-CN"/>
              </w:rPr>
              <w:t>陈汉</w:t>
            </w:r>
          </w:p>
        </w:tc>
        <w:tc>
          <w:tcPr>
            <w:tcW w:w="4084" w:type="dxa"/>
            <w:tcBorders>
              <w:tl2br w:val="nil"/>
              <w:tr2bl w:val="nil"/>
            </w:tcBorders>
            <w:shd w:val="clear" w:color="auto" w:fill="auto"/>
            <w:noWrap w:val="0"/>
            <w:vAlign w:val="center"/>
          </w:tcPr>
          <w:p>
            <w:pPr>
              <w:pStyle w:val="24"/>
              <w:bidi w:val="0"/>
              <w:jc w:val="center"/>
              <w:rPr>
                <w:rFonts w:hint="eastAsia"/>
                <w:lang w:val="en-US" w:eastAsia="zh-CN"/>
              </w:rPr>
            </w:pPr>
            <w:r>
              <w:rPr>
                <w:rFonts w:hint="eastAsia"/>
                <w:lang w:val="en-US" w:eastAsia="zh-CN"/>
              </w:rPr>
              <w:t>采样：地下水、检测pH、土壤、</w:t>
            </w:r>
            <w:r>
              <w:rPr>
                <w:rFonts w:hint="eastAsia" w:ascii="Times New Roman" w:hAnsi="Times New Roman" w:eastAsia="宋体" w:cs="Times New Roman"/>
                <w:bCs w:val="0"/>
                <w:color w:val="auto"/>
                <w:kern w:val="2"/>
                <w:sz w:val="18"/>
                <w:szCs w:val="18"/>
                <w:highlight w:val="none"/>
                <w:lang w:val="en-US" w:eastAsia="zh-CN"/>
              </w:rPr>
              <w:t>固定源、无组织、环境空气、臭气浓度</w:t>
            </w:r>
          </w:p>
        </w:tc>
        <w:tc>
          <w:tcPr>
            <w:tcW w:w="1378"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CY130</w:t>
            </w:r>
          </w:p>
        </w:tc>
        <w:tc>
          <w:tcPr>
            <w:tcW w:w="185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.0</w:t>
            </w:r>
            <w:r>
              <w:rPr>
                <w:rFonts w:hint="default"/>
                <w:lang w:val="en-US" w:eastAsia="zh-CN"/>
              </w:rPr>
              <w:t>1</w:t>
            </w:r>
            <w:r>
              <w:rPr>
                <w:rFonts w:hint="eastAsia"/>
                <w:lang w:val="en-US" w:eastAsia="zh-CN"/>
              </w:rPr>
              <w:t>.0</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1093"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3</w:t>
            </w:r>
          </w:p>
        </w:tc>
        <w:tc>
          <w:tcPr>
            <w:tcW w:w="1252" w:type="dxa"/>
            <w:tcBorders>
              <w:tl2br w:val="nil"/>
              <w:tr2bl w:val="nil"/>
            </w:tcBorders>
            <w:shd w:val="clear" w:color="auto" w:fill="auto"/>
            <w:noWrap w:val="0"/>
            <w:vAlign w:val="center"/>
          </w:tcPr>
          <w:p>
            <w:pPr>
              <w:pStyle w:val="24"/>
              <w:bidi w:val="0"/>
              <w:jc w:val="center"/>
              <w:rPr>
                <w:rFonts w:hint="eastAsia"/>
                <w:lang w:val="en-US" w:eastAsia="zh-CN"/>
              </w:rPr>
            </w:pPr>
            <w:r>
              <w:rPr>
                <w:rFonts w:hint="eastAsia"/>
                <w:lang w:val="en-US" w:eastAsia="zh-CN"/>
              </w:rPr>
              <w:t>方凌鸿</w:t>
            </w:r>
          </w:p>
        </w:tc>
        <w:tc>
          <w:tcPr>
            <w:tcW w:w="4084" w:type="dxa"/>
            <w:tcBorders>
              <w:tl2br w:val="nil"/>
              <w:tr2bl w:val="nil"/>
            </w:tcBorders>
            <w:shd w:val="clear" w:color="auto" w:fill="auto"/>
            <w:noWrap w:val="0"/>
            <w:vAlign w:val="center"/>
          </w:tcPr>
          <w:p>
            <w:pPr>
              <w:pStyle w:val="24"/>
              <w:bidi w:val="0"/>
              <w:jc w:val="center"/>
              <w:rPr>
                <w:rFonts w:hint="eastAsia"/>
                <w:lang w:val="en-US" w:eastAsia="zh-CN"/>
              </w:rPr>
            </w:pPr>
            <w:r>
              <w:rPr>
                <w:rFonts w:hint="eastAsia"/>
                <w:lang w:val="en-US" w:eastAsia="zh-CN"/>
              </w:rPr>
              <w:t>采样：地下水、检测pH、土壤、</w:t>
            </w:r>
            <w:r>
              <w:rPr>
                <w:rFonts w:hint="eastAsia" w:ascii="Times New Roman" w:hAnsi="Times New Roman" w:eastAsia="宋体" w:cs="Times New Roman"/>
                <w:bCs w:val="0"/>
                <w:color w:val="auto"/>
                <w:kern w:val="2"/>
                <w:sz w:val="18"/>
                <w:szCs w:val="18"/>
                <w:highlight w:val="none"/>
                <w:lang w:val="en-US" w:eastAsia="zh-CN"/>
              </w:rPr>
              <w:t>固定源、无组织、环境空气、臭气浓度</w:t>
            </w:r>
            <w:r>
              <w:rPr>
                <w:rFonts w:hint="eastAsia" w:cs="Times New Roman"/>
                <w:bCs w:val="0"/>
                <w:color w:val="auto"/>
                <w:kern w:val="2"/>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水温</w:t>
            </w:r>
            <w:r>
              <w:rPr>
                <w:rFonts w:hint="eastAsia" w:cs="Times New Roman"/>
                <w:color w:val="auto"/>
                <w:sz w:val="18"/>
                <w:szCs w:val="18"/>
                <w:highlight w:val="none"/>
                <w:lang w:val="en-US" w:eastAsia="zh-CN"/>
              </w:rPr>
              <w:t>、海水、海洋沉积物</w:t>
            </w:r>
          </w:p>
        </w:tc>
        <w:tc>
          <w:tcPr>
            <w:tcW w:w="1378"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CY160</w:t>
            </w:r>
          </w:p>
        </w:tc>
        <w:tc>
          <w:tcPr>
            <w:tcW w:w="185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w:t>
            </w:r>
            <w:r>
              <w:rPr>
                <w:rFonts w:hint="default"/>
                <w:lang w:val="en-US" w:eastAsia="zh-CN"/>
              </w:rPr>
              <w:t>10</w:t>
            </w:r>
            <w:r>
              <w:rPr>
                <w:rFonts w:hint="eastAsia"/>
                <w:lang w:val="en-US" w:eastAsia="zh-CN"/>
              </w:rPr>
              <w:t>.</w:t>
            </w:r>
            <w:r>
              <w:rPr>
                <w:rFonts w:hint="default"/>
                <w:lang w:val="en-US" w:eastAsia="zh-CN"/>
              </w:rPr>
              <w:t>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1093" w:type="dxa"/>
            <w:tcBorders>
              <w:tl2br w:val="nil"/>
              <w:tr2bl w:val="nil"/>
            </w:tcBorders>
            <w:shd w:val="clear" w:color="auto" w:fill="auto"/>
            <w:noWrap w:val="0"/>
            <w:vAlign w:val="center"/>
          </w:tcPr>
          <w:p>
            <w:pPr>
              <w:pStyle w:val="24"/>
              <w:bidi w:val="0"/>
              <w:jc w:val="center"/>
              <w:rPr>
                <w:rFonts w:hint="eastAsia"/>
                <w:lang w:val="en-US" w:eastAsia="zh-CN"/>
              </w:rPr>
            </w:pPr>
            <w:r>
              <w:rPr>
                <w:rFonts w:hint="eastAsia"/>
                <w:lang w:val="en-US" w:eastAsia="zh-CN"/>
              </w:rPr>
              <w:t>4</w:t>
            </w:r>
          </w:p>
        </w:tc>
        <w:tc>
          <w:tcPr>
            <w:tcW w:w="1252" w:type="dxa"/>
            <w:tcBorders>
              <w:tl2br w:val="nil"/>
              <w:tr2bl w:val="nil"/>
            </w:tcBorders>
            <w:shd w:val="clear" w:color="auto" w:fill="auto"/>
            <w:noWrap w:val="0"/>
            <w:vAlign w:val="center"/>
          </w:tcPr>
          <w:p>
            <w:pPr>
              <w:pStyle w:val="24"/>
              <w:bidi w:val="0"/>
              <w:jc w:val="center"/>
              <w:rPr>
                <w:rFonts w:hint="eastAsia"/>
                <w:lang w:val="en-US" w:eastAsia="zh-CN"/>
              </w:rPr>
            </w:pPr>
            <w:r>
              <w:rPr>
                <w:rFonts w:hint="eastAsia"/>
                <w:lang w:val="en-US" w:eastAsia="zh-CN"/>
              </w:rPr>
              <w:t>郑祁镇</w:t>
            </w:r>
          </w:p>
        </w:tc>
        <w:tc>
          <w:tcPr>
            <w:tcW w:w="4084" w:type="dxa"/>
            <w:tcBorders>
              <w:tl2br w:val="nil"/>
              <w:tr2bl w:val="nil"/>
            </w:tcBorders>
            <w:shd w:val="clear" w:color="auto" w:fill="auto"/>
            <w:noWrap w:val="0"/>
            <w:vAlign w:val="center"/>
          </w:tcPr>
          <w:p>
            <w:pPr>
              <w:pStyle w:val="24"/>
              <w:bidi w:val="0"/>
              <w:jc w:val="center"/>
              <w:rPr>
                <w:rFonts w:hint="eastAsia"/>
                <w:lang w:val="en-US" w:eastAsia="zh-CN"/>
              </w:rPr>
            </w:pPr>
            <w:r>
              <w:rPr>
                <w:rFonts w:hint="eastAsia"/>
                <w:lang w:val="en-US" w:eastAsia="zh-CN"/>
              </w:rPr>
              <w:t>采样：地下水、检测pH、土壤、</w:t>
            </w:r>
            <w:r>
              <w:rPr>
                <w:rFonts w:hint="eastAsia" w:ascii="Times New Roman" w:hAnsi="Times New Roman" w:eastAsia="宋体" w:cs="Times New Roman"/>
                <w:bCs w:val="0"/>
                <w:color w:val="auto"/>
                <w:kern w:val="2"/>
                <w:sz w:val="18"/>
                <w:szCs w:val="18"/>
                <w:highlight w:val="none"/>
                <w:lang w:val="en-US" w:eastAsia="zh-CN"/>
              </w:rPr>
              <w:t>固定源、无组织、环境空气、臭气浓度</w:t>
            </w:r>
            <w:r>
              <w:rPr>
                <w:rFonts w:hint="eastAsia" w:cs="Times New Roman"/>
                <w:bCs w:val="0"/>
                <w:color w:val="auto"/>
                <w:kern w:val="2"/>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水温</w:t>
            </w:r>
            <w:r>
              <w:rPr>
                <w:rFonts w:hint="eastAsia" w:cs="Times New Roman"/>
                <w:color w:val="auto"/>
                <w:sz w:val="18"/>
                <w:szCs w:val="18"/>
                <w:highlight w:val="none"/>
                <w:lang w:val="en-US" w:eastAsia="zh-CN"/>
              </w:rPr>
              <w:t>、海水、海洋沉积物</w:t>
            </w:r>
          </w:p>
        </w:tc>
        <w:tc>
          <w:tcPr>
            <w:tcW w:w="1378"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CY</w:t>
            </w:r>
            <w:r>
              <w:rPr>
                <w:rFonts w:hint="eastAsia"/>
                <w:lang w:val="en-US" w:eastAsia="zh-CN"/>
              </w:rPr>
              <w:t>187</w:t>
            </w:r>
          </w:p>
        </w:tc>
        <w:tc>
          <w:tcPr>
            <w:tcW w:w="1854"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2026.4.13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5</w:t>
            </w:r>
          </w:p>
        </w:tc>
        <w:tc>
          <w:tcPr>
            <w:tcW w:w="1252" w:type="dxa"/>
            <w:tcBorders>
              <w:tl2br w:val="nil"/>
              <w:tr2bl w:val="nil"/>
            </w:tcBorders>
            <w:shd w:val="clear" w:color="auto" w:fill="auto"/>
            <w:noWrap w:val="0"/>
            <w:vAlign w:val="center"/>
          </w:tcPr>
          <w:p>
            <w:pPr>
              <w:pStyle w:val="24"/>
              <w:bidi w:val="0"/>
              <w:jc w:val="center"/>
              <w:rPr>
                <w:rFonts w:hint="default"/>
                <w:lang w:val="en-US" w:eastAsia="zh-CN"/>
              </w:rPr>
            </w:pPr>
            <w:r>
              <w:rPr>
                <w:rFonts w:hint="eastAsia"/>
                <w:lang w:val="en-US" w:eastAsia="zh-CN"/>
              </w:rPr>
              <w:t>林思宁</w:t>
            </w:r>
          </w:p>
        </w:tc>
        <w:tc>
          <w:tcPr>
            <w:tcW w:w="408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土壤pH</w:t>
            </w:r>
          </w:p>
        </w:tc>
        <w:tc>
          <w:tcPr>
            <w:tcW w:w="1378"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JC034</w:t>
            </w:r>
          </w:p>
        </w:tc>
        <w:tc>
          <w:tcPr>
            <w:tcW w:w="1854" w:type="dxa"/>
            <w:tcBorders>
              <w:tl2br w:val="nil"/>
              <w:tr2bl w:val="nil"/>
            </w:tcBorders>
            <w:shd w:val="clear" w:color="auto" w:fill="auto"/>
            <w:noWrap w:val="0"/>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w:t>
            </w:r>
            <w:r>
              <w:rPr>
                <w:rFonts w:hint="default"/>
                <w:lang w:val="en-US" w:eastAsia="zh-CN"/>
              </w:rPr>
              <w:t>10</w:t>
            </w:r>
            <w:r>
              <w:rPr>
                <w:rFonts w:hint="eastAsia"/>
                <w:lang w:val="en-US" w:eastAsia="zh-CN"/>
              </w:rPr>
              <w:t>.0</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6</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李晓慧</w:t>
            </w:r>
          </w:p>
        </w:tc>
        <w:tc>
          <w:tcPr>
            <w:tcW w:w="4084" w:type="dxa"/>
            <w:tcBorders>
              <w:tl2br w:val="nil"/>
              <w:tr2bl w:val="nil"/>
            </w:tcBorders>
            <w:shd w:val="clear" w:color="auto" w:fill="auto"/>
            <w:vAlign w:val="center"/>
          </w:tcPr>
          <w:p>
            <w:pPr>
              <w:pStyle w:val="24"/>
              <w:bidi w:val="0"/>
              <w:jc w:val="center"/>
              <w:rPr>
                <w:rFonts w:hint="eastAsia" w:eastAsia="宋体"/>
                <w:lang w:val="en-US" w:eastAsia="zh-CN"/>
              </w:rPr>
            </w:pPr>
            <w:r>
              <w:rPr>
                <w:rFonts w:hint="default"/>
                <w:lang w:val="en-US" w:eastAsia="zh-CN"/>
              </w:rPr>
              <w:t>实验：</w:t>
            </w:r>
            <w:r>
              <w:rPr>
                <w:rFonts w:hint="eastAsia"/>
                <w:lang w:val="en-US" w:eastAsia="zh-CN"/>
              </w:rPr>
              <w:t>土壤</w:t>
            </w:r>
            <w:r>
              <w:rPr>
                <w:rFonts w:hint="default"/>
              </w:rPr>
              <w:t>铜</w:t>
            </w:r>
            <w:r>
              <w:rPr>
                <w:rFonts w:hint="eastAsia"/>
                <w:lang w:val="en-US" w:eastAsia="zh-CN"/>
              </w:rPr>
              <w:t>、</w:t>
            </w:r>
            <w:r>
              <w:rPr>
                <w:rFonts w:hint="default"/>
              </w:rPr>
              <w:t>铅</w:t>
            </w:r>
            <w:r>
              <w:rPr>
                <w:rFonts w:hint="eastAsia"/>
                <w:lang w:val="en-US" w:eastAsia="zh-CN"/>
              </w:rPr>
              <w:t>、</w:t>
            </w:r>
            <w:r>
              <w:rPr>
                <w:rFonts w:hint="default"/>
              </w:rPr>
              <w:t>镍</w:t>
            </w:r>
            <w:r>
              <w:rPr>
                <w:rFonts w:hint="eastAsia"/>
                <w:lang w:val="en-US" w:eastAsia="zh-CN"/>
              </w:rPr>
              <w:t>、</w:t>
            </w:r>
            <w:r>
              <w:rPr>
                <w:rFonts w:hint="default"/>
              </w:rPr>
              <w:t>镉</w:t>
            </w:r>
            <w:r>
              <w:rPr>
                <w:rFonts w:hint="eastAsia"/>
                <w:lang w:eastAsia="zh-CN"/>
              </w:rPr>
              <w:t>、</w:t>
            </w:r>
            <w:r>
              <w:rPr>
                <w:rFonts w:hint="eastAsia" w:cs="Times New Roman"/>
                <w:color w:val="auto"/>
                <w:sz w:val="18"/>
                <w:szCs w:val="18"/>
                <w:highlight w:val="none"/>
                <w:lang w:val="en-US" w:eastAsia="zh-CN"/>
              </w:rPr>
              <w:t>海水（</w:t>
            </w:r>
            <w:r>
              <w:rPr>
                <w:rFonts w:hint="eastAsia" w:ascii="Times New Roman" w:hAnsi="Times New Roman" w:eastAsia="宋体" w:cs="Times New Roman"/>
                <w:color w:val="auto"/>
                <w:sz w:val="18"/>
                <w:szCs w:val="18"/>
                <w:lang w:val="en-US" w:eastAsia="zh-CN"/>
              </w:rPr>
              <w:t>铅、镉）</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JC103</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w:t>
            </w:r>
            <w:r>
              <w:rPr>
                <w:rFonts w:hint="default"/>
                <w:lang w:val="en-US" w:eastAsia="zh-CN"/>
              </w:rPr>
              <w:t>11</w:t>
            </w:r>
            <w:r>
              <w:rPr>
                <w:rFonts w:hint="eastAsia"/>
                <w:lang w:val="en-US" w:eastAsia="zh-CN"/>
              </w:rPr>
              <w:t>.</w:t>
            </w:r>
            <w:r>
              <w:rPr>
                <w:rFonts w:hint="default"/>
                <w:lang w:val="en-US" w:eastAsia="zh-CN"/>
              </w:rPr>
              <w:t>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7</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童月华</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土壤</w:t>
            </w:r>
            <w:r>
              <w:rPr>
                <w:rFonts w:hint="default"/>
                <w:lang w:val="en-US" w:eastAsia="zh-CN"/>
              </w:rPr>
              <w:t>铬（六价）</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JC029</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.0</w:t>
            </w:r>
            <w:r>
              <w:rPr>
                <w:rFonts w:hint="default"/>
                <w:lang w:val="en-US" w:eastAsia="zh-CN"/>
              </w:rPr>
              <w:t>1</w:t>
            </w:r>
            <w:r>
              <w:rPr>
                <w:rFonts w:hint="eastAsia"/>
                <w:lang w:val="en-US" w:eastAsia="zh-CN"/>
              </w:rPr>
              <w:t>.0</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8</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温巧敏</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土壤</w:t>
            </w:r>
            <w:r>
              <w:rPr>
                <w:rFonts w:hint="default"/>
                <w:lang w:val="en-US" w:eastAsia="zh-CN"/>
              </w:rPr>
              <w:t>汞</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JC054</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2024</w:t>
            </w:r>
            <w:r>
              <w:rPr>
                <w:rFonts w:hint="eastAsia"/>
                <w:lang w:val="en-US" w:eastAsia="zh-CN"/>
              </w:rPr>
              <w:t>.0</w:t>
            </w:r>
            <w:r>
              <w:rPr>
                <w:rFonts w:hint="default"/>
                <w:lang w:val="en-US" w:eastAsia="zh-CN"/>
              </w:rPr>
              <w:t>6</w:t>
            </w:r>
            <w:r>
              <w:rPr>
                <w:rFonts w:hint="eastAsia"/>
                <w:lang w:val="en-US" w:eastAsia="zh-CN"/>
              </w:rPr>
              <w:t>.0</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9</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黄海兵</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w:t>
            </w:r>
            <w:r>
              <w:rPr>
                <w:rFonts w:hint="default"/>
              </w:rPr>
              <w:t>砷</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JC046</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2023</w:t>
            </w:r>
            <w:r>
              <w:rPr>
                <w:rFonts w:hint="eastAsia"/>
                <w:lang w:val="en-US" w:eastAsia="zh-CN"/>
              </w:rPr>
              <w:t>.</w:t>
            </w:r>
            <w:r>
              <w:rPr>
                <w:rFonts w:hint="default"/>
                <w:lang w:val="en-US" w:eastAsia="zh-CN"/>
              </w:rPr>
              <w:t>8</w:t>
            </w:r>
            <w:r>
              <w:rPr>
                <w:rFonts w:hint="eastAsia"/>
                <w:lang w:val="en-US" w:eastAsia="zh-CN"/>
              </w:rPr>
              <w:t>.</w:t>
            </w:r>
            <w:r>
              <w:rPr>
                <w:rFonts w:hint="default"/>
                <w:lang w:val="en-US" w:eastAsia="zh-CN"/>
              </w:rPr>
              <w:t>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10</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徐彬</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土壤</w:t>
            </w:r>
            <w:r>
              <w:rPr>
                <w:rFonts w:hint="default"/>
                <w:lang w:val="en-US" w:eastAsia="zh-CN"/>
              </w:rPr>
              <w:t>石油烃（C</w:t>
            </w:r>
            <w:r>
              <w:rPr>
                <w:rFonts w:hint="default"/>
                <w:vertAlign w:val="subscript"/>
                <w:lang w:val="en-US" w:eastAsia="zh-CN"/>
              </w:rPr>
              <w:t>10</w:t>
            </w:r>
            <w:r>
              <w:rPr>
                <w:rFonts w:hint="default"/>
                <w:lang w:val="en-US" w:eastAsia="zh-CN"/>
              </w:rPr>
              <w:t>-C</w:t>
            </w:r>
            <w:r>
              <w:rPr>
                <w:rFonts w:hint="default"/>
                <w:vertAlign w:val="subscript"/>
                <w:lang w:val="en-US" w:eastAsia="zh-CN"/>
              </w:rPr>
              <w:t>40</w:t>
            </w:r>
            <w:r>
              <w:rPr>
                <w:rFonts w:hint="default"/>
                <w:lang w:val="en-US" w:eastAsia="zh-CN"/>
              </w:rPr>
              <w:t>）</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JC031</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2024</w:t>
            </w:r>
            <w:r>
              <w:rPr>
                <w:rFonts w:hint="eastAsia"/>
                <w:lang w:val="en-US" w:eastAsia="zh-CN"/>
              </w:rPr>
              <w:t>.0</w:t>
            </w:r>
            <w:r>
              <w:rPr>
                <w:rFonts w:hint="default"/>
                <w:lang w:val="en-US" w:eastAsia="zh-CN"/>
              </w:rPr>
              <w:t>6</w:t>
            </w:r>
            <w:r>
              <w:rPr>
                <w:rFonts w:hint="eastAsia"/>
                <w:lang w:val="en-US" w:eastAsia="zh-CN"/>
              </w:rPr>
              <w:t>.0</w:t>
            </w:r>
            <w:r>
              <w:rPr>
                <w:rFonts w:hint="default"/>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11</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刘珊</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土壤</w:t>
            </w:r>
            <w:r>
              <w:rPr>
                <w:rFonts w:hint="default"/>
                <w:lang w:val="en-US" w:eastAsia="zh-CN"/>
              </w:rPr>
              <w:t>石油烃（C</w:t>
            </w:r>
            <w:r>
              <w:rPr>
                <w:rFonts w:hint="default"/>
                <w:vertAlign w:val="subscript"/>
                <w:lang w:val="en-US" w:eastAsia="zh-CN"/>
              </w:rPr>
              <w:t>6</w:t>
            </w:r>
            <w:r>
              <w:rPr>
                <w:rFonts w:hint="default"/>
                <w:lang w:val="en-US" w:eastAsia="zh-CN"/>
              </w:rPr>
              <w:t>-C</w:t>
            </w:r>
            <w:r>
              <w:rPr>
                <w:rFonts w:hint="default"/>
                <w:vertAlign w:val="subscript"/>
                <w:lang w:val="en-US" w:eastAsia="zh-CN"/>
              </w:rPr>
              <w:t>9</w:t>
            </w:r>
            <w:r>
              <w:rPr>
                <w:rFonts w:hint="default"/>
                <w:lang w:val="en-US" w:eastAsia="zh-CN"/>
              </w:rPr>
              <w:t>）</w:t>
            </w:r>
            <w:r>
              <w:rPr>
                <w:rFonts w:hint="eastAsia"/>
                <w:lang w:val="en-US" w:eastAsia="zh-CN"/>
              </w:rPr>
              <w:t>、</w:t>
            </w:r>
            <w:r>
              <w:rPr>
                <w:rFonts w:hint="eastAsia" w:cs="Times New Roman"/>
                <w:color w:val="auto"/>
                <w:sz w:val="18"/>
                <w:szCs w:val="18"/>
                <w:highlight w:val="none"/>
                <w:lang w:val="en-US" w:eastAsia="zh-CN"/>
              </w:rPr>
              <w:t>海水（</w:t>
            </w:r>
            <w:r>
              <w:rPr>
                <w:rFonts w:hint="default" w:ascii="Times New Roman" w:hAnsi="Times New Roman" w:cs="Times New Roman"/>
                <w:bCs w:val="0"/>
                <w:kern w:val="2"/>
                <w:sz w:val="18"/>
                <w:szCs w:val="18"/>
                <w:lang w:val="en-US" w:eastAsia="zh-CN" w:bidi="ar-SA"/>
              </w:rPr>
              <w:t>苯</w:t>
            </w:r>
            <w:r>
              <w:rPr>
                <w:rFonts w:hint="eastAsia" w:ascii="Times New Roman" w:hAnsi="Times New Roman" w:cs="Times New Roman"/>
                <w:color w:val="auto"/>
                <w:sz w:val="18"/>
                <w:szCs w:val="18"/>
                <w:highlight w:val="none"/>
                <w:lang w:val="en-US" w:eastAsia="zh-CN"/>
              </w:rPr>
              <w:t>、</w:t>
            </w:r>
            <w:r>
              <w:rPr>
                <w:rFonts w:hint="default" w:ascii="Times New Roman" w:hAnsi="Times New Roman" w:eastAsia="宋体" w:cs="Times New Roman"/>
                <w:bCs/>
                <w:color w:val="auto"/>
                <w:kern w:val="0"/>
                <w:sz w:val="18"/>
                <w:szCs w:val="18"/>
                <w:lang w:val="en-US" w:eastAsia="zh-CN"/>
              </w:rPr>
              <w:t>甲苯</w:t>
            </w:r>
            <w:r>
              <w:rPr>
                <w:rFonts w:hint="eastAsia" w:ascii="Times New Roman" w:hAnsi="Times New Roman" w:cs="Times New Roman"/>
                <w:bCs/>
                <w:color w:val="auto"/>
                <w:kern w:val="0"/>
                <w:sz w:val="18"/>
                <w:szCs w:val="18"/>
                <w:lang w:val="en-US" w:eastAsia="zh-CN" w:bidi="ar-SA"/>
              </w:rPr>
              <w:t>、</w:t>
            </w:r>
            <w:r>
              <w:rPr>
                <w:rFonts w:hint="default" w:ascii="Times New Roman" w:hAnsi="Times New Roman" w:eastAsia="宋体" w:cs="Times New Roman"/>
                <w:i w:val="0"/>
                <w:iCs w:val="0"/>
                <w:color w:val="000000"/>
                <w:kern w:val="0"/>
                <w:sz w:val="18"/>
                <w:szCs w:val="18"/>
                <w:u w:val="none"/>
                <w:lang w:val="en-US" w:eastAsia="zh-CN" w:bidi="ar"/>
              </w:rPr>
              <w:t>间，对-二甲苯</w:t>
            </w:r>
            <w:r>
              <w:rPr>
                <w:rFonts w:hint="eastAsia" w:ascii="Times New Roman" w:hAnsi="Times New Roman" w:cs="Times New Roman"/>
                <w:bCs/>
                <w:color w:val="auto"/>
                <w:kern w:val="0"/>
                <w:sz w:val="18"/>
                <w:szCs w:val="18"/>
                <w:lang w:val="en-US" w:eastAsia="zh-CN" w:bidi="ar-SA"/>
              </w:rPr>
              <w:t>、</w:t>
            </w:r>
            <w:r>
              <w:rPr>
                <w:rFonts w:hint="default" w:ascii="Times New Roman" w:hAnsi="Times New Roman" w:eastAsia="宋体" w:cs="Times New Roman"/>
                <w:i w:val="0"/>
                <w:iCs w:val="0"/>
                <w:color w:val="000000"/>
                <w:kern w:val="0"/>
                <w:sz w:val="18"/>
                <w:szCs w:val="18"/>
                <w:u w:val="none"/>
                <w:lang w:val="en-US" w:eastAsia="zh-CN" w:bidi="ar"/>
              </w:rPr>
              <w:t>邻-二甲苯</w:t>
            </w:r>
            <w:r>
              <w:rPr>
                <w:rFonts w:hint="eastAsia" w:ascii="Times New Roman" w:hAnsi="Times New Roman" w:cs="Times New Roman"/>
                <w:color w:val="auto"/>
                <w:kern w:val="2"/>
                <w:sz w:val="18"/>
                <w:szCs w:val="18"/>
                <w:lang w:val="en-US" w:eastAsia="zh-CN" w:bidi="ar-SA"/>
              </w:rPr>
              <w:t>、</w:t>
            </w:r>
            <w:r>
              <w:rPr>
                <w:rFonts w:hint="default" w:ascii="Times New Roman" w:hAnsi="Times New Roman" w:cs="Times New Roman"/>
                <w:sz w:val="18"/>
                <w:szCs w:val="18"/>
              </w:rPr>
              <w:t>苯乙烯</w:t>
            </w:r>
            <w:r>
              <w:rPr>
                <w:rFonts w:hint="eastAsia" w:cs="Times New Roman"/>
                <w:sz w:val="18"/>
                <w:szCs w:val="18"/>
                <w:lang w:eastAsia="zh-CN"/>
              </w:rPr>
              <w:t>）</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JC063</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2024</w:t>
            </w:r>
            <w:r>
              <w:rPr>
                <w:rFonts w:hint="eastAsia"/>
                <w:lang w:val="en-US" w:eastAsia="zh-CN"/>
              </w:rPr>
              <w:t>.0</w:t>
            </w:r>
            <w:r>
              <w:rPr>
                <w:rFonts w:hint="default"/>
                <w:lang w:val="en-US" w:eastAsia="zh-CN"/>
              </w:rPr>
              <w:t>6</w:t>
            </w:r>
            <w:r>
              <w:rPr>
                <w:rFonts w:hint="eastAsia"/>
                <w:lang w:val="en-US" w:eastAsia="zh-CN"/>
              </w:rPr>
              <w:t>.0</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12</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李金木</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土壤半挥发性有机物、</w:t>
            </w:r>
            <w:r>
              <w:rPr>
                <w:rFonts w:hint="eastAsia" w:ascii="Times New Roman" w:hAnsi="Times New Roman" w:eastAsia="宋体" w:cs="Times New Roman"/>
                <w:bCs w:val="0"/>
                <w:color w:val="auto"/>
                <w:kern w:val="2"/>
                <w:sz w:val="18"/>
                <w:szCs w:val="18"/>
                <w:highlight w:val="none"/>
                <w:lang w:val="en-US" w:eastAsia="zh-CN"/>
              </w:rPr>
              <w:t>非甲烷总烃（无组织、环境空气）、TVOC（环境空气）</w:t>
            </w:r>
            <w:r>
              <w:rPr>
                <w:rFonts w:hint="eastAsia"/>
                <w:lang w:eastAsia="zh-CN"/>
              </w:rPr>
              <w:t>，</w:t>
            </w:r>
            <w:r>
              <w:rPr>
                <w:rFonts w:hint="eastAsia" w:ascii="Times New Roman" w:hAnsi="Times New Roman" w:eastAsia="宋体" w:cs="Times New Roman"/>
                <w:bCs w:val="0"/>
                <w:color w:val="auto"/>
                <w:kern w:val="2"/>
                <w:sz w:val="18"/>
                <w:szCs w:val="18"/>
                <w:highlight w:val="none"/>
                <w:lang w:val="en-US" w:eastAsia="zh-CN"/>
              </w:rPr>
              <w:t>臭气浓度</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JC008</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2024</w:t>
            </w:r>
            <w:r>
              <w:rPr>
                <w:rFonts w:hint="eastAsia"/>
                <w:lang w:val="en-US" w:eastAsia="zh-CN"/>
              </w:rPr>
              <w:t>.</w:t>
            </w:r>
            <w:r>
              <w:rPr>
                <w:rFonts w:hint="default"/>
                <w:lang w:val="en-US" w:eastAsia="zh-CN"/>
              </w:rPr>
              <w:t>8</w:t>
            </w:r>
            <w:r>
              <w:rPr>
                <w:rFonts w:hint="eastAsia"/>
                <w:lang w:val="en-US" w:eastAsia="zh-CN"/>
              </w:rPr>
              <w:t>.</w:t>
            </w:r>
            <w:r>
              <w:rPr>
                <w:rFonts w:hint="default"/>
                <w:lang w:val="en-US" w:eastAsia="zh-CN"/>
              </w:rPr>
              <w:t>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13</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徐婷</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土壤挥发性有机物、地下水</w:t>
            </w:r>
            <w:r>
              <w:rPr>
                <w:rFonts w:hint="default"/>
              </w:rPr>
              <w:t>石油烃（C</w:t>
            </w:r>
            <w:r>
              <w:rPr>
                <w:rFonts w:hint="default"/>
                <w:vertAlign w:val="subscript"/>
              </w:rPr>
              <w:t>6</w:t>
            </w:r>
            <w:r>
              <w:rPr>
                <w:rFonts w:hint="default"/>
              </w:rPr>
              <w:t>-C</w:t>
            </w:r>
            <w:r>
              <w:rPr>
                <w:rFonts w:hint="default"/>
                <w:vertAlign w:val="subscript"/>
              </w:rPr>
              <w:t>9</w:t>
            </w:r>
            <w:r>
              <w:rPr>
                <w:rFonts w:hint="default"/>
              </w:rPr>
              <w:t>）</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JC022</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.0</w:t>
            </w:r>
            <w:r>
              <w:rPr>
                <w:rFonts w:hint="default"/>
                <w:lang w:val="en-US" w:eastAsia="zh-CN"/>
              </w:rPr>
              <w:t>1</w:t>
            </w:r>
            <w:r>
              <w:rPr>
                <w:rFonts w:hint="eastAsia"/>
                <w:lang w:val="en-US" w:eastAsia="zh-CN"/>
              </w:rPr>
              <w:t>.</w:t>
            </w:r>
            <w:r>
              <w:rPr>
                <w:rFonts w:hint="default"/>
                <w:lang w:val="en-US" w:eastAsia="zh-CN"/>
              </w:rPr>
              <w:t>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14</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林梦凡</w:t>
            </w:r>
          </w:p>
        </w:tc>
        <w:tc>
          <w:tcPr>
            <w:tcW w:w="4084" w:type="dxa"/>
            <w:tcBorders>
              <w:tl2br w:val="nil"/>
              <w:tr2bl w:val="nil"/>
            </w:tcBorders>
            <w:shd w:val="clear" w:color="auto" w:fill="auto"/>
            <w:vAlign w:val="center"/>
          </w:tcPr>
          <w:p>
            <w:pPr>
              <w:pStyle w:val="24"/>
              <w:bidi w:val="0"/>
              <w:jc w:val="center"/>
              <w:rPr>
                <w:rFonts w:hint="eastAsia"/>
                <w:lang w:val="en-US" w:eastAsia="zh-CN"/>
              </w:rPr>
            </w:pPr>
            <w:r>
              <w:rPr>
                <w:rFonts w:hint="default"/>
                <w:lang w:val="en-US" w:eastAsia="zh-CN"/>
              </w:rPr>
              <w:t>实验：</w:t>
            </w:r>
            <w:r>
              <w:rPr>
                <w:rFonts w:hint="eastAsia"/>
                <w:lang w:val="en-US" w:eastAsia="zh-CN"/>
              </w:rPr>
              <w:t>地下水</w:t>
            </w:r>
            <w:r>
              <w:rPr>
                <w:rFonts w:hint="default"/>
              </w:rPr>
              <w:t>总硬度(以CaCO</w:t>
            </w:r>
            <w:r>
              <w:rPr>
                <w:rFonts w:hint="default"/>
                <w:vertAlign w:val="subscript"/>
              </w:rPr>
              <w:t>3</w:t>
            </w:r>
            <w:r>
              <w:rPr>
                <w:rFonts w:hint="default"/>
              </w:rPr>
              <w:t>计）</w:t>
            </w:r>
            <w:r>
              <w:rPr>
                <w:rFonts w:hint="eastAsia"/>
                <w:lang w:eastAsia="zh-CN"/>
              </w:rPr>
              <w:t>、</w:t>
            </w:r>
            <w:r>
              <w:rPr>
                <w:rFonts w:hint="default"/>
                <w:lang w:val="en-US" w:eastAsia="zh-CN"/>
              </w:rPr>
              <w:t>溶解性总固体</w:t>
            </w:r>
            <w:r>
              <w:rPr>
                <w:rFonts w:hint="eastAsia"/>
                <w:lang w:val="en-US" w:eastAsia="zh-CN"/>
              </w:rPr>
              <w:t>、</w:t>
            </w:r>
            <w:r>
              <w:rPr>
                <w:rFonts w:hint="default"/>
                <w:lang w:val="en-US" w:eastAsia="zh-CN"/>
              </w:rPr>
              <w:t>石油类</w:t>
            </w:r>
            <w:r>
              <w:rPr>
                <w:rFonts w:hint="eastAsia"/>
                <w:lang w:val="en-US" w:eastAsia="zh-CN"/>
              </w:rPr>
              <w:t>、氰化物、</w:t>
            </w:r>
            <w:r>
              <w:rPr>
                <w:rFonts w:hint="eastAsia" w:cs="Times New Roman"/>
                <w:color w:val="auto"/>
                <w:sz w:val="18"/>
                <w:szCs w:val="18"/>
                <w:highlight w:val="none"/>
                <w:lang w:val="en-US" w:eastAsia="zh-CN"/>
              </w:rPr>
              <w:t>海水（氨氮、活性磷酸盐</w:t>
            </w:r>
            <w:r>
              <w:rPr>
                <w:rFonts w:hint="eastAsia" w:ascii="Times New Roman" w:hAnsi="Times New Roman" w:eastAsia="宋体" w:cs="Times New Roman"/>
                <w:color w:val="auto"/>
                <w:sz w:val="18"/>
                <w:szCs w:val="18"/>
                <w:lang w:val="en-US" w:eastAsia="zh-CN"/>
              </w:rPr>
              <w:t>）</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JC044</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w:t>
            </w:r>
            <w:r>
              <w:rPr>
                <w:rFonts w:hint="default"/>
                <w:lang w:val="en-US" w:eastAsia="zh-CN"/>
              </w:rPr>
              <w:t>10</w:t>
            </w:r>
            <w:r>
              <w:rPr>
                <w:rFonts w:hint="eastAsia"/>
                <w:lang w:val="en-US" w:eastAsia="zh-CN"/>
              </w:rPr>
              <w:t>.</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15</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陆秀丽</w:t>
            </w:r>
          </w:p>
        </w:tc>
        <w:tc>
          <w:tcPr>
            <w:tcW w:w="4084" w:type="dxa"/>
            <w:tcBorders>
              <w:tl2br w:val="nil"/>
              <w:tr2bl w:val="nil"/>
            </w:tcBorders>
            <w:shd w:val="clear" w:color="auto" w:fill="auto"/>
            <w:vAlign w:val="center"/>
          </w:tcPr>
          <w:p>
            <w:pPr>
              <w:pStyle w:val="24"/>
              <w:bidi w:val="0"/>
              <w:jc w:val="center"/>
              <w:rPr>
                <w:rFonts w:hint="default"/>
                <w:vertAlign w:val="baseline"/>
                <w:lang w:val="en-US" w:eastAsia="zh-CN"/>
              </w:rPr>
            </w:pPr>
            <w:r>
              <w:rPr>
                <w:rFonts w:hint="default"/>
                <w:lang w:val="en-US" w:eastAsia="zh-CN"/>
              </w:rPr>
              <w:t>实验：</w:t>
            </w:r>
            <w:r>
              <w:rPr>
                <w:rFonts w:hint="eastAsia"/>
                <w:lang w:val="en-US" w:eastAsia="zh-CN"/>
              </w:rPr>
              <w:t>地下水氯化物、</w:t>
            </w:r>
            <w:r>
              <w:rPr>
                <w:rFonts w:hint="default"/>
                <w:lang w:val="en-US" w:eastAsia="zh-CN"/>
              </w:rPr>
              <w:t>硫酸盐</w:t>
            </w:r>
            <w:r>
              <w:rPr>
                <w:rFonts w:hint="eastAsia"/>
                <w:lang w:val="en-US" w:eastAsia="zh-CN"/>
              </w:rPr>
              <w:t>、</w:t>
            </w:r>
            <w:r>
              <w:rPr>
                <w:rFonts w:hint="default"/>
                <w:lang w:eastAsia="zh-CN"/>
              </w:rPr>
              <w:t>CO</w:t>
            </w:r>
            <w:r>
              <w:rPr>
                <w:rFonts w:hint="default"/>
                <w:vertAlign w:val="subscript"/>
                <w:lang w:eastAsia="zh-CN"/>
              </w:rPr>
              <w:t>3</w:t>
            </w:r>
            <w:r>
              <w:rPr>
                <w:rFonts w:hint="default"/>
                <w:vertAlign w:val="superscript"/>
                <w:lang w:eastAsia="zh-CN"/>
              </w:rPr>
              <w:t>2-</w:t>
            </w:r>
            <w:r>
              <w:rPr>
                <w:rFonts w:hint="eastAsia"/>
                <w:lang w:eastAsia="zh-CN"/>
              </w:rPr>
              <w:t>、、</w:t>
            </w:r>
            <w:r>
              <w:rPr>
                <w:rFonts w:hint="default"/>
                <w:lang w:val="en-US" w:eastAsia="zh-CN"/>
              </w:rPr>
              <w:t>H</w:t>
            </w:r>
            <w:r>
              <w:rPr>
                <w:rFonts w:hint="default"/>
                <w:lang w:eastAsia="zh-CN"/>
              </w:rPr>
              <w:t>CO</w:t>
            </w:r>
            <w:r>
              <w:rPr>
                <w:rFonts w:hint="default"/>
                <w:vertAlign w:val="subscript"/>
                <w:lang w:eastAsia="zh-CN"/>
              </w:rPr>
              <w:t>3</w:t>
            </w:r>
            <w:r>
              <w:rPr>
                <w:rFonts w:hint="default"/>
                <w:vertAlign w:val="superscript"/>
                <w:lang w:eastAsia="zh-CN"/>
              </w:rPr>
              <w:t>-</w:t>
            </w:r>
            <w:r>
              <w:rPr>
                <w:rFonts w:hint="eastAsia"/>
                <w:vertAlign w:val="baseline"/>
                <w:lang w:eastAsia="zh-CN"/>
              </w:rPr>
              <w:t>、</w:t>
            </w:r>
            <w:r>
              <w:rPr>
                <w:rFonts w:hint="eastAsia" w:cs="Times New Roman"/>
                <w:color w:val="auto"/>
                <w:sz w:val="18"/>
                <w:szCs w:val="18"/>
                <w:highlight w:val="none"/>
                <w:lang w:val="en-US" w:eastAsia="zh-CN"/>
              </w:rPr>
              <w:t>海洋沉积物（</w:t>
            </w:r>
            <w:r>
              <w:rPr>
                <w:rFonts w:hint="default" w:ascii="Times New Roman" w:hAnsi="Times New Roman" w:eastAsia="宋体" w:cs="Times New Roman"/>
                <w:color w:val="auto"/>
                <w:sz w:val="18"/>
                <w:szCs w:val="18"/>
                <w:highlight w:val="none"/>
                <w:lang w:val="en-US" w:eastAsia="zh-CN"/>
              </w:rPr>
              <w:t>石油类</w:t>
            </w:r>
            <w:r>
              <w:rPr>
                <w:rFonts w:hint="eastAsia" w:cs="Times New Roman"/>
                <w:color w:val="auto"/>
                <w:sz w:val="18"/>
                <w:szCs w:val="18"/>
                <w:highlight w:val="none"/>
                <w:lang w:val="en-US" w:eastAsia="zh-CN"/>
              </w:rPr>
              <w:t>）</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JC037</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.0</w:t>
            </w:r>
            <w:r>
              <w:rPr>
                <w:rFonts w:hint="default"/>
                <w:lang w:val="en-US" w:eastAsia="zh-CN"/>
              </w:rPr>
              <w:t>9</w:t>
            </w:r>
            <w:r>
              <w:rPr>
                <w:rFonts w:hint="eastAsia"/>
                <w:lang w:val="en-US" w:eastAsia="zh-CN"/>
              </w:rPr>
              <w:t>.0</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16</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叶铭琼</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地下水</w:t>
            </w:r>
            <w:r>
              <w:rPr>
                <w:rFonts w:hint="default"/>
                <w:lang w:val="en-US" w:eastAsia="zh-CN"/>
              </w:rPr>
              <w:t>硝酸盐（以N计）</w:t>
            </w:r>
            <w:r>
              <w:rPr>
                <w:rFonts w:hint="eastAsia"/>
                <w:lang w:val="en-US" w:eastAsia="zh-CN"/>
              </w:rPr>
              <w:t>、</w:t>
            </w:r>
            <w:r>
              <w:rPr>
                <w:rFonts w:hint="default"/>
                <w:lang w:val="en-US" w:eastAsia="zh-CN"/>
              </w:rPr>
              <w:t>亚硝酸盐（以N计）</w:t>
            </w:r>
            <w:r>
              <w:rPr>
                <w:rFonts w:hint="eastAsia"/>
                <w:lang w:val="en-US" w:eastAsia="zh-CN"/>
              </w:rPr>
              <w:t>、</w:t>
            </w:r>
            <w:r>
              <w:rPr>
                <w:rFonts w:hint="default"/>
                <w:lang w:val="en-US" w:eastAsia="zh-CN"/>
              </w:rPr>
              <w:t>氨氮（以N计）</w:t>
            </w:r>
            <w:r>
              <w:rPr>
                <w:rFonts w:hint="eastAsia"/>
                <w:lang w:val="en-US" w:eastAsia="zh-CN"/>
              </w:rPr>
              <w:t>、</w:t>
            </w:r>
            <w:r>
              <w:rPr>
                <w:rFonts w:hint="default"/>
                <w:lang w:val="en-US" w:eastAsia="zh-CN"/>
              </w:rPr>
              <w:t>挥发性酚类（以苯酚计）</w:t>
            </w:r>
            <w:r>
              <w:rPr>
                <w:rFonts w:hint="eastAsia"/>
                <w:lang w:val="en-US" w:eastAsia="zh-CN"/>
              </w:rPr>
              <w:t>、</w:t>
            </w:r>
            <w:r>
              <w:rPr>
                <w:rFonts w:hint="eastAsia" w:cs="Times New Roman"/>
                <w:color w:val="auto"/>
                <w:sz w:val="18"/>
                <w:szCs w:val="18"/>
                <w:highlight w:val="none"/>
                <w:lang w:val="en-US" w:eastAsia="zh-CN"/>
              </w:rPr>
              <w:t>海水（</w:t>
            </w:r>
            <w:r>
              <w:rPr>
                <w:rFonts w:hint="eastAsia" w:ascii="Times New Roman" w:hAnsi="Times New Roman" w:eastAsia="宋体" w:cs="Times New Roman"/>
                <w:color w:val="auto"/>
                <w:sz w:val="18"/>
                <w:szCs w:val="18"/>
                <w:lang w:val="en-US" w:eastAsia="zh-CN"/>
              </w:rPr>
              <w:t>石油类、溶解氧）</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JC065</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2024</w:t>
            </w:r>
            <w:r>
              <w:rPr>
                <w:rFonts w:hint="eastAsia"/>
                <w:lang w:val="en-US" w:eastAsia="zh-CN"/>
              </w:rPr>
              <w:t>.</w:t>
            </w:r>
            <w:r>
              <w:rPr>
                <w:rFonts w:hint="default"/>
                <w:lang w:val="en-US" w:eastAsia="zh-CN"/>
              </w:rPr>
              <w:t>6</w:t>
            </w:r>
            <w:r>
              <w:rPr>
                <w:rFonts w:hint="eastAsia"/>
                <w:lang w:val="en-US" w:eastAsia="zh-CN"/>
              </w:rPr>
              <w:t>.</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17</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蔺雪健</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地下水</w:t>
            </w:r>
            <w:r>
              <w:rPr>
                <w:rFonts w:hint="default"/>
                <w:lang w:val="en-US" w:eastAsia="zh-CN"/>
              </w:rPr>
              <w:t>汞</w:t>
            </w:r>
            <w:r>
              <w:rPr>
                <w:rFonts w:hint="eastAsia"/>
                <w:lang w:val="en-US" w:eastAsia="zh-CN"/>
              </w:rPr>
              <w:t>、</w:t>
            </w:r>
            <w:r>
              <w:rPr>
                <w:rFonts w:hint="default"/>
                <w:lang w:val="en-US" w:eastAsia="zh-CN"/>
              </w:rPr>
              <w:t>铬（六价）</w:t>
            </w:r>
            <w:r>
              <w:rPr>
                <w:rFonts w:hint="eastAsia"/>
                <w:lang w:val="en-US" w:eastAsia="zh-CN"/>
              </w:rPr>
              <w:t>、</w:t>
            </w:r>
            <w:r>
              <w:rPr>
                <w:rFonts w:hint="default"/>
                <w:lang w:val="en-US" w:eastAsia="zh-CN"/>
              </w:rPr>
              <w:t>耗氧量（COD</w:t>
            </w:r>
            <w:r>
              <w:rPr>
                <w:rFonts w:hint="default"/>
                <w:vertAlign w:val="subscript"/>
                <w:lang w:val="en-US" w:eastAsia="zh-CN"/>
              </w:rPr>
              <w:t>Mn</w:t>
            </w:r>
            <w:r>
              <w:rPr>
                <w:rFonts w:hint="default"/>
                <w:lang w:val="en-US" w:eastAsia="zh-CN"/>
              </w:rPr>
              <w:t>法，以O</w:t>
            </w:r>
            <w:r>
              <w:rPr>
                <w:rFonts w:hint="default"/>
                <w:vertAlign w:val="subscript"/>
                <w:lang w:val="en-US" w:eastAsia="zh-CN"/>
              </w:rPr>
              <w:t>2</w:t>
            </w:r>
            <w:r>
              <w:rPr>
                <w:rFonts w:hint="default"/>
                <w:lang w:val="en-US" w:eastAsia="zh-CN"/>
              </w:rPr>
              <w:t>计）</w:t>
            </w:r>
            <w:r>
              <w:rPr>
                <w:rFonts w:hint="eastAsia"/>
                <w:lang w:val="en-US" w:eastAsia="zh-CN"/>
              </w:rPr>
              <w:t>、</w:t>
            </w:r>
            <w:r>
              <w:rPr>
                <w:rFonts w:hint="eastAsia" w:cs="Times New Roman"/>
                <w:color w:val="auto"/>
                <w:sz w:val="18"/>
                <w:szCs w:val="18"/>
                <w:highlight w:val="none"/>
                <w:lang w:val="en-US" w:eastAsia="zh-CN"/>
              </w:rPr>
              <w:t>海洋沉积物（汞）</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JC053</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2023</w:t>
            </w:r>
            <w:r>
              <w:rPr>
                <w:rFonts w:hint="eastAsia"/>
                <w:lang w:val="en-US" w:eastAsia="zh-CN"/>
              </w:rPr>
              <w:t>.</w:t>
            </w:r>
            <w:r>
              <w:rPr>
                <w:rFonts w:hint="default"/>
                <w:lang w:val="en-US" w:eastAsia="zh-CN"/>
              </w:rPr>
              <w:t>11</w:t>
            </w:r>
            <w:r>
              <w:rPr>
                <w:rFonts w:hint="eastAsia"/>
                <w:lang w:val="en-US" w:eastAsia="zh-CN"/>
              </w:rPr>
              <w:t>.</w:t>
            </w:r>
            <w:r>
              <w:rPr>
                <w:rFonts w:hint="default"/>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18</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张慧蓉</w:t>
            </w:r>
          </w:p>
        </w:tc>
        <w:tc>
          <w:tcPr>
            <w:tcW w:w="4084" w:type="dxa"/>
            <w:tcBorders>
              <w:tl2br w:val="nil"/>
              <w:tr2bl w:val="nil"/>
            </w:tcBorders>
            <w:shd w:val="clear" w:color="auto" w:fill="auto"/>
            <w:vAlign w:val="center"/>
          </w:tcPr>
          <w:p>
            <w:pPr>
              <w:pStyle w:val="24"/>
              <w:bidi w:val="0"/>
              <w:jc w:val="center"/>
              <w:rPr>
                <w:rFonts w:hint="eastAsia" w:eastAsia="宋体"/>
                <w:lang w:val="en-US" w:eastAsia="zh-CN"/>
              </w:rPr>
            </w:pPr>
            <w:r>
              <w:rPr>
                <w:rFonts w:hint="default"/>
                <w:lang w:val="en-US" w:eastAsia="zh-CN"/>
              </w:rPr>
              <w:t>实验：</w:t>
            </w:r>
            <w:r>
              <w:rPr>
                <w:rFonts w:hint="eastAsia"/>
                <w:lang w:val="en-US" w:eastAsia="zh-CN"/>
              </w:rPr>
              <w:t>地下水</w:t>
            </w:r>
            <w:r>
              <w:rPr>
                <w:rFonts w:hint="default"/>
                <w:lang w:val="en-US" w:eastAsia="zh-CN"/>
              </w:rPr>
              <w:t>苯</w:t>
            </w:r>
            <w:r>
              <w:rPr>
                <w:rFonts w:hint="eastAsia"/>
                <w:lang w:val="en-US" w:eastAsia="zh-CN"/>
              </w:rPr>
              <w:t>、</w:t>
            </w:r>
            <w:r>
              <w:rPr>
                <w:rFonts w:hint="default"/>
                <w:lang w:val="en-US" w:eastAsia="zh-CN"/>
              </w:rPr>
              <w:t>甲苯</w:t>
            </w:r>
            <w:r>
              <w:rPr>
                <w:rFonts w:hint="eastAsia"/>
                <w:lang w:val="en-US" w:eastAsia="zh-CN"/>
              </w:rPr>
              <w:t>、</w:t>
            </w:r>
            <w:r>
              <w:rPr>
                <w:rFonts w:hint="default"/>
                <w:lang w:val="en-US" w:eastAsia="zh-CN"/>
              </w:rPr>
              <w:t>间，对-二甲苯</w:t>
            </w:r>
            <w:r>
              <w:rPr>
                <w:rFonts w:hint="eastAsia"/>
                <w:lang w:val="en-US" w:eastAsia="zh-CN"/>
              </w:rPr>
              <w:t>、</w:t>
            </w:r>
            <w:r>
              <w:rPr>
                <w:rFonts w:hint="default"/>
                <w:lang w:val="en-US" w:eastAsia="zh-CN"/>
              </w:rPr>
              <w:t>邻-二甲苯</w:t>
            </w:r>
            <w:r>
              <w:rPr>
                <w:rFonts w:hint="eastAsia"/>
                <w:lang w:val="en-US" w:eastAsia="zh-CN"/>
              </w:rPr>
              <w:t>、</w:t>
            </w:r>
            <w:r>
              <w:rPr>
                <w:rFonts w:hint="default"/>
              </w:rPr>
              <w:t>苯乙烯</w:t>
            </w:r>
            <w:r>
              <w:rPr>
                <w:rFonts w:hint="eastAsia"/>
                <w:lang w:eastAsia="zh-CN"/>
              </w:rPr>
              <w:t>，</w:t>
            </w:r>
            <w:r>
              <w:rPr>
                <w:rFonts w:hint="eastAsia" w:ascii="Times New Roman" w:hAnsi="Times New Roman" w:eastAsia="宋体" w:cs="Times New Roman"/>
                <w:bCs w:val="0"/>
                <w:color w:val="auto"/>
                <w:kern w:val="2"/>
                <w:sz w:val="18"/>
                <w:szCs w:val="18"/>
                <w:highlight w:val="none"/>
                <w:lang w:val="en-US" w:eastAsia="zh-CN"/>
              </w:rPr>
              <w:t>臭气浓度</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JC023</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2025</w:t>
            </w:r>
            <w:r>
              <w:rPr>
                <w:rFonts w:hint="eastAsia"/>
                <w:lang w:val="en-US" w:eastAsia="zh-CN"/>
              </w:rPr>
              <w:t>.</w:t>
            </w:r>
            <w:r>
              <w:rPr>
                <w:rFonts w:hint="default"/>
                <w:lang w:val="en-US" w:eastAsia="zh-CN"/>
              </w:rPr>
              <w:t>1</w:t>
            </w:r>
            <w:r>
              <w:rPr>
                <w:rFonts w:hint="eastAsia"/>
                <w:lang w:val="en-US" w:eastAsia="zh-CN"/>
              </w:rPr>
              <w:t>.</w:t>
            </w:r>
            <w:r>
              <w:rPr>
                <w:rFonts w:hint="default"/>
                <w:lang w:val="en-US" w:eastAsia="zh-CN"/>
              </w:rPr>
              <w:t>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19</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郑超</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地下水</w:t>
            </w:r>
            <w:r>
              <w:rPr>
                <w:rFonts w:hint="default"/>
                <w:lang w:val="en-US" w:eastAsia="zh-CN"/>
              </w:rPr>
              <w:t>石油烃（C</w:t>
            </w:r>
            <w:r>
              <w:rPr>
                <w:rFonts w:hint="default"/>
                <w:vertAlign w:val="subscript"/>
                <w:lang w:val="en-US" w:eastAsia="zh-CN"/>
              </w:rPr>
              <w:t>10</w:t>
            </w:r>
            <w:r>
              <w:rPr>
                <w:rFonts w:hint="default"/>
                <w:lang w:val="en-US" w:eastAsia="zh-CN"/>
              </w:rPr>
              <w:t>-C</w:t>
            </w:r>
            <w:r>
              <w:rPr>
                <w:rFonts w:hint="default"/>
                <w:vertAlign w:val="subscript"/>
                <w:lang w:val="en-US" w:eastAsia="zh-CN"/>
              </w:rPr>
              <w:t>40</w:t>
            </w:r>
            <w:r>
              <w:rPr>
                <w:rFonts w:hint="default"/>
                <w:lang w:val="en-US" w:eastAsia="zh-CN"/>
              </w:rPr>
              <w:t>）</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JC036</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w:t>
            </w:r>
            <w:r>
              <w:rPr>
                <w:rFonts w:hint="eastAsia"/>
                <w:lang w:val="en-US" w:eastAsia="zh-CN"/>
              </w:rPr>
              <w:t>5.08.3</w:t>
            </w:r>
            <w:r>
              <w:rPr>
                <w:rFonts w:hint="default"/>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20</w:t>
            </w:r>
          </w:p>
        </w:tc>
        <w:tc>
          <w:tcPr>
            <w:tcW w:w="1252" w:type="dxa"/>
            <w:tcBorders>
              <w:tl2br w:val="nil"/>
              <w:tr2bl w:val="nil"/>
            </w:tcBorders>
            <w:shd w:val="clear" w:color="auto" w:fill="auto"/>
            <w:vAlign w:val="center"/>
          </w:tcPr>
          <w:p>
            <w:pPr>
              <w:pStyle w:val="24"/>
              <w:bidi w:val="0"/>
              <w:jc w:val="center"/>
              <w:rPr>
                <w:rFonts w:hint="eastAsia"/>
                <w:lang w:val="en-US" w:eastAsia="zh-CN"/>
              </w:rPr>
            </w:pPr>
            <w:r>
              <w:rPr>
                <w:rFonts w:hint="eastAsia"/>
                <w:lang w:val="en-US" w:eastAsia="zh-CN"/>
              </w:rPr>
              <w:t>陈建藩</w:t>
            </w:r>
          </w:p>
        </w:tc>
        <w:tc>
          <w:tcPr>
            <w:tcW w:w="408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实验：</w:t>
            </w:r>
            <w:r>
              <w:rPr>
                <w:rFonts w:hint="eastAsia"/>
                <w:lang w:val="en-US" w:eastAsia="zh-CN"/>
              </w:rPr>
              <w:t>地下水</w:t>
            </w:r>
            <w:r>
              <w:rPr>
                <w:rFonts w:hint="default"/>
                <w:lang w:val="en-US" w:eastAsia="zh-CN"/>
              </w:rPr>
              <w:t>Na</w:t>
            </w:r>
            <w:r>
              <w:rPr>
                <w:rFonts w:hint="default"/>
                <w:vertAlign w:val="superscript"/>
                <w:lang w:val="en-US" w:eastAsia="zh-CN"/>
              </w:rPr>
              <w:t>+</w:t>
            </w:r>
            <w:r>
              <w:rPr>
                <w:rFonts w:hint="eastAsia"/>
                <w:lang w:val="en-US" w:eastAsia="zh-CN"/>
              </w:rPr>
              <w:t>、</w:t>
            </w:r>
            <w:r>
              <w:rPr>
                <w:rFonts w:hint="default"/>
                <w:lang w:val="en-US" w:eastAsia="zh-CN"/>
              </w:rPr>
              <w:t>K</w:t>
            </w:r>
            <w:r>
              <w:rPr>
                <w:rFonts w:hint="default"/>
                <w:vertAlign w:val="superscript"/>
                <w:lang w:val="en-US" w:eastAsia="zh-CN"/>
              </w:rPr>
              <w:t>+</w:t>
            </w:r>
            <w:r>
              <w:rPr>
                <w:rFonts w:hint="eastAsia"/>
                <w:lang w:val="en-US" w:eastAsia="zh-CN"/>
              </w:rPr>
              <w:t>、</w:t>
            </w:r>
            <w:r>
              <w:rPr>
                <w:rFonts w:hint="default"/>
                <w:lang w:val="en-US" w:eastAsia="zh-CN"/>
              </w:rPr>
              <w:t>Mg</w:t>
            </w:r>
            <w:r>
              <w:rPr>
                <w:rFonts w:hint="eastAsia"/>
                <w:vertAlign w:val="superscript"/>
                <w:lang w:val="en-US" w:eastAsia="zh-CN"/>
              </w:rPr>
              <w:t>2</w:t>
            </w:r>
            <w:r>
              <w:rPr>
                <w:rFonts w:hint="default"/>
                <w:vertAlign w:val="superscript"/>
                <w:lang w:val="en-US" w:eastAsia="zh-CN"/>
              </w:rPr>
              <w:t>+</w:t>
            </w:r>
            <w:r>
              <w:rPr>
                <w:rFonts w:hint="eastAsia"/>
                <w:lang w:val="en-US" w:eastAsia="zh-CN"/>
              </w:rPr>
              <w:t>、</w:t>
            </w:r>
            <w:r>
              <w:rPr>
                <w:rFonts w:hint="default"/>
                <w:lang w:val="en-US" w:eastAsia="zh-CN"/>
              </w:rPr>
              <w:t>Ca</w:t>
            </w:r>
            <w:r>
              <w:rPr>
                <w:rFonts w:hint="eastAsia"/>
                <w:vertAlign w:val="superscript"/>
                <w:lang w:val="en-US" w:eastAsia="zh-CN"/>
              </w:rPr>
              <w:t>2</w:t>
            </w:r>
            <w:r>
              <w:rPr>
                <w:rFonts w:hint="default"/>
                <w:vertAlign w:val="superscript"/>
                <w:lang w:val="en-US" w:eastAsia="zh-CN"/>
              </w:rPr>
              <w:t>+</w:t>
            </w:r>
            <w:r>
              <w:rPr>
                <w:rFonts w:hint="eastAsia"/>
                <w:lang w:val="en-US" w:eastAsia="zh-CN"/>
              </w:rPr>
              <w:t>、</w:t>
            </w:r>
            <w:r>
              <w:rPr>
                <w:rFonts w:hint="default"/>
                <w:lang w:val="en-US" w:eastAsia="zh-CN"/>
              </w:rPr>
              <w:t>铅</w:t>
            </w:r>
            <w:r>
              <w:rPr>
                <w:rFonts w:hint="eastAsia"/>
                <w:lang w:val="en-US" w:eastAsia="zh-CN"/>
              </w:rPr>
              <w:t>、</w:t>
            </w:r>
            <w:r>
              <w:rPr>
                <w:rFonts w:hint="default"/>
                <w:lang w:val="en-US" w:eastAsia="zh-CN"/>
              </w:rPr>
              <w:t>砷</w:t>
            </w:r>
            <w:r>
              <w:rPr>
                <w:rFonts w:hint="eastAsia"/>
                <w:lang w:val="en-US" w:eastAsia="zh-CN"/>
              </w:rPr>
              <w:t>、</w:t>
            </w:r>
            <w:r>
              <w:rPr>
                <w:rFonts w:hint="default"/>
                <w:lang w:val="en-US" w:eastAsia="zh-CN"/>
              </w:rPr>
              <w:t>镉</w:t>
            </w:r>
          </w:p>
        </w:tc>
        <w:tc>
          <w:tcPr>
            <w:tcW w:w="1378"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JC010</w:t>
            </w:r>
          </w:p>
        </w:tc>
        <w:tc>
          <w:tcPr>
            <w:tcW w:w="1854" w:type="dxa"/>
            <w:tcBorders>
              <w:tl2br w:val="nil"/>
              <w:tr2bl w:val="nil"/>
            </w:tcBorders>
            <w:shd w:val="clear" w:color="auto" w:fill="auto"/>
            <w:vAlign w:val="center"/>
          </w:tcPr>
          <w:p>
            <w:pPr>
              <w:pStyle w:val="24"/>
              <w:bidi w:val="0"/>
              <w:jc w:val="center"/>
              <w:rPr>
                <w:rFonts w:hint="default"/>
                <w:lang w:val="en-US" w:eastAsia="zh-CN"/>
              </w:rPr>
            </w:pPr>
            <w:r>
              <w:rPr>
                <w:rFonts w:hint="default"/>
                <w:lang w:val="en-US" w:eastAsia="zh-CN"/>
              </w:rPr>
              <w:t>2024</w:t>
            </w:r>
            <w:r>
              <w:rPr>
                <w:rFonts w:hint="eastAsia"/>
                <w:lang w:val="en-US" w:eastAsia="zh-CN"/>
              </w:rPr>
              <w:t>.</w:t>
            </w:r>
            <w:r>
              <w:rPr>
                <w:rFonts w:hint="default"/>
                <w:lang w:val="en-US" w:eastAsia="zh-CN"/>
              </w:rPr>
              <w:t>11</w:t>
            </w:r>
            <w:r>
              <w:rPr>
                <w:rFonts w:hint="eastAsia"/>
                <w:lang w:val="en-US" w:eastAsia="zh-CN"/>
              </w:rPr>
              <w:t>.</w:t>
            </w:r>
            <w:r>
              <w:rPr>
                <w:rFonts w:hint="default"/>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tcBorders>
              <w:tl2br w:val="nil"/>
              <w:tr2bl w:val="nil"/>
            </w:tcBorders>
            <w:shd w:val="clear" w:color="auto" w:fill="auto"/>
            <w:vAlign w:val="center"/>
          </w:tcPr>
          <w:p>
            <w:pPr>
              <w:pStyle w:val="24"/>
              <w:bidi w:val="0"/>
              <w:jc w:val="center"/>
              <w:rPr>
                <w:rFonts w:hint="default"/>
                <w:lang w:val="en-US" w:eastAsia="zh-CN"/>
              </w:rPr>
            </w:pPr>
            <w:r>
              <w:rPr>
                <w:rFonts w:hint="eastAsia"/>
                <w:lang w:val="en-US" w:eastAsia="zh-CN"/>
              </w:rPr>
              <w:t>21</w:t>
            </w:r>
          </w:p>
        </w:tc>
        <w:tc>
          <w:tcPr>
            <w:tcW w:w="1252"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黄若滨</w:t>
            </w:r>
          </w:p>
        </w:tc>
        <w:tc>
          <w:tcPr>
            <w:tcW w:w="4084"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实验：氨、硫化氢</w:t>
            </w:r>
            <w:r>
              <w:rPr>
                <w:rFonts w:hint="eastAsia" w:ascii="Times New Roman" w:hAnsi="Times New Roman" w:cs="Times New Roman"/>
                <w:bCs w:val="0"/>
                <w:color w:val="auto"/>
                <w:kern w:val="2"/>
                <w:sz w:val="18"/>
                <w:szCs w:val="18"/>
                <w:highlight w:val="none"/>
                <w:lang w:val="en-US" w:eastAsia="zh-CN"/>
              </w:rPr>
              <w:t>、</w:t>
            </w:r>
            <w:r>
              <w:rPr>
                <w:rFonts w:hint="eastAsia" w:cs="Times New Roman"/>
                <w:color w:val="auto"/>
                <w:sz w:val="18"/>
                <w:szCs w:val="18"/>
                <w:highlight w:val="none"/>
                <w:lang w:val="en-US" w:eastAsia="zh-CN"/>
              </w:rPr>
              <w:t>海水（</w:t>
            </w:r>
            <w:r>
              <w:rPr>
                <w:rFonts w:hint="eastAsia" w:ascii="Times New Roman" w:hAnsi="Times New Roman" w:eastAsia="宋体" w:cs="Times New Roman"/>
                <w:color w:val="auto"/>
                <w:sz w:val="18"/>
                <w:szCs w:val="18"/>
                <w:lang w:val="en-US" w:eastAsia="zh-CN"/>
              </w:rPr>
              <w:t>挥发性酚</w:t>
            </w:r>
            <w:r>
              <w:rPr>
                <w:rFonts w:hint="eastAsia" w:ascii="Times New Roman" w:hAnsi="Times New Roman" w:cs="Times New Roman"/>
                <w:color w:val="auto"/>
                <w:sz w:val="18"/>
                <w:szCs w:val="18"/>
                <w:highlight w:val="none"/>
                <w:lang w:val="en-US" w:eastAsia="zh-CN"/>
              </w:rPr>
              <w:t>、</w:t>
            </w:r>
            <w:r>
              <w:rPr>
                <w:rFonts w:hint="eastAsia" w:ascii="Times New Roman" w:hAnsi="Times New Roman" w:eastAsia="宋体" w:cs="Times New Roman"/>
                <w:color w:val="auto"/>
                <w:kern w:val="2"/>
                <w:sz w:val="18"/>
                <w:szCs w:val="18"/>
                <w:lang w:val="en-US" w:eastAsia="zh-CN" w:bidi="ar-SA"/>
              </w:rPr>
              <w:t>化学需氧量）</w:t>
            </w:r>
          </w:p>
        </w:tc>
        <w:tc>
          <w:tcPr>
            <w:tcW w:w="1378"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JC084</w:t>
            </w:r>
          </w:p>
        </w:tc>
        <w:tc>
          <w:tcPr>
            <w:tcW w:w="1854"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2025</w:t>
            </w:r>
            <w:r>
              <w:rPr>
                <w:rFonts w:hint="eastAsia" w:ascii="Times New Roman" w:hAnsi="Times New Roman" w:eastAsia="宋体" w:cs="Times New Roman"/>
                <w:bCs w:val="0"/>
                <w:color w:val="auto"/>
                <w:kern w:val="2"/>
                <w:sz w:val="18"/>
                <w:szCs w:val="18"/>
                <w:highlight w:val="none"/>
                <w:lang w:val="en-US" w:eastAsia="zh-CN"/>
              </w:rPr>
              <w:t>.0</w:t>
            </w:r>
            <w:r>
              <w:rPr>
                <w:rFonts w:hint="default" w:ascii="Times New Roman" w:hAnsi="Times New Roman" w:eastAsia="宋体" w:cs="Times New Roman"/>
                <w:bCs w:val="0"/>
                <w:color w:val="auto"/>
                <w:kern w:val="2"/>
                <w:sz w:val="18"/>
                <w:szCs w:val="18"/>
                <w:highlight w:val="none"/>
                <w:lang w:val="en-US" w:eastAsia="zh-CN"/>
              </w:rPr>
              <w:t>1</w:t>
            </w:r>
            <w:r>
              <w:rPr>
                <w:rFonts w:hint="eastAsia" w:ascii="Times New Roman" w:hAnsi="Times New Roman" w:eastAsia="宋体" w:cs="Times New Roman"/>
                <w:bCs w:val="0"/>
                <w:color w:val="auto"/>
                <w:kern w:val="2"/>
                <w:sz w:val="18"/>
                <w:szCs w:val="18"/>
                <w:highlight w:val="none"/>
                <w:lang w:val="en-US" w:eastAsia="zh-CN"/>
              </w:rPr>
              <w:t>.0</w:t>
            </w:r>
            <w:r>
              <w:rPr>
                <w:rFonts w:hint="default" w:ascii="Times New Roman" w:hAnsi="Times New Roman" w:eastAsia="宋体" w:cs="Times New Roman"/>
                <w:bCs w:val="0"/>
                <w:color w:val="auto"/>
                <w:kern w:val="2"/>
                <w:sz w:val="18"/>
                <w:szCs w:val="18"/>
                <w:highlight w:val="none"/>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22</w:t>
            </w:r>
          </w:p>
        </w:tc>
        <w:tc>
          <w:tcPr>
            <w:tcW w:w="1252"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艾松</w:t>
            </w:r>
          </w:p>
        </w:tc>
        <w:tc>
          <w:tcPr>
            <w:tcW w:w="408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实验：</w:t>
            </w:r>
            <w:r>
              <w:rPr>
                <w:rFonts w:hint="eastAsia" w:ascii="Times New Roman" w:hAnsi="Times New Roman" w:eastAsia="宋体" w:cs="Times New Roman"/>
                <w:bCs w:val="0"/>
                <w:color w:val="auto"/>
                <w:kern w:val="2"/>
                <w:sz w:val="18"/>
                <w:szCs w:val="18"/>
                <w:highlight w:val="none"/>
                <w:lang w:val="en-US" w:eastAsia="zh-CN"/>
              </w:rPr>
              <w:t>臭气浓度</w:t>
            </w:r>
          </w:p>
        </w:tc>
        <w:tc>
          <w:tcPr>
            <w:tcW w:w="137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2101240013</w:t>
            </w:r>
          </w:p>
        </w:tc>
        <w:tc>
          <w:tcPr>
            <w:tcW w:w="185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2024.01.20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23</w:t>
            </w:r>
          </w:p>
        </w:tc>
        <w:tc>
          <w:tcPr>
            <w:tcW w:w="1252"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田盼盼</w:t>
            </w:r>
          </w:p>
        </w:tc>
        <w:tc>
          <w:tcPr>
            <w:tcW w:w="408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实验：</w:t>
            </w:r>
            <w:r>
              <w:rPr>
                <w:rFonts w:hint="eastAsia" w:ascii="Times New Roman" w:hAnsi="Times New Roman" w:eastAsia="宋体" w:cs="Times New Roman"/>
                <w:bCs w:val="0"/>
                <w:color w:val="auto"/>
                <w:kern w:val="2"/>
                <w:sz w:val="18"/>
                <w:szCs w:val="18"/>
                <w:highlight w:val="none"/>
                <w:lang w:val="en-US" w:eastAsia="zh-CN"/>
              </w:rPr>
              <w:t>臭气浓度</w:t>
            </w:r>
          </w:p>
        </w:tc>
        <w:tc>
          <w:tcPr>
            <w:tcW w:w="137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2101240014</w:t>
            </w:r>
          </w:p>
        </w:tc>
        <w:tc>
          <w:tcPr>
            <w:tcW w:w="185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2024.01.20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24</w:t>
            </w:r>
          </w:p>
        </w:tc>
        <w:tc>
          <w:tcPr>
            <w:tcW w:w="1252"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陈建藩</w:t>
            </w:r>
          </w:p>
        </w:tc>
        <w:tc>
          <w:tcPr>
            <w:tcW w:w="408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实验：</w:t>
            </w:r>
            <w:r>
              <w:rPr>
                <w:rFonts w:hint="eastAsia" w:ascii="Times New Roman" w:hAnsi="Times New Roman" w:eastAsia="宋体" w:cs="Times New Roman"/>
                <w:bCs w:val="0"/>
                <w:color w:val="auto"/>
                <w:kern w:val="2"/>
                <w:sz w:val="18"/>
                <w:szCs w:val="18"/>
                <w:highlight w:val="none"/>
                <w:lang w:val="en-US" w:eastAsia="zh-CN"/>
              </w:rPr>
              <w:t>臭气浓度</w:t>
            </w:r>
            <w:r>
              <w:rPr>
                <w:rFonts w:hint="eastAsia" w:ascii="Times New Roman" w:hAnsi="Times New Roman" w:cs="Times New Roman"/>
                <w:bCs w:val="0"/>
                <w:color w:val="auto"/>
                <w:kern w:val="2"/>
                <w:sz w:val="18"/>
                <w:szCs w:val="18"/>
                <w:highlight w:val="none"/>
                <w:lang w:val="en-US" w:eastAsia="zh-CN"/>
              </w:rPr>
              <w:t>、</w:t>
            </w:r>
            <w:r>
              <w:rPr>
                <w:rFonts w:hint="eastAsia" w:cs="Times New Roman"/>
                <w:color w:val="auto"/>
                <w:sz w:val="18"/>
                <w:szCs w:val="18"/>
                <w:highlight w:val="none"/>
                <w:lang w:val="en-US" w:eastAsia="zh-CN"/>
              </w:rPr>
              <w:t>海洋沉积物（</w:t>
            </w:r>
            <w:r>
              <w:rPr>
                <w:rFonts w:hint="eastAsia" w:ascii="Times New Roman" w:hAnsi="Times New Roman" w:eastAsia="宋体" w:cs="Times New Roman"/>
                <w:bCs/>
                <w:color w:val="auto"/>
                <w:kern w:val="0"/>
                <w:sz w:val="18"/>
                <w:szCs w:val="18"/>
                <w:lang w:val="en-US" w:eastAsia="zh-CN" w:bidi="ar-SA"/>
              </w:rPr>
              <w:t>砷、铬、</w:t>
            </w:r>
            <w:r>
              <w:rPr>
                <w:rFonts w:hint="default" w:ascii="Times New Roman" w:hAnsi="Times New Roman" w:eastAsia="宋体" w:cs="Times New Roman"/>
                <w:color w:val="auto"/>
                <w:sz w:val="18"/>
                <w:szCs w:val="18"/>
              </w:rPr>
              <w:t>铜</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rPr>
              <w:t>铅</w:t>
            </w:r>
            <w:r>
              <w:rPr>
                <w:rFonts w:hint="default" w:ascii="Times New Roman" w:hAnsi="Times New Roman" w:cs="Times New Roman"/>
                <w:color w:val="auto"/>
                <w:kern w:val="2"/>
                <w:sz w:val="18"/>
                <w:szCs w:val="18"/>
                <w:lang w:val="en-US" w:eastAsia="zh-CN" w:bidi="ar-SA"/>
              </w:rPr>
              <w:t>、</w:t>
            </w:r>
            <w:r>
              <w:rPr>
                <w:rFonts w:hint="default" w:ascii="Times New Roman" w:hAnsi="Times New Roman" w:eastAsia="宋体" w:cs="Times New Roman"/>
                <w:color w:val="auto"/>
                <w:sz w:val="18"/>
                <w:szCs w:val="18"/>
                <w:lang w:eastAsia="zh-CN"/>
              </w:rPr>
              <w:t>锌</w:t>
            </w:r>
            <w:r>
              <w:rPr>
                <w:rFonts w:hint="default" w:ascii="Times New Roman" w:hAnsi="Times New Roman" w:cs="Times New Roman"/>
                <w:color w:val="auto"/>
                <w:kern w:val="2"/>
                <w:sz w:val="18"/>
                <w:szCs w:val="18"/>
                <w:lang w:val="en-US" w:eastAsia="zh-CN" w:bidi="ar-SA"/>
              </w:rPr>
              <w:t>、</w:t>
            </w:r>
            <w:r>
              <w:rPr>
                <w:rFonts w:hint="default" w:ascii="Times New Roman" w:hAnsi="Times New Roman" w:eastAsia="宋体" w:cs="Times New Roman"/>
                <w:color w:val="auto"/>
                <w:sz w:val="18"/>
                <w:szCs w:val="18"/>
              </w:rPr>
              <w:t>镉</w:t>
            </w:r>
            <w:r>
              <w:rPr>
                <w:rFonts w:hint="eastAsia" w:ascii="Times New Roman" w:hAnsi="Times New Roman" w:eastAsia="宋体" w:cs="Times New Roman"/>
                <w:bCs/>
                <w:color w:val="auto"/>
                <w:kern w:val="0"/>
                <w:sz w:val="18"/>
                <w:szCs w:val="18"/>
                <w:lang w:val="en-US" w:eastAsia="zh-CN" w:bidi="ar-SA"/>
              </w:rPr>
              <w:t>）</w:t>
            </w:r>
          </w:p>
        </w:tc>
        <w:tc>
          <w:tcPr>
            <w:tcW w:w="137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220710179</w:t>
            </w:r>
          </w:p>
        </w:tc>
        <w:tc>
          <w:tcPr>
            <w:tcW w:w="185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2025.07.11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25</w:t>
            </w:r>
          </w:p>
        </w:tc>
        <w:tc>
          <w:tcPr>
            <w:tcW w:w="1252"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叶坤华</w:t>
            </w:r>
          </w:p>
        </w:tc>
        <w:tc>
          <w:tcPr>
            <w:tcW w:w="408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实验：</w:t>
            </w:r>
            <w:r>
              <w:rPr>
                <w:rFonts w:hint="eastAsia" w:ascii="Times New Roman" w:hAnsi="Times New Roman" w:eastAsia="宋体" w:cs="Times New Roman"/>
                <w:bCs w:val="0"/>
                <w:color w:val="auto"/>
                <w:kern w:val="2"/>
                <w:sz w:val="18"/>
                <w:szCs w:val="18"/>
                <w:highlight w:val="none"/>
                <w:lang w:val="en-US" w:eastAsia="zh-CN"/>
              </w:rPr>
              <w:t>臭气浓度</w:t>
            </w:r>
          </w:p>
        </w:tc>
        <w:tc>
          <w:tcPr>
            <w:tcW w:w="137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220710183</w:t>
            </w:r>
          </w:p>
        </w:tc>
        <w:tc>
          <w:tcPr>
            <w:tcW w:w="185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2025.07.11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26</w:t>
            </w:r>
          </w:p>
        </w:tc>
        <w:tc>
          <w:tcPr>
            <w:tcW w:w="1252"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龚泽烽</w:t>
            </w:r>
          </w:p>
        </w:tc>
        <w:tc>
          <w:tcPr>
            <w:tcW w:w="408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实验：</w:t>
            </w:r>
            <w:r>
              <w:rPr>
                <w:rFonts w:hint="eastAsia" w:ascii="Times New Roman" w:hAnsi="Times New Roman" w:eastAsia="宋体" w:cs="Times New Roman"/>
                <w:bCs w:val="0"/>
                <w:color w:val="auto"/>
                <w:kern w:val="2"/>
                <w:sz w:val="18"/>
                <w:szCs w:val="18"/>
                <w:highlight w:val="none"/>
                <w:lang w:val="en-US" w:eastAsia="zh-CN"/>
              </w:rPr>
              <w:t>臭气浓度</w:t>
            </w:r>
          </w:p>
        </w:tc>
        <w:tc>
          <w:tcPr>
            <w:tcW w:w="137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220710181</w:t>
            </w:r>
          </w:p>
        </w:tc>
        <w:tc>
          <w:tcPr>
            <w:tcW w:w="185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2025.05.24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27</w:t>
            </w:r>
          </w:p>
        </w:tc>
        <w:tc>
          <w:tcPr>
            <w:tcW w:w="1252"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杨史良</w:t>
            </w:r>
          </w:p>
        </w:tc>
        <w:tc>
          <w:tcPr>
            <w:tcW w:w="408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rPr>
              <w:t>实验：</w:t>
            </w:r>
            <w:r>
              <w:rPr>
                <w:rFonts w:hint="eastAsia" w:ascii="Times New Roman" w:hAnsi="Times New Roman" w:eastAsia="宋体" w:cs="Times New Roman"/>
                <w:bCs w:val="0"/>
                <w:color w:val="auto"/>
                <w:kern w:val="2"/>
                <w:sz w:val="18"/>
                <w:szCs w:val="18"/>
                <w:highlight w:val="none"/>
                <w:lang w:val="en-US" w:eastAsia="zh-CN"/>
              </w:rPr>
              <w:t>臭气浓度</w:t>
            </w:r>
          </w:p>
        </w:tc>
        <w:tc>
          <w:tcPr>
            <w:tcW w:w="137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220710182</w:t>
            </w:r>
          </w:p>
        </w:tc>
        <w:tc>
          <w:tcPr>
            <w:tcW w:w="185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2025.05.24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28</w:t>
            </w:r>
          </w:p>
        </w:tc>
        <w:tc>
          <w:tcPr>
            <w:tcW w:w="1252"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赵进</w:t>
            </w:r>
          </w:p>
        </w:tc>
        <w:tc>
          <w:tcPr>
            <w:tcW w:w="408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实验：臭气浓度</w:t>
            </w:r>
          </w:p>
        </w:tc>
        <w:tc>
          <w:tcPr>
            <w:tcW w:w="137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2101140040</w:t>
            </w:r>
          </w:p>
        </w:tc>
        <w:tc>
          <w:tcPr>
            <w:tcW w:w="1854"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rPr>
              <w:t>2024.01.20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29</w:t>
            </w:r>
          </w:p>
        </w:tc>
        <w:tc>
          <w:tcPr>
            <w:tcW w:w="1252"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eastAsia" w:ascii="Times New Roman" w:hAnsi="Times New Roman" w:cs="Times New Roman"/>
                <w:color w:val="auto"/>
                <w:sz w:val="18"/>
                <w:szCs w:val="18"/>
                <w:highlight w:val="none"/>
                <w:lang w:val="en-US" w:eastAsia="zh-CN"/>
              </w:rPr>
              <w:t>温巧敏</w:t>
            </w:r>
          </w:p>
        </w:tc>
        <w:tc>
          <w:tcPr>
            <w:tcW w:w="4084" w:type="dxa"/>
            <w:shd w:val="clear" w:color="auto" w:fill="auto"/>
            <w:vAlign w:val="center"/>
          </w:tcPr>
          <w:p>
            <w:pPr>
              <w:jc w:val="center"/>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实验：</w:t>
            </w:r>
            <w:r>
              <w:rPr>
                <w:rFonts w:hint="eastAsia" w:cs="Times New Roman"/>
                <w:color w:val="auto"/>
                <w:sz w:val="18"/>
                <w:szCs w:val="18"/>
                <w:highlight w:val="none"/>
                <w:lang w:val="en-US" w:eastAsia="zh-CN"/>
              </w:rPr>
              <w:t>海水（硫化物、盐度）</w:t>
            </w:r>
          </w:p>
        </w:tc>
        <w:tc>
          <w:tcPr>
            <w:tcW w:w="1378"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JC054</w:t>
            </w:r>
          </w:p>
        </w:tc>
        <w:tc>
          <w:tcPr>
            <w:tcW w:w="1854"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2024</w:t>
            </w:r>
            <w:r>
              <w:rPr>
                <w:rFonts w:hint="eastAsia" w:ascii="Times New Roman" w:hAnsi="Times New Roman" w:eastAsia="宋体" w:cs="Times New Roman"/>
                <w:color w:val="auto"/>
                <w:kern w:val="2"/>
                <w:sz w:val="18"/>
                <w:szCs w:val="18"/>
                <w:highlight w:val="none"/>
                <w:lang w:val="en-US" w:eastAsia="zh-CN" w:bidi="ar-SA"/>
              </w:rPr>
              <w:t>.0</w:t>
            </w:r>
            <w:r>
              <w:rPr>
                <w:rFonts w:hint="default" w:ascii="Times New Roman" w:hAnsi="Times New Roman" w:eastAsia="宋体" w:cs="Times New Roman"/>
                <w:color w:val="auto"/>
                <w:kern w:val="2"/>
                <w:sz w:val="18"/>
                <w:szCs w:val="18"/>
                <w:highlight w:val="none"/>
                <w:lang w:val="en-US" w:eastAsia="zh-CN" w:bidi="ar-SA"/>
              </w:rPr>
              <w:t>6</w:t>
            </w:r>
            <w:r>
              <w:rPr>
                <w:rFonts w:hint="eastAsia" w:ascii="Times New Roman" w:hAnsi="Times New Roman" w:eastAsia="宋体" w:cs="Times New Roman"/>
                <w:color w:val="auto"/>
                <w:kern w:val="2"/>
                <w:sz w:val="18"/>
                <w:szCs w:val="18"/>
                <w:highlight w:val="none"/>
                <w:lang w:val="en-US" w:eastAsia="zh-CN" w:bidi="ar-SA"/>
              </w:rPr>
              <w:t>.0</w:t>
            </w:r>
            <w:r>
              <w:rPr>
                <w:rFonts w:hint="default" w:ascii="Times New Roman" w:hAnsi="Times New Roman" w:eastAsia="宋体" w:cs="Times New Roman"/>
                <w:color w:val="auto"/>
                <w:kern w:val="2"/>
                <w:sz w:val="18"/>
                <w:szCs w:val="18"/>
                <w:highlight w:val="none"/>
                <w:lang w:val="en-US" w:eastAsia="zh-CN" w:bidi="ar-S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30</w:t>
            </w:r>
          </w:p>
        </w:tc>
        <w:tc>
          <w:tcPr>
            <w:tcW w:w="1252"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eastAsia" w:ascii="Times New Roman" w:hAnsi="Times New Roman" w:cs="Times New Roman"/>
                <w:color w:val="auto"/>
                <w:sz w:val="18"/>
                <w:szCs w:val="18"/>
                <w:highlight w:val="none"/>
                <w:lang w:val="en-US" w:eastAsia="zh-CN"/>
              </w:rPr>
              <w:t>林雪惠</w:t>
            </w:r>
          </w:p>
        </w:tc>
        <w:tc>
          <w:tcPr>
            <w:tcW w:w="4084" w:type="dxa"/>
            <w:shd w:val="clear" w:color="auto" w:fill="auto"/>
            <w:vAlign w:val="center"/>
          </w:tcPr>
          <w:p>
            <w:pPr>
              <w:jc w:val="center"/>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实验：</w:t>
            </w:r>
            <w:r>
              <w:rPr>
                <w:rFonts w:hint="eastAsia" w:cs="Times New Roman"/>
                <w:color w:val="auto"/>
                <w:sz w:val="18"/>
                <w:szCs w:val="18"/>
                <w:highlight w:val="none"/>
                <w:lang w:val="en-US" w:eastAsia="zh-CN"/>
              </w:rPr>
              <w:t>海洋沉积物（</w:t>
            </w:r>
            <w:r>
              <w:rPr>
                <w:rFonts w:hint="eastAsia" w:ascii="Times New Roman" w:hAnsi="Times New Roman" w:eastAsia="宋体" w:cs="Times New Roman"/>
                <w:bCs/>
                <w:color w:val="auto"/>
                <w:kern w:val="0"/>
                <w:sz w:val="18"/>
                <w:szCs w:val="18"/>
                <w:lang w:val="en-US" w:eastAsia="zh-CN" w:bidi="ar-SA"/>
              </w:rPr>
              <w:t>硫化物</w:t>
            </w:r>
            <w:r>
              <w:rPr>
                <w:rFonts w:hint="eastAsia" w:cs="Times New Roman"/>
                <w:color w:val="auto"/>
                <w:sz w:val="18"/>
                <w:szCs w:val="18"/>
                <w:highlight w:val="none"/>
                <w:lang w:val="en-US" w:eastAsia="zh-CN"/>
              </w:rPr>
              <w:t>）</w:t>
            </w:r>
          </w:p>
        </w:tc>
        <w:tc>
          <w:tcPr>
            <w:tcW w:w="1378"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JC040</w:t>
            </w:r>
          </w:p>
        </w:tc>
        <w:tc>
          <w:tcPr>
            <w:tcW w:w="1854"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2025</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10</w:t>
            </w:r>
            <w:r>
              <w:rPr>
                <w:rFonts w:hint="eastAsia" w:ascii="Times New Roman" w:hAnsi="Times New Roman" w:eastAsia="宋体" w:cs="Times New Roman"/>
                <w:color w:val="auto"/>
                <w:kern w:val="2"/>
                <w:sz w:val="18"/>
                <w:szCs w:val="18"/>
                <w:highlight w:val="none"/>
                <w:lang w:val="en-US" w:eastAsia="zh-CN" w:bidi="ar-SA"/>
              </w:rPr>
              <w:t>.0</w:t>
            </w:r>
            <w:r>
              <w:rPr>
                <w:rFonts w:hint="default" w:ascii="Times New Roman" w:hAnsi="Times New Roman" w:eastAsia="宋体" w:cs="Times New Roman"/>
                <w:color w:val="auto"/>
                <w:kern w:val="2"/>
                <w:sz w:val="18"/>
                <w:szCs w:val="18"/>
                <w:highlight w:val="none"/>
                <w:lang w:val="en-US" w:eastAsia="zh-CN" w:bidi="ar-SA"/>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3" w:type="dxa"/>
            <w:shd w:val="clear" w:color="auto" w:fill="auto"/>
            <w:vAlign w:val="center"/>
          </w:tcPr>
          <w:p>
            <w:pPr>
              <w:pStyle w:val="24"/>
              <w:bidi w:val="0"/>
              <w:jc w:val="center"/>
              <w:rPr>
                <w:rFonts w:hint="default"/>
                <w:lang w:val="en-US" w:eastAsia="zh-CN"/>
              </w:rPr>
            </w:pPr>
            <w:r>
              <w:rPr>
                <w:rFonts w:hint="eastAsia"/>
                <w:lang w:val="en-US" w:eastAsia="zh-CN"/>
              </w:rPr>
              <w:t>31</w:t>
            </w:r>
          </w:p>
        </w:tc>
        <w:tc>
          <w:tcPr>
            <w:tcW w:w="1252"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eastAsia" w:ascii="Times New Roman" w:hAnsi="Times New Roman" w:cs="Times New Roman"/>
                <w:color w:val="auto"/>
                <w:sz w:val="18"/>
                <w:szCs w:val="18"/>
                <w:highlight w:val="none"/>
                <w:lang w:val="en-US" w:eastAsia="zh-CN"/>
              </w:rPr>
              <w:t>刘菲菲</w:t>
            </w:r>
          </w:p>
        </w:tc>
        <w:tc>
          <w:tcPr>
            <w:tcW w:w="4084" w:type="dxa"/>
            <w:shd w:val="clear" w:color="auto" w:fill="auto"/>
            <w:vAlign w:val="center"/>
          </w:tcPr>
          <w:p>
            <w:pPr>
              <w:pStyle w:val="28"/>
              <w:spacing w:line="320" w:lineRule="exact"/>
              <w:jc w:val="center"/>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实验：</w:t>
            </w:r>
            <w:r>
              <w:rPr>
                <w:rFonts w:hint="eastAsia" w:cs="Times New Roman"/>
                <w:color w:val="auto"/>
                <w:sz w:val="18"/>
                <w:szCs w:val="18"/>
                <w:highlight w:val="none"/>
                <w:lang w:val="en-US" w:eastAsia="zh-CN"/>
              </w:rPr>
              <w:t>海水（</w:t>
            </w:r>
            <w:r>
              <w:rPr>
                <w:rFonts w:hint="eastAsia" w:ascii="Times New Roman" w:hAnsi="Times New Roman" w:eastAsia="宋体" w:cs="Times New Roman"/>
                <w:color w:val="auto"/>
                <w:sz w:val="18"/>
                <w:szCs w:val="18"/>
                <w:lang w:val="en-US" w:eastAsia="zh-CN"/>
              </w:rPr>
              <w:t>镍、铜）</w:t>
            </w:r>
          </w:p>
        </w:tc>
        <w:tc>
          <w:tcPr>
            <w:tcW w:w="1378"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JC102</w:t>
            </w:r>
          </w:p>
        </w:tc>
        <w:tc>
          <w:tcPr>
            <w:tcW w:w="1854"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after="157" w:afterLines="50" w:line="240" w:lineRule="auto"/>
              <w:ind w:left="0" w:leftChars="0" w:firstLine="0" w:firstLineChars="0"/>
              <w:jc w:val="center"/>
              <w:textAlignment w:val="auto"/>
              <w:rPr>
                <w:rFonts w:hint="eastAsia" w:ascii="Times New Roman" w:hAnsi="Times New Roman" w:eastAsia="宋体" w:cs="Times New Roman"/>
                <w:bCs w:val="0"/>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bidi="ar-SA"/>
              </w:rPr>
              <w:t>2025</w:t>
            </w:r>
            <w:r>
              <w:rPr>
                <w:rFonts w:hint="eastAsia" w:ascii="Times New Roman" w:hAnsi="Times New Roman" w:eastAsia="宋体" w:cs="Times New Roman"/>
                <w:color w:val="auto"/>
                <w:kern w:val="2"/>
                <w:sz w:val="18"/>
                <w:szCs w:val="18"/>
                <w:highlight w:val="none"/>
                <w:lang w:val="en-US" w:eastAsia="zh-CN" w:bidi="ar-SA"/>
              </w:rPr>
              <w:t>.0</w:t>
            </w:r>
            <w:r>
              <w:rPr>
                <w:rFonts w:hint="default" w:ascii="Times New Roman" w:hAnsi="Times New Roman" w:eastAsia="宋体" w:cs="Times New Roman"/>
                <w:color w:val="auto"/>
                <w:kern w:val="2"/>
                <w:sz w:val="18"/>
                <w:szCs w:val="18"/>
                <w:highlight w:val="none"/>
                <w:lang w:val="en-US" w:eastAsia="zh-CN" w:bidi="ar-SA"/>
              </w:rPr>
              <w:t>7</w:t>
            </w:r>
            <w:r>
              <w:rPr>
                <w:rFonts w:hint="eastAsia" w:ascii="Times New Roman" w:hAnsi="Times New Roman" w:eastAsia="宋体" w:cs="Times New Roman"/>
                <w:color w:val="auto"/>
                <w:kern w:val="2"/>
                <w:sz w:val="18"/>
                <w:szCs w:val="18"/>
                <w:highlight w:val="none"/>
                <w:lang w:val="en-US" w:eastAsia="zh-CN" w:bidi="ar-SA"/>
              </w:rPr>
              <w:t>.0</w:t>
            </w:r>
            <w:r>
              <w:rPr>
                <w:rFonts w:hint="default" w:ascii="Times New Roman" w:hAnsi="Times New Roman" w:eastAsia="宋体" w:cs="Times New Roman"/>
                <w:color w:val="auto"/>
                <w:kern w:val="2"/>
                <w:sz w:val="18"/>
                <w:szCs w:val="18"/>
                <w:highlight w:val="none"/>
                <w:lang w:val="en-US" w:eastAsia="zh-CN" w:bidi="ar-SA"/>
              </w:rPr>
              <w:t>6</w:t>
            </w:r>
          </w:p>
        </w:tc>
      </w:tr>
    </w:tbl>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21"/>
        <w:numPr>
          <w:ilvl w:val="0"/>
          <w:numId w:val="0"/>
        </w:numPr>
        <w:tabs>
          <w:tab w:val="clear" w:pos="425"/>
        </w:tabs>
        <w:spacing w:before="156" w:after="156"/>
      </w:pPr>
      <w:bookmarkStart w:id="177" w:name="_Toc32045"/>
      <w:r>
        <w:t>9. 验收监测结果</w:t>
      </w:r>
      <w:bookmarkEnd w:id="177"/>
    </w:p>
    <w:p>
      <w:pPr>
        <w:pStyle w:val="17"/>
      </w:pPr>
      <w:bookmarkStart w:id="178" w:name="_Toc4398"/>
      <w:bookmarkStart w:id="179" w:name="_Toc26199520"/>
      <w:bookmarkStart w:id="180" w:name="_Toc6178_WPSOffice_Level1"/>
      <w:r>
        <w:t>9.1</w:t>
      </w:r>
      <w:r>
        <w:rPr>
          <w:rFonts w:hint="eastAsia"/>
          <w:lang w:val="en-US" w:eastAsia="zh-CN"/>
        </w:rPr>
        <w:t xml:space="preserve"> </w:t>
      </w:r>
      <w:r>
        <w:t>生产工况</w:t>
      </w:r>
      <w:bookmarkEnd w:id="178"/>
      <w:bookmarkEnd w:id="179"/>
      <w:bookmarkEnd w:id="180"/>
    </w:p>
    <w:p>
      <w:pPr>
        <w:pStyle w:val="19"/>
        <w:ind w:firstLine="480"/>
        <w:rPr>
          <w:lang w:val="en-US"/>
        </w:rPr>
      </w:pPr>
      <w:r>
        <w:rPr>
          <w:rFonts w:hint="eastAsia"/>
          <w:lang w:val="en-US"/>
        </w:rPr>
        <w:t>福建拓普检测技术有限公司</w:t>
      </w:r>
      <w:r>
        <w:rPr>
          <w:lang w:val="en-US"/>
        </w:rPr>
        <w:t>分别于202</w:t>
      </w:r>
      <w:r>
        <w:rPr>
          <w:rFonts w:hint="eastAsia"/>
          <w:lang w:val="en-US" w:eastAsia="zh-CN"/>
        </w:rPr>
        <w:t>3</w:t>
      </w:r>
      <w:r>
        <w:rPr>
          <w:lang w:val="en-US"/>
        </w:rPr>
        <w:t>年</w:t>
      </w:r>
      <w:r>
        <w:rPr>
          <w:rFonts w:hint="eastAsia"/>
          <w:lang w:val="en-US" w:eastAsia="zh-CN"/>
        </w:rPr>
        <w:t>3</w:t>
      </w:r>
      <w:r>
        <w:rPr>
          <w:lang w:val="en-US"/>
        </w:rPr>
        <w:t>月</w:t>
      </w:r>
      <w:r>
        <w:rPr>
          <w:rFonts w:hint="eastAsia"/>
          <w:lang w:val="en-US" w:eastAsia="zh-CN"/>
        </w:rPr>
        <w:t>23</w:t>
      </w:r>
      <w:r>
        <w:rPr>
          <w:lang w:val="en-US"/>
        </w:rPr>
        <w:t>日~</w:t>
      </w:r>
      <w:r>
        <w:rPr>
          <w:rFonts w:hint="eastAsia"/>
          <w:lang w:val="en-US" w:eastAsia="zh-CN"/>
        </w:rPr>
        <w:t>26</w:t>
      </w:r>
      <w:r>
        <w:rPr>
          <w:lang w:val="en-US"/>
        </w:rPr>
        <w:t>日对本项目中废气、废水、噪声等污染源的排放状况和各类环保治理措施的处理能力进行了现场监测。</w:t>
      </w:r>
      <w:r>
        <w:rPr>
          <w:rFonts w:hint="eastAsia"/>
          <w:lang w:val="en-US" w:eastAsia="zh-CN"/>
        </w:rPr>
        <w:t>因验收期间，项目水溶性化工品储量较少，无周转工况，引用二期工程验收数据。</w:t>
      </w:r>
      <w:r>
        <w:rPr>
          <w:lang w:val="en-US"/>
        </w:rPr>
        <w:t>监测期间工况如下：</w:t>
      </w:r>
    </w:p>
    <w:p>
      <w:pPr>
        <w:pStyle w:val="19"/>
        <w:ind w:firstLine="480"/>
        <w:rPr>
          <w:rFonts w:hint="eastAsia"/>
          <w:lang w:val="en-US" w:eastAsia="zh-CN"/>
        </w:rPr>
      </w:pPr>
      <w:r>
        <w:rPr>
          <w:rFonts w:hint="eastAsia"/>
          <w:lang w:val="en-US" w:eastAsia="zh-CN"/>
        </w:rPr>
        <w:t>2023年3月24日，到港船舶“南炼2”靠泊7#-3泊位，纯苯卸货量2970吨，平均卸货速率270吨/小时，全部卸货至库区T703罐。2023年3月24日，92#汽油装车量为188吨，95#汽油装车量为22吨，柴油装车量为310吨，丙烯酸丁酯装车量为89吨，二氯乙烷装车量为298吨，乙酸乙烯酯装车量为155吨，乙酸正丙酯装车量为61吨，乙酸正丁酯装车量为39吨。</w:t>
      </w:r>
    </w:p>
    <w:p>
      <w:pPr>
        <w:pStyle w:val="19"/>
        <w:ind w:firstLine="480"/>
        <w:rPr>
          <w:rFonts w:hint="eastAsia"/>
          <w:lang w:val="en-US" w:eastAsia="zh-CN"/>
        </w:rPr>
      </w:pPr>
      <w:r>
        <w:rPr>
          <w:rFonts w:hint="eastAsia"/>
          <w:lang w:val="en-US" w:eastAsia="zh-CN"/>
        </w:rPr>
        <w:t>2023年3月26日，到港船舶“新富源10”靠泊7#-2泊位，92#汽油卸货量7469吨，平均卸货速率400吨/小时，全部卸货至库区T401/T602罐。2023年3月25日，92#汽油装车量为227吨，95#汽油装车量为64吨，柴油装车量为285吨。3月26日，92#汽油装车量326吨，95#汽油装车量为53吨，柴油装车量为223吨。</w:t>
      </w:r>
    </w:p>
    <w:p>
      <w:pPr>
        <w:pStyle w:val="23"/>
        <w:rPr>
          <w:rFonts w:hint="default"/>
          <w:lang w:val="en-US" w:eastAsia="zh-CN"/>
        </w:rPr>
      </w:pPr>
      <w:r>
        <w:rPr>
          <w:rFonts w:hint="eastAsia"/>
          <w:lang w:val="en-US" w:eastAsia="zh-CN"/>
        </w:rPr>
        <w:t>表9.1.1 监测期间气象条件</w:t>
      </w:r>
    </w:p>
    <w:tbl>
      <w:tblPr>
        <w:tblStyle w:val="14"/>
        <w:tblW w:w="985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00"/>
        <w:gridCol w:w="1512"/>
        <w:gridCol w:w="1141"/>
        <w:gridCol w:w="1859"/>
        <w:gridCol w:w="1230"/>
        <w:gridCol w:w="150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jc w:val="center"/>
        </w:trPr>
        <w:tc>
          <w:tcPr>
            <w:tcW w:w="2600" w:type="dxa"/>
            <w:noWrap w:val="0"/>
            <w:vAlign w:val="center"/>
          </w:tcPr>
          <w:p>
            <w:pPr>
              <w:pStyle w:val="24"/>
              <w:jc w:val="center"/>
              <w:rPr>
                <w:rFonts w:hint="default"/>
                <w:lang w:eastAsia="zh-CN"/>
              </w:rPr>
            </w:pPr>
            <w:r>
              <w:rPr>
                <w:rFonts w:hint="default"/>
              </w:rPr>
              <w:t>采样</w:t>
            </w:r>
            <w:r>
              <w:rPr>
                <w:rFonts w:hint="default"/>
                <w:lang w:eastAsia="zh-CN"/>
              </w:rPr>
              <w:t>日期</w:t>
            </w:r>
          </w:p>
        </w:tc>
        <w:tc>
          <w:tcPr>
            <w:tcW w:w="1512" w:type="dxa"/>
            <w:noWrap w:val="0"/>
            <w:vAlign w:val="center"/>
          </w:tcPr>
          <w:p>
            <w:pPr>
              <w:pStyle w:val="24"/>
              <w:jc w:val="center"/>
              <w:rPr>
                <w:rFonts w:hint="default"/>
              </w:rPr>
            </w:pPr>
            <w:r>
              <w:rPr>
                <w:rFonts w:hint="eastAsia"/>
                <w:lang w:eastAsia="zh-CN"/>
              </w:rPr>
              <w:t>气温</w:t>
            </w:r>
            <w:r>
              <w:rPr>
                <w:rFonts w:hint="default"/>
              </w:rPr>
              <w:t>（℃）</w:t>
            </w:r>
          </w:p>
        </w:tc>
        <w:tc>
          <w:tcPr>
            <w:tcW w:w="1141" w:type="dxa"/>
            <w:noWrap w:val="0"/>
            <w:vAlign w:val="center"/>
          </w:tcPr>
          <w:p>
            <w:pPr>
              <w:pStyle w:val="24"/>
              <w:jc w:val="center"/>
              <w:rPr>
                <w:rFonts w:hint="default"/>
              </w:rPr>
            </w:pPr>
            <w:r>
              <w:rPr>
                <w:rFonts w:hint="default"/>
              </w:rPr>
              <w:t>气压（kPa）</w:t>
            </w:r>
          </w:p>
        </w:tc>
        <w:tc>
          <w:tcPr>
            <w:tcW w:w="1859" w:type="dxa"/>
            <w:noWrap w:val="0"/>
            <w:vAlign w:val="center"/>
          </w:tcPr>
          <w:p>
            <w:pPr>
              <w:pStyle w:val="24"/>
              <w:jc w:val="center"/>
              <w:rPr>
                <w:rFonts w:hint="default"/>
              </w:rPr>
            </w:pPr>
            <w:r>
              <w:rPr>
                <w:rFonts w:hint="default"/>
              </w:rPr>
              <w:t>湿度（%RH）</w:t>
            </w:r>
          </w:p>
        </w:tc>
        <w:tc>
          <w:tcPr>
            <w:tcW w:w="1230" w:type="dxa"/>
            <w:noWrap w:val="0"/>
            <w:vAlign w:val="center"/>
          </w:tcPr>
          <w:p>
            <w:pPr>
              <w:pStyle w:val="24"/>
              <w:jc w:val="center"/>
              <w:rPr>
                <w:rFonts w:hint="default"/>
              </w:rPr>
            </w:pPr>
            <w:r>
              <w:rPr>
                <w:rFonts w:hint="default"/>
              </w:rPr>
              <w:t>天气</w:t>
            </w:r>
          </w:p>
        </w:tc>
        <w:tc>
          <w:tcPr>
            <w:tcW w:w="1509" w:type="dxa"/>
            <w:noWrap w:val="0"/>
            <w:vAlign w:val="center"/>
          </w:tcPr>
          <w:p>
            <w:pPr>
              <w:pStyle w:val="24"/>
              <w:jc w:val="center"/>
              <w:rPr>
                <w:rFonts w:hint="default"/>
              </w:rPr>
            </w:pPr>
            <w:r>
              <w:rPr>
                <w:rFonts w:hint="default"/>
              </w:rPr>
              <w:t>主导风向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jc w:val="center"/>
        </w:trPr>
        <w:tc>
          <w:tcPr>
            <w:tcW w:w="2600" w:type="dxa"/>
            <w:noWrap w:val="0"/>
            <w:vAlign w:val="center"/>
          </w:tcPr>
          <w:p>
            <w:pPr>
              <w:pStyle w:val="24"/>
              <w:widowControl/>
              <w:jc w:val="center"/>
              <w:textAlignment w:val="center"/>
              <w:rPr>
                <w:rFonts w:hint="default"/>
                <w:lang w:val="en-US" w:eastAsia="zh-CN"/>
              </w:rPr>
            </w:pPr>
            <w:r>
              <w:rPr>
                <w:rFonts w:hint="default"/>
                <w:lang w:val="en-US" w:eastAsia="zh-CN"/>
              </w:rPr>
              <w:t>202</w:t>
            </w:r>
            <w:r>
              <w:rPr>
                <w:rFonts w:hint="eastAsia"/>
                <w:lang w:val="en-US" w:eastAsia="zh-CN"/>
              </w:rPr>
              <w:t>3</w:t>
            </w:r>
            <w:r>
              <w:rPr>
                <w:rFonts w:hint="default"/>
                <w:lang w:val="en-US" w:eastAsia="zh-CN"/>
              </w:rPr>
              <w:t>年</w:t>
            </w:r>
            <w:r>
              <w:rPr>
                <w:rFonts w:hint="eastAsia"/>
                <w:lang w:val="en-US" w:eastAsia="zh-CN"/>
              </w:rPr>
              <w:t>3</w:t>
            </w:r>
            <w:r>
              <w:rPr>
                <w:rFonts w:hint="default"/>
                <w:lang w:val="en-US" w:eastAsia="zh-CN"/>
              </w:rPr>
              <w:t>月</w:t>
            </w:r>
            <w:r>
              <w:rPr>
                <w:rFonts w:hint="eastAsia"/>
                <w:lang w:val="en-US" w:eastAsia="zh-CN"/>
              </w:rPr>
              <w:t>23</w:t>
            </w:r>
            <w:r>
              <w:rPr>
                <w:rFonts w:hint="default"/>
                <w:lang w:val="en-US" w:eastAsia="zh-CN"/>
              </w:rPr>
              <w:t>日</w:t>
            </w:r>
          </w:p>
        </w:tc>
        <w:tc>
          <w:tcPr>
            <w:tcW w:w="1512" w:type="dxa"/>
            <w:noWrap w:val="0"/>
            <w:vAlign w:val="center"/>
          </w:tcPr>
          <w:p>
            <w:pPr>
              <w:pStyle w:val="24"/>
              <w:widowControl/>
              <w:jc w:val="center"/>
              <w:textAlignment w:val="center"/>
              <w:rPr>
                <w:rFonts w:hint="default"/>
                <w:lang w:val="en-US" w:eastAsia="zh-CN"/>
              </w:rPr>
            </w:pPr>
            <w:r>
              <w:rPr>
                <w:rFonts w:hint="eastAsia"/>
                <w:lang w:val="en-US" w:eastAsia="zh-CN"/>
              </w:rPr>
              <w:t>18.4~22.9</w:t>
            </w:r>
          </w:p>
        </w:tc>
        <w:tc>
          <w:tcPr>
            <w:tcW w:w="1141" w:type="dxa"/>
            <w:noWrap w:val="0"/>
            <w:vAlign w:val="center"/>
          </w:tcPr>
          <w:p>
            <w:pPr>
              <w:pStyle w:val="24"/>
              <w:widowControl/>
              <w:jc w:val="center"/>
              <w:textAlignment w:val="center"/>
              <w:rPr>
                <w:rFonts w:hint="default"/>
                <w:lang w:val="en-US" w:eastAsia="zh-CN"/>
              </w:rPr>
            </w:pPr>
            <w:r>
              <w:rPr>
                <w:rFonts w:hint="eastAsia"/>
                <w:lang w:val="en-US" w:eastAsia="zh-CN"/>
              </w:rPr>
              <w:t>101.1</w:t>
            </w:r>
          </w:p>
        </w:tc>
        <w:tc>
          <w:tcPr>
            <w:tcW w:w="1859" w:type="dxa"/>
            <w:noWrap w:val="0"/>
            <w:vAlign w:val="center"/>
          </w:tcPr>
          <w:p>
            <w:pPr>
              <w:pStyle w:val="24"/>
              <w:widowControl/>
              <w:jc w:val="center"/>
              <w:textAlignment w:val="center"/>
              <w:rPr>
                <w:rFonts w:hint="default"/>
                <w:lang w:val="en-US" w:eastAsia="zh-CN"/>
              </w:rPr>
            </w:pPr>
            <w:r>
              <w:rPr>
                <w:rFonts w:hint="eastAsia"/>
                <w:lang w:val="en-US" w:eastAsia="zh-CN"/>
              </w:rPr>
              <w:t>56.9~60.3</w:t>
            </w:r>
          </w:p>
        </w:tc>
        <w:tc>
          <w:tcPr>
            <w:tcW w:w="1230" w:type="dxa"/>
            <w:noWrap w:val="0"/>
            <w:vAlign w:val="center"/>
          </w:tcPr>
          <w:p>
            <w:pPr>
              <w:pStyle w:val="24"/>
              <w:widowControl/>
              <w:jc w:val="center"/>
              <w:textAlignment w:val="center"/>
              <w:rPr>
                <w:rFonts w:hint="default"/>
                <w:lang w:val="en-US" w:eastAsia="zh-CN"/>
              </w:rPr>
            </w:pPr>
            <w:r>
              <w:rPr>
                <w:rFonts w:hint="eastAsia"/>
                <w:lang w:val="en-US" w:eastAsia="zh-CN"/>
              </w:rPr>
              <w:t>多云</w:t>
            </w:r>
          </w:p>
        </w:tc>
        <w:tc>
          <w:tcPr>
            <w:tcW w:w="1509" w:type="dxa"/>
            <w:noWrap w:val="0"/>
            <w:vAlign w:val="center"/>
          </w:tcPr>
          <w:p>
            <w:pPr>
              <w:pStyle w:val="24"/>
              <w:widowControl/>
              <w:jc w:val="center"/>
              <w:textAlignment w:val="center"/>
              <w:rPr>
                <w:rFonts w:hint="default"/>
                <w:lang w:val="en-US" w:eastAsia="zh-CN"/>
              </w:rPr>
            </w:pPr>
            <w:r>
              <w:rPr>
                <w:rFonts w:hint="eastAsia"/>
                <w:lang w:val="en-US" w:eastAsia="zh-CN"/>
              </w:rPr>
              <w:t>东北风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jc w:val="center"/>
        </w:trPr>
        <w:tc>
          <w:tcPr>
            <w:tcW w:w="2600" w:type="dxa"/>
            <w:noWrap w:val="0"/>
            <w:vAlign w:val="center"/>
          </w:tcPr>
          <w:p>
            <w:pPr>
              <w:pStyle w:val="24"/>
              <w:widowControl/>
              <w:jc w:val="center"/>
              <w:textAlignment w:val="center"/>
              <w:rPr>
                <w:rFonts w:hint="default"/>
                <w:lang w:val="en-US" w:eastAsia="zh-CN"/>
              </w:rPr>
            </w:pPr>
            <w:r>
              <w:rPr>
                <w:rFonts w:hint="default"/>
                <w:lang w:val="en-US" w:eastAsia="zh-CN"/>
              </w:rPr>
              <w:t>202</w:t>
            </w:r>
            <w:r>
              <w:rPr>
                <w:rFonts w:hint="eastAsia"/>
                <w:lang w:val="en-US" w:eastAsia="zh-CN"/>
              </w:rPr>
              <w:t>3</w:t>
            </w:r>
            <w:r>
              <w:rPr>
                <w:rFonts w:hint="default"/>
                <w:lang w:val="en-US" w:eastAsia="zh-CN"/>
              </w:rPr>
              <w:t>年</w:t>
            </w:r>
            <w:r>
              <w:rPr>
                <w:rFonts w:hint="eastAsia"/>
                <w:lang w:val="en-US" w:eastAsia="zh-CN"/>
              </w:rPr>
              <w:t>3</w:t>
            </w:r>
            <w:r>
              <w:rPr>
                <w:rFonts w:hint="default"/>
                <w:lang w:val="en-US" w:eastAsia="zh-CN"/>
              </w:rPr>
              <w:t>月</w:t>
            </w:r>
            <w:r>
              <w:rPr>
                <w:rFonts w:hint="eastAsia"/>
                <w:lang w:val="en-US" w:eastAsia="zh-CN"/>
              </w:rPr>
              <w:t>24</w:t>
            </w:r>
            <w:r>
              <w:rPr>
                <w:rFonts w:hint="default"/>
                <w:lang w:val="en-US" w:eastAsia="zh-CN"/>
              </w:rPr>
              <w:t>日</w:t>
            </w:r>
          </w:p>
        </w:tc>
        <w:tc>
          <w:tcPr>
            <w:tcW w:w="1512" w:type="dxa"/>
            <w:noWrap w:val="0"/>
            <w:vAlign w:val="center"/>
          </w:tcPr>
          <w:p>
            <w:pPr>
              <w:pStyle w:val="24"/>
              <w:widowControl/>
              <w:jc w:val="center"/>
              <w:textAlignment w:val="center"/>
              <w:rPr>
                <w:rFonts w:hint="default"/>
                <w:lang w:val="en-US" w:eastAsia="zh-CN"/>
              </w:rPr>
            </w:pPr>
            <w:r>
              <w:rPr>
                <w:rFonts w:hint="eastAsia"/>
              </w:rPr>
              <w:t>15.4</w:t>
            </w:r>
            <w:r>
              <w:rPr>
                <w:rFonts w:hint="eastAsia"/>
                <w:lang w:val="en-US" w:eastAsia="zh-CN"/>
              </w:rPr>
              <w:t>~</w:t>
            </w:r>
            <w:r>
              <w:rPr>
                <w:rFonts w:hint="eastAsia"/>
              </w:rPr>
              <w:t>19.2</w:t>
            </w:r>
          </w:p>
        </w:tc>
        <w:tc>
          <w:tcPr>
            <w:tcW w:w="1141" w:type="dxa"/>
            <w:noWrap w:val="0"/>
            <w:vAlign w:val="center"/>
          </w:tcPr>
          <w:p>
            <w:pPr>
              <w:pStyle w:val="24"/>
              <w:widowControl/>
              <w:jc w:val="center"/>
              <w:textAlignment w:val="center"/>
              <w:rPr>
                <w:rFonts w:hint="default"/>
                <w:lang w:val="en-US" w:eastAsia="zh-CN"/>
              </w:rPr>
            </w:pPr>
            <w:r>
              <w:rPr>
                <w:rFonts w:hint="eastAsia"/>
                <w:lang w:val="en-US" w:eastAsia="zh-CN"/>
              </w:rPr>
              <w:t>101.2</w:t>
            </w:r>
          </w:p>
        </w:tc>
        <w:tc>
          <w:tcPr>
            <w:tcW w:w="1859" w:type="dxa"/>
            <w:noWrap w:val="0"/>
            <w:vAlign w:val="center"/>
          </w:tcPr>
          <w:p>
            <w:pPr>
              <w:pStyle w:val="24"/>
              <w:widowControl/>
              <w:jc w:val="center"/>
              <w:textAlignment w:val="center"/>
              <w:rPr>
                <w:rFonts w:hint="default"/>
                <w:lang w:val="en-US" w:eastAsia="zh-CN"/>
              </w:rPr>
            </w:pPr>
            <w:r>
              <w:rPr>
                <w:rFonts w:hint="eastAsia"/>
                <w:lang w:val="en-US" w:eastAsia="zh-CN"/>
              </w:rPr>
              <w:t>62.1~66.5</w:t>
            </w:r>
          </w:p>
        </w:tc>
        <w:tc>
          <w:tcPr>
            <w:tcW w:w="1230" w:type="dxa"/>
            <w:noWrap w:val="0"/>
            <w:vAlign w:val="center"/>
          </w:tcPr>
          <w:p>
            <w:pPr>
              <w:pStyle w:val="24"/>
              <w:widowControl/>
              <w:jc w:val="center"/>
              <w:textAlignment w:val="center"/>
              <w:rPr>
                <w:rFonts w:hint="eastAsia"/>
                <w:lang w:val="en-US" w:eastAsia="zh-CN"/>
              </w:rPr>
            </w:pPr>
            <w:r>
              <w:rPr>
                <w:rFonts w:hint="eastAsia"/>
                <w:lang w:val="en-US" w:eastAsia="zh-CN"/>
              </w:rPr>
              <w:t>阴</w:t>
            </w:r>
          </w:p>
        </w:tc>
        <w:tc>
          <w:tcPr>
            <w:tcW w:w="1509" w:type="dxa"/>
            <w:noWrap w:val="0"/>
            <w:vAlign w:val="center"/>
          </w:tcPr>
          <w:p>
            <w:pPr>
              <w:pStyle w:val="24"/>
              <w:widowControl/>
              <w:jc w:val="center"/>
              <w:textAlignment w:val="center"/>
              <w:rPr>
                <w:rFonts w:hint="eastAsia"/>
                <w:lang w:val="en-US" w:eastAsia="zh-CN"/>
              </w:rPr>
            </w:pPr>
            <w:r>
              <w:rPr>
                <w:rFonts w:hint="eastAsia"/>
                <w:lang w:val="en-US" w:eastAsia="zh-CN"/>
              </w:rPr>
              <w:t>东北风</w:t>
            </w:r>
          </w:p>
        </w:tc>
      </w:tr>
    </w:tbl>
    <w:p>
      <w:pPr>
        <w:pStyle w:val="23"/>
        <w:bidi w:val="0"/>
        <w:rPr>
          <w:rFonts w:hint="eastAsia"/>
          <w:lang w:eastAsia="zh-CN"/>
        </w:rPr>
      </w:pPr>
      <w:bookmarkStart w:id="181" w:name="_Toc13337_WPSOffice_Level1"/>
      <w:r>
        <w:rPr>
          <w:rFonts w:hint="eastAsia"/>
          <w:lang w:val="en-US" w:eastAsia="zh-CN"/>
        </w:rPr>
        <w:t xml:space="preserve">表9.1.2 </w:t>
      </w:r>
      <w:r>
        <w:rPr>
          <w:rFonts w:hint="eastAsia"/>
          <w:lang w:eastAsia="zh-CN"/>
        </w:rPr>
        <w:t>各储罐货种储存情况</w:t>
      </w:r>
    </w:p>
    <w:tbl>
      <w:tblPr>
        <w:tblStyle w:val="15"/>
        <w:tblW w:w="984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8"/>
        <w:gridCol w:w="1604"/>
        <w:gridCol w:w="1863"/>
        <w:gridCol w:w="1437"/>
        <w:gridCol w:w="1559"/>
        <w:gridCol w:w="1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lang w:val="en-US" w:eastAsia="zh-CN"/>
              </w:rPr>
              <w:t>罐号</w:t>
            </w:r>
          </w:p>
        </w:tc>
        <w:tc>
          <w:tcPr>
            <w:tcW w:w="1604" w:type="dxa"/>
            <w:vAlign w:val="center"/>
          </w:tcPr>
          <w:p>
            <w:pPr>
              <w:pStyle w:val="24"/>
              <w:bidi w:val="0"/>
              <w:jc w:val="center"/>
            </w:pPr>
            <w:r>
              <w:rPr>
                <w:lang w:val="en-US" w:eastAsia="zh-CN"/>
              </w:rPr>
              <w:t>品名</w:t>
            </w:r>
          </w:p>
        </w:tc>
        <w:tc>
          <w:tcPr>
            <w:tcW w:w="1863" w:type="dxa"/>
            <w:vAlign w:val="center"/>
          </w:tcPr>
          <w:p>
            <w:pPr>
              <w:pStyle w:val="24"/>
              <w:bidi w:val="0"/>
              <w:jc w:val="center"/>
            </w:pPr>
            <w:r>
              <w:rPr>
                <w:rFonts w:hint="default"/>
                <w:lang w:val="en-US" w:eastAsia="zh-CN"/>
              </w:rPr>
              <w:t>罐存数量</w:t>
            </w:r>
            <w:r>
              <w:rPr>
                <w:rFonts w:hint="eastAsia"/>
                <w:lang w:val="en-US" w:eastAsia="zh-CN"/>
              </w:rPr>
              <w:t>/吨</w:t>
            </w:r>
            <w:r>
              <w:rPr>
                <w:rFonts w:hint="default"/>
                <w:lang w:val="en-US" w:eastAsia="zh-CN"/>
              </w:rPr>
              <w:br w:type="textWrapping"/>
            </w:r>
            <w:r>
              <w:rPr>
                <w:rFonts w:hint="default"/>
                <w:lang w:val="en-US" w:eastAsia="zh-CN"/>
              </w:rPr>
              <w:t>（包括管线+废油）</w:t>
            </w:r>
          </w:p>
        </w:tc>
        <w:tc>
          <w:tcPr>
            <w:tcW w:w="1437" w:type="dxa"/>
            <w:vAlign w:val="center"/>
          </w:tcPr>
          <w:p>
            <w:pPr>
              <w:pStyle w:val="24"/>
              <w:bidi w:val="0"/>
              <w:jc w:val="center"/>
            </w:pPr>
            <w:r>
              <w:rPr>
                <w:lang w:val="en-US" w:eastAsia="zh-CN"/>
              </w:rPr>
              <w:t>罐号</w:t>
            </w:r>
          </w:p>
        </w:tc>
        <w:tc>
          <w:tcPr>
            <w:tcW w:w="1559" w:type="dxa"/>
            <w:vAlign w:val="center"/>
          </w:tcPr>
          <w:p>
            <w:pPr>
              <w:pStyle w:val="24"/>
              <w:bidi w:val="0"/>
              <w:jc w:val="center"/>
              <w:rPr>
                <w:lang w:val="en-US" w:eastAsia="zh-CN"/>
              </w:rPr>
            </w:pPr>
            <w:r>
              <w:rPr>
                <w:lang w:val="en-US" w:eastAsia="zh-CN"/>
              </w:rPr>
              <w:t>品名</w:t>
            </w:r>
          </w:p>
        </w:tc>
        <w:tc>
          <w:tcPr>
            <w:tcW w:w="1928" w:type="dxa"/>
            <w:vAlign w:val="center"/>
          </w:tcPr>
          <w:p>
            <w:pPr>
              <w:pStyle w:val="24"/>
              <w:bidi w:val="0"/>
              <w:jc w:val="center"/>
              <w:rPr>
                <w:lang w:val="en-US" w:eastAsia="zh-CN"/>
              </w:rPr>
            </w:pPr>
            <w:r>
              <w:rPr>
                <w:rFonts w:hint="default"/>
                <w:lang w:val="en-US" w:eastAsia="zh-CN"/>
              </w:rPr>
              <w:t>罐存数量</w:t>
            </w:r>
            <w:r>
              <w:rPr>
                <w:rFonts w:hint="default"/>
                <w:lang w:val="en-US" w:eastAsia="zh-CN"/>
              </w:rPr>
              <w:br w:type="textWrapping"/>
            </w:r>
            <w:r>
              <w:rPr>
                <w:rFonts w:hint="default"/>
                <w:lang w:val="en-US" w:eastAsia="zh-CN"/>
              </w:rPr>
              <w:t>（包括管线+废油）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T101</w:t>
            </w:r>
          </w:p>
        </w:tc>
        <w:tc>
          <w:tcPr>
            <w:tcW w:w="1604" w:type="dxa"/>
            <w:vAlign w:val="center"/>
          </w:tcPr>
          <w:p>
            <w:pPr>
              <w:pStyle w:val="24"/>
              <w:bidi w:val="0"/>
              <w:jc w:val="center"/>
            </w:pPr>
            <w:r>
              <w:rPr>
                <w:rFonts w:hint="eastAsia"/>
                <w:lang w:val="en-US" w:eastAsia="zh-CN"/>
              </w:rPr>
              <w:t>汽油</w:t>
            </w:r>
          </w:p>
        </w:tc>
        <w:tc>
          <w:tcPr>
            <w:tcW w:w="1863" w:type="dxa"/>
            <w:vAlign w:val="center"/>
          </w:tcPr>
          <w:p>
            <w:pPr>
              <w:pStyle w:val="24"/>
              <w:bidi w:val="0"/>
              <w:jc w:val="center"/>
            </w:pPr>
            <w:r>
              <w:rPr>
                <w:rFonts w:hint="default"/>
                <w:lang w:val="en-US" w:eastAsia="zh-CN"/>
              </w:rPr>
              <w:t>2918.849</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T501</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液碱</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9400.501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T104</w:t>
            </w:r>
          </w:p>
        </w:tc>
        <w:tc>
          <w:tcPr>
            <w:tcW w:w="1604" w:type="dxa"/>
            <w:vAlign w:val="center"/>
          </w:tcPr>
          <w:p>
            <w:pPr>
              <w:pStyle w:val="24"/>
              <w:bidi w:val="0"/>
              <w:jc w:val="center"/>
            </w:pPr>
            <w:r>
              <w:rPr>
                <w:rFonts w:hint="eastAsia"/>
                <w:lang w:val="en-US" w:eastAsia="zh-CN"/>
              </w:rPr>
              <w:t>汽油</w:t>
            </w:r>
          </w:p>
        </w:tc>
        <w:tc>
          <w:tcPr>
            <w:tcW w:w="1863" w:type="dxa"/>
            <w:vAlign w:val="center"/>
          </w:tcPr>
          <w:p>
            <w:pPr>
              <w:pStyle w:val="24"/>
              <w:bidi w:val="0"/>
              <w:jc w:val="center"/>
            </w:pPr>
            <w:r>
              <w:rPr>
                <w:rFonts w:hint="default"/>
                <w:lang w:val="en-US" w:eastAsia="zh-CN"/>
              </w:rPr>
              <w:t>5360.178</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T602</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92#</w:t>
            </w:r>
            <w:r>
              <w:rPr>
                <w:rFonts w:hint="eastAsia"/>
                <w:lang w:val="en-US" w:eastAsia="zh-CN"/>
              </w:rPr>
              <w:t>汽油</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4153.280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T106</w:t>
            </w:r>
          </w:p>
        </w:tc>
        <w:tc>
          <w:tcPr>
            <w:tcW w:w="1604" w:type="dxa"/>
            <w:vAlign w:val="center"/>
          </w:tcPr>
          <w:p>
            <w:pPr>
              <w:pStyle w:val="24"/>
              <w:bidi w:val="0"/>
              <w:jc w:val="center"/>
            </w:pPr>
            <w:r>
              <w:rPr>
                <w:rFonts w:hint="eastAsia"/>
                <w:lang w:val="en-US" w:eastAsia="zh-CN"/>
              </w:rPr>
              <w:t>汽油</w:t>
            </w:r>
          </w:p>
        </w:tc>
        <w:tc>
          <w:tcPr>
            <w:tcW w:w="1863" w:type="dxa"/>
            <w:vAlign w:val="center"/>
          </w:tcPr>
          <w:p>
            <w:pPr>
              <w:pStyle w:val="24"/>
              <w:bidi w:val="0"/>
              <w:jc w:val="center"/>
            </w:pPr>
            <w:r>
              <w:rPr>
                <w:rFonts w:hint="default"/>
                <w:lang w:val="en-US" w:eastAsia="zh-CN"/>
              </w:rPr>
              <w:t>2296.524</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T604</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0#</w:t>
            </w:r>
            <w:r>
              <w:rPr>
                <w:rFonts w:hint="eastAsia"/>
                <w:lang w:val="en-US" w:eastAsia="zh-CN"/>
              </w:rPr>
              <w:t>柴油</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4467.375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T203</w:t>
            </w:r>
          </w:p>
        </w:tc>
        <w:tc>
          <w:tcPr>
            <w:tcW w:w="1604" w:type="dxa"/>
            <w:vAlign w:val="center"/>
          </w:tcPr>
          <w:p>
            <w:pPr>
              <w:pStyle w:val="24"/>
              <w:bidi w:val="0"/>
              <w:jc w:val="center"/>
            </w:pPr>
            <w:r>
              <w:rPr>
                <w:rFonts w:hint="eastAsia"/>
                <w:lang w:val="en-US" w:eastAsia="zh-CN"/>
              </w:rPr>
              <w:t>乙酸乙酯</w:t>
            </w:r>
          </w:p>
        </w:tc>
        <w:tc>
          <w:tcPr>
            <w:tcW w:w="1863" w:type="dxa"/>
            <w:vAlign w:val="center"/>
          </w:tcPr>
          <w:p>
            <w:pPr>
              <w:pStyle w:val="24"/>
              <w:bidi w:val="0"/>
              <w:jc w:val="center"/>
            </w:pPr>
            <w:r>
              <w:rPr>
                <w:rFonts w:hint="default"/>
                <w:lang w:val="en-US" w:eastAsia="zh-CN"/>
              </w:rPr>
              <w:t>846.754</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T605</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0#</w:t>
            </w:r>
            <w:r>
              <w:rPr>
                <w:rFonts w:hint="eastAsia"/>
                <w:lang w:val="en-US" w:eastAsia="zh-CN"/>
              </w:rPr>
              <w:t>柴油</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4187.751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T204</w:t>
            </w:r>
          </w:p>
        </w:tc>
        <w:tc>
          <w:tcPr>
            <w:tcW w:w="1604" w:type="dxa"/>
            <w:vAlign w:val="center"/>
          </w:tcPr>
          <w:p>
            <w:pPr>
              <w:pStyle w:val="24"/>
              <w:bidi w:val="0"/>
              <w:jc w:val="center"/>
            </w:pPr>
            <w:r>
              <w:rPr>
                <w:rFonts w:hint="eastAsia"/>
                <w:lang w:val="en-US" w:eastAsia="zh-CN"/>
              </w:rPr>
              <w:t>乙酸正丙酯</w:t>
            </w:r>
          </w:p>
        </w:tc>
        <w:tc>
          <w:tcPr>
            <w:tcW w:w="1863" w:type="dxa"/>
            <w:vAlign w:val="center"/>
          </w:tcPr>
          <w:p>
            <w:pPr>
              <w:pStyle w:val="24"/>
              <w:bidi w:val="0"/>
              <w:jc w:val="center"/>
            </w:pPr>
            <w:r>
              <w:rPr>
                <w:rFonts w:hint="default"/>
                <w:lang w:val="en-US" w:eastAsia="zh-CN"/>
              </w:rPr>
              <w:t>999.294</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T606</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0#</w:t>
            </w:r>
            <w:r>
              <w:rPr>
                <w:rFonts w:hint="eastAsia"/>
                <w:lang w:val="en-US" w:eastAsia="zh-CN"/>
              </w:rPr>
              <w:t>柴油</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70.194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T205</w:t>
            </w:r>
          </w:p>
        </w:tc>
        <w:tc>
          <w:tcPr>
            <w:tcW w:w="1604" w:type="dxa"/>
            <w:vAlign w:val="center"/>
          </w:tcPr>
          <w:p>
            <w:pPr>
              <w:pStyle w:val="24"/>
              <w:bidi w:val="0"/>
              <w:jc w:val="center"/>
            </w:pPr>
            <w:r>
              <w:rPr>
                <w:rFonts w:hint="eastAsia"/>
                <w:lang w:val="en-US" w:eastAsia="zh-CN"/>
              </w:rPr>
              <w:t>丙烯酸丁酯</w:t>
            </w:r>
          </w:p>
        </w:tc>
        <w:tc>
          <w:tcPr>
            <w:tcW w:w="1863" w:type="dxa"/>
            <w:vAlign w:val="center"/>
          </w:tcPr>
          <w:p>
            <w:pPr>
              <w:pStyle w:val="24"/>
              <w:bidi w:val="0"/>
              <w:jc w:val="center"/>
            </w:pPr>
            <w:r>
              <w:rPr>
                <w:rFonts w:hint="default"/>
                <w:lang w:val="en-US" w:eastAsia="zh-CN"/>
              </w:rPr>
              <w:t>319.264</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T607</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甲苯</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2998.110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T207</w:t>
            </w:r>
          </w:p>
        </w:tc>
        <w:tc>
          <w:tcPr>
            <w:tcW w:w="1604" w:type="dxa"/>
            <w:vAlign w:val="center"/>
          </w:tcPr>
          <w:p>
            <w:pPr>
              <w:pStyle w:val="24"/>
              <w:bidi w:val="0"/>
              <w:jc w:val="center"/>
            </w:pPr>
            <w:r>
              <w:rPr>
                <w:rFonts w:hint="eastAsia"/>
                <w:lang w:val="en-US" w:eastAsia="zh-CN"/>
              </w:rPr>
              <w:t>乙酸正丁酯</w:t>
            </w:r>
          </w:p>
        </w:tc>
        <w:tc>
          <w:tcPr>
            <w:tcW w:w="1863" w:type="dxa"/>
            <w:vAlign w:val="center"/>
          </w:tcPr>
          <w:p>
            <w:pPr>
              <w:pStyle w:val="24"/>
              <w:bidi w:val="0"/>
              <w:jc w:val="center"/>
            </w:pPr>
            <w:r>
              <w:rPr>
                <w:rFonts w:hint="default"/>
                <w:lang w:val="en-US" w:eastAsia="zh-CN"/>
              </w:rPr>
              <w:t>1115.010</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T608</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混合二甲苯</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2455.181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T208</w:t>
            </w:r>
          </w:p>
        </w:tc>
        <w:tc>
          <w:tcPr>
            <w:tcW w:w="1604" w:type="dxa"/>
            <w:vAlign w:val="center"/>
          </w:tcPr>
          <w:p>
            <w:pPr>
              <w:pStyle w:val="24"/>
              <w:bidi w:val="0"/>
              <w:jc w:val="center"/>
            </w:pPr>
            <w:r>
              <w:rPr>
                <w:rFonts w:hint="eastAsia"/>
                <w:lang w:val="en-US" w:eastAsia="zh-CN"/>
              </w:rPr>
              <w:t>丙烯酸丁酯</w:t>
            </w:r>
          </w:p>
        </w:tc>
        <w:tc>
          <w:tcPr>
            <w:tcW w:w="1863" w:type="dxa"/>
            <w:vAlign w:val="center"/>
          </w:tcPr>
          <w:p>
            <w:pPr>
              <w:pStyle w:val="24"/>
              <w:bidi w:val="0"/>
              <w:jc w:val="center"/>
            </w:pPr>
            <w:r>
              <w:rPr>
                <w:rFonts w:hint="default"/>
                <w:lang w:val="en-US" w:eastAsia="zh-CN"/>
              </w:rPr>
              <w:t>502.706</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T610</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甲醇</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52.062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T210</w:t>
            </w:r>
          </w:p>
        </w:tc>
        <w:tc>
          <w:tcPr>
            <w:tcW w:w="1604" w:type="dxa"/>
            <w:vAlign w:val="center"/>
          </w:tcPr>
          <w:p>
            <w:pPr>
              <w:pStyle w:val="24"/>
              <w:bidi w:val="0"/>
              <w:jc w:val="center"/>
            </w:pPr>
            <w:r>
              <w:rPr>
                <w:rFonts w:hint="eastAsia"/>
                <w:lang w:val="en-US" w:eastAsia="zh-CN"/>
              </w:rPr>
              <w:t>乙酸乙酯</w:t>
            </w:r>
          </w:p>
        </w:tc>
        <w:tc>
          <w:tcPr>
            <w:tcW w:w="1863" w:type="dxa"/>
            <w:vAlign w:val="center"/>
          </w:tcPr>
          <w:p>
            <w:pPr>
              <w:pStyle w:val="24"/>
              <w:bidi w:val="0"/>
              <w:jc w:val="center"/>
            </w:pPr>
            <w:r>
              <w:rPr>
                <w:rFonts w:hint="default"/>
                <w:lang w:val="en-US" w:eastAsia="zh-CN"/>
              </w:rPr>
              <w:t>1016.287</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T701</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苯</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4076.208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T302</w:t>
            </w:r>
          </w:p>
        </w:tc>
        <w:tc>
          <w:tcPr>
            <w:tcW w:w="1604" w:type="dxa"/>
            <w:vAlign w:val="center"/>
          </w:tcPr>
          <w:p>
            <w:pPr>
              <w:pStyle w:val="24"/>
              <w:bidi w:val="0"/>
              <w:jc w:val="center"/>
            </w:pPr>
            <w:r>
              <w:rPr>
                <w:rFonts w:hint="eastAsia"/>
                <w:lang w:val="en-US" w:eastAsia="zh-CN"/>
              </w:rPr>
              <w:t>乙酸乙烯酯</w:t>
            </w:r>
          </w:p>
        </w:tc>
        <w:tc>
          <w:tcPr>
            <w:tcW w:w="1863" w:type="dxa"/>
            <w:vAlign w:val="center"/>
          </w:tcPr>
          <w:p>
            <w:pPr>
              <w:pStyle w:val="24"/>
              <w:bidi w:val="0"/>
              <w:jc w:val="center"/>
            </w:pPr>
            <w:r>
              <w:rPr>
                <w:rFonts w:hint="default"/>
                <w:lang w:val="en-US" w:eastAsia="zh-CN"/>
              </w:rPr>
              <w:t>1486.215</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T702</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苯</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1635.490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T305</w:t>
            </w:r>
          </w:p>
        </w:tc>
        <w:tc>
          <w:tcPr>
            <w:tcW w:w="1604" w:type="dxa"/>
            <w:vAlign w:val="center"/>
          </w:tcPr>
          <w:p>
            <w:pPr>
              <w:pStyle w:val="24"/>
              <w:bidi w:val="0"/>
              <w:jc w:val="center"/>
            </w:pPr>
            <w:r>
              <w:rPr>
                <w:rFonts w:hint="eastAsia"/>
                <w:lang w:val="en-US" w:eastAsia="zh-CN"/>
              </w:rPr>
              <w:t>乙酸乙烯酯</w:t>
            </w:r>
          </w:p>
        </w:tc>
        <w:tc>
          <w:tcPr>
            <w:tcW w:w="1863" w:type="dxa"/>
            <w:vAlign w:val="center"/>
          </w:tcPr>
          <w:p>
            <w:pPr>
              <w:pStyle w:val="24"/>
              <w:bidi w:val="0"/>
              <w:jc w:val="center"/>
            </w:pPr>
            <w:r>
              <w:rPr>
                <w:rFonts w:hint="default"/>
                <w:lang w:val="en-US" w:eastAsia="zh-CN"/>
              </w:rPr>
              <w:t>160.586</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T703</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苯</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3977.741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T306</w:t>
            </w:r>
          </w:p>
        </w:tc>
        <w:tc>
          <w:tcPr>
            <w:tcW w:w="1604" w:type="dxa"/>
            <w:vAlign w:val="center"/>
          </w:tcPr>
          <w:p>
            <w:pPr>
              <w:pStyle w:val="24"/>
              <w:bidi w:val="0"/>
              <w:jc w:val="center"/>
            </w:pPr>
            <w:r>
              <w:rPr>
                <w:rFonts w:hint="eastAsia"/>
                <w:lang w:val="en-US" w:eastAsia="zh-CN"/>
              </w:rPr>
              <w:t>甲苯</w:t>
            </w:r>
          </w:p>
        </w:tc>
        <w:tc>
          <w:tcPr>
            <w:tcW w:w="1863" w:type="dxa"/>
            <w:vAlign w:val="center"/>
          </w:tcPr>
          <w:p>
            <w:pPr>
              <w:pStyle w:val="24"/>
              <w:bidi w:val="0"/>
              <w:jc w:val="center"/>
            </w:pPr>
            <w:r>
              <w:rPr>
                <w:rFonts w:hint="default"/>
                <w:lang w:val="en-US" w:eastAsia="zh-CN"/>
              </w:rPr>
              <w:t>1518.011</w:t>
            </w:r>
          </w:p>
        </w:tc>
        <w:tc>
          <w:tcPr>
            <w:tcW w:w="1437"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T706</w:t>
            </w:r>
          </w:p>
        </w:tc>
        <w:tc>
          <w:tcPr>
            <w:tcW w:w="1559"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eastAsia"/>
                <w:lang w:val="en-US" w:eastAsia="zh-CN"/>
              </w:rPr>
              <w:t>二氯乙烷</w:t>
            </w:r>
          </w:p>
        </w:tc>
        <w:tc>
          <w:tcPr>
            <w:tcW w:w="1928" w:type="dxa"/>
            <w:vAlign w:val="center"/>
          </w:tcPr>
          <w:p>
            <w:pPr>
              <w:pStyle w:val="24"/>
              <w:bidi w:val="0"/>
              <w:jc w:val="center"/>
              <w:rPr>
                <w:rFonts w:hint="default" w:ascii="Times New Roman" w:hAnsi="Times New Roman" w:eastAsia="宋体" w:cs="Times New Roman"/>
                <w:kern w:val="0"/>
                <w:sz w:val="20"/>
                <w:szCs w:val="21"/>
                <w:lang w:val="en-US" w:eastAsia="zh-CN" w:bidi="ar-SA"/>
              </w:rPr>
            </w:pPr>
            <w:r>
              <w:rPr>
                <w:rFonts w:hint="default"/>
                <w:lang w:val="en-US" w:eastAsia="zh-CN"/>
              </w:rPr>
              <w:t>2543.583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T307</w:t>
            </w:r>
          </w:p>
        </w:tc>
        <w:tc>
          <w:tcPr>
            <w:tcW w:w="1604" w:type="dxa"/>
            <w:vAlign w:val="center"/>
          </w:tcPr>
          <w:p>
            <w:pPr>
              <w:pStyle w:val="24"/>
              <w:bidi w:val="0"/>
              <w:jc w:val="center"/>
            </w:pPr>
            <w:r>
              <w:rPr>
                <w:rFonts w:hint="eastAsia"/>
                <w:lang w:val="en-US" w:eastAsia="zh-CN"/>
              </w:rPr>
              <w:t>甲苯</w:t>
            </w:r>
          </w:p>
        </w:tc>
        <w:tc>
          <w:tcPr>
            <w:tcW w:w="1863" w:type="dxa"/>
            <w:vAlign w:val="center"/>
          </w:tcPr>
          <w:p>
            <w:pPr>
              <w:pStyle w:val="24"/>
              <w:bidi w:val="0"/>
              <w:jc w:val="center"/>
            </w:pPr>
            <w:r>
              <w:rPr>
                <w:rFonts w:hint="default"/>
                <w:lang w:val="en-US" w:eastAsia="zh-CN"/>
              </w:rPr>
              <w:t>1448.293</w:t>
            </w:r>
          </w:p>
        </w:tc>
        <w:tc>
          <w:tcPr>
            <w:tcW w:w="1437" w:type="dxa"/>
            <w:vAlign w:val="center"/>
          </w:tcPr>
          <w:p>
            <w:pPr>
              <w:pStyle w:val="24"/>
              <w:bidi w:val="0"/>
              <w:jc w:val="center"/>
              <w:rPr>
                <w:rFonts w:hint="default"/>
                <w:lang w:val="en-US" w:eastAsia="zh-CN"/>
              </w:rPr>
            </w:pPr>
            <w:r>
              <w:rPr>
                <w:rFonts w:hint="eastAsia"/>
                <w:lang w:val="en-US" w:eastAsia="zh-CN"/>
              </w:rPr>
              <w:t>/</w:t>
            </w:r>
          </w:p>
        </w:tc>
        <w:tc>
          <w:tcPr>
            <w:tcW w:w="1559" w:type="dxa"/>
            <w:vAlign w:val="center"/>
          </w:tcPr>
          <w:p>
            <w:pPr>
              <w:pStyle w:val="24"/>
              <w:bidi w:val="0"/>
              <w:jc w:val="center"/>
              <w:rPr>
                <w:rFonts w:hint="default"/>
                <w:lang w:val="en-US" w:eastAsia="zh-CN"/>
              </w:rPr>
            </w:pPr>
            <w:r>
              <w:rPr>
                <w:rFonts w:hint="eastAsia"/>
                <w:lang w:val="en-US" w:eastAsia="zh-CN"/>
              </w:rPr>
              <w:t>/</w:t>
            </w:r>
          </w:p>
        </w:tc>
        <w:tc>
          <w:tcPr>
            <w:tcW w:w="1928" w:type="dxa"/>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pPr>
            <w:r>
              <w:rPr>
                <w:rFonts w:hint="default"/>
                <w:lang w:val="en-US" w:eastAsia="zh-CN"/>
              </w:rPr>
              <w:t>T401</w:t>
            </w:r>
          </w:p>
        </w:tc>
        <w:tc>
          <w:tcPr>
            <w:tcW w:w="1604" w:type="dxa"/>
            <w:vAlign w:val="center"/>
          </w:tcPr>
          <w:p>
            <w:pPr>
              <w:pStyle w:val="24"/>
              <w:bidi w:val="0"/>
              <w:jc w:val="center"/>
            </w:pPr>
            <w:r>
              <w:rPr>
                <w:lang w:val="en-US" w:eastAsia="zh-CN"/>
              </w:rPr>
              <w:t>92#</w:t>
            </w:r>
            <w:r>
              <w:rPr>
                <w:rFonts w:hint="eastAsia"/>
                <w:lang w:val="en-US" w:eastAsia="zh-CN"/>
              </w:rPr>
              <w:t>汽油</w:t>
            </w:r>
          </w:p>
        </w:tc>
        <w:tc>
          <w:tcPr>
            <w:tcW w:w="1863" w:type="dxa"/>
            <w:vAlign w:val="center"/>
          </w:tcPr>
          <w:p>
            <w:pPr>
              <w:pStyle w:val="24"/>
              <w:bidi w:val="0"/>
              <w:jc w:val="center"/>
            </w:pPr>
            <w:r>
              <w:rPr>
                <w:rFonts w:hint="default"/>
                <w:lang w:val="en-US" w:eastAsia="zh-CN"/>
              </w:rPr>
              <w:t>1626.881</w:t>
            </w:r>
          </w:p>
        </w:tc>
        <w:tc>
          <w:tcPr>
            <w:tcW w:w="1437" w:type="dxa"/>
            <w:vAlign w:val="center"/>
          </w:tcPr>
          <w:p>
            <w:pPr>
              <w:pStyle w:val="24"/>
              <w:bidi w:val="0"/>
              <w:jc w:val="center"/>
              <w:rPr>
                <w:rFonts w:hint="default"/>
                <w:lang w:val="en-US" w:eastAsia="zh-CN"/>
              </w:rPr>
            </w:pPr>
          </w:p>
        </w:tc>
        <w:tc>
          <w:tcPr>
            <w:tcW w:w="1559" w:type="dxa"/>
            <w:vAlign w:val="center"/>
          </w:tcPr>
          <w:p>
            <w:pPr>
              <w:pStyle w:val="24"/>
              <w:bidi w:val="0"/>
              <w:jc w:val="center"/>
              <w:rPr>
                <w:rFonts w:hint="default"/>
                <w:lang w:val="en-US" w:eastAsia="zh-CN"/>
              </w:rPr>
            </w:pPr>
          </w:p>
        </w:tc>
        <w:tc>
          <w:tcPr>
            <w:tcW w:w="1928" w:type="dxa"/>
            <w:vAlign w:val="center"/>
          </w:tcPr>
          <w:p>
            <w:pPr>
              <w:pStyle w:val="24"/>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rPr>
                <w:rFonts w:hint="default"/>
                <w:lang w:val="en-US" w:eastAsia="zh-CN"/>
              </w:rPr>
            </w:pPr>
            <w:r>
              <w:rPr>
                <w:rFonts w:hint="default"/>
                <w:lang w:val="en-US" w:eastAsia="zh-CN"/>
              </w:rPr>
              <w:t>T402</w:t>
            </w:r>
          </w:p>
        </w:tc>
        <w:tc>
          <w:tcPr>
            <w:tcW w:w="1604" w:type="dxa"/>
            <w:vAlign w:val="center"/>
          </w:tcPr>
          <w:p>
            <w:pPr>
              <w:pStyle w:val="24"/>
              <w:bidi w:val="0"/>
              <w:jc w:val="center"/>
              <w:rPr>
                <w:rFonts w:hint="default"/>
                <w:lang w:val="en-US" w:eastAsia="zh-CN"/>
              </w:rPr>
            </w:pPr>
            <w:r>
              <w:rPr>
                <w:rFonts w:hint="default"/>
                <w:lang w:val="en-US" w:eastAsia="zh-CN"/>
              </w:rPr>
              <w:t>92#</w:t>
            </w:r>
            <w:r>
              <w:rPr>
                <w:rFonts w:hint="eastAsia"/>
                <w:lang w:val="en-US" w:eastAsia="zh-CN"/>
              </w:rPr>
              <w:t>汽油</w:t>
            </w:r>
          </w:p>
        </w:tc>
        <w:tc>
          <w:tcPr>
            <w:tcW w:w="1863" w:type="dxa"/>
            <w:vAlign w:val="center"/>
          </w:tcPr>
          <w:p>
            <w:pPr>
              <w:pStyle w:val="24"/>
              <w:bidi w:val="0"/>
              <w:jc w:val="center"/>
              <w:rPr>
                <w:rFonts w:hint="default"/>
                <w:lang w:val="en-US" w:eastAsia="zh-CN"/>
              </w:rPr>
            </w:pPr>
            <w:r>
              <w:rPr>
                <w:rFonts w:hint="default"/>
                <w:lang w:val="en-US" w:eastAsia="zh-CN"/>
              </w:rPr>
              <w:t>3470.213</w:t>
            </w:r>
          </w:p>
        </w:tc>
        <w:tc>
          <w:tcPr>
            <w:tcW w:w="1437" w:type="dxa"/>
            <w:vAlign w:val="center"/>
          </w:tcPr>
          <w:p>
            <w:pPr>
              <w:pStyle w:val="24"/>
              <w:bidi w:val="0"/>
              <w:jc w:val="center"/>
              <w:rPr>
                <w:rFonts w:hint="eastAsia" w:eastAsia="宋体"/>
                <w:lang w:val="en-US" w:eastAsia="zh-CN"/>
              </w:rPr>
            </w:pPr>
            <w:r>
              <w:rPr>
                <w:rFonts w:hint="eastAsia"/>
                <w:lang w:val="en-US" w:eastAsia="zh-CN"/>
              </w:rPr>
              <w:t>-</w:t>
            </w:r>
          </w:p>
        </w:tc>
        <w:tc>
          <w:tcPr>
            <w:tcW w:w="1559" w:type="dxa"/>
            <w:vAlign w:val="center"/>
          </w:tcPr>
          <w:p>
            <w:pPr>
              <w:pStyle w:val="24"/>
              <w:bidi w:val="0"/>
              <w:jc w:val="center"/>
              <w:rPr>
                <w:rFonts w:hint="eastAsia" w:eastAsia="宋体"/>
                <w:lang w:val="en-US" w:eastAsia="zh-CN"/>
              </w:rPr>
            </w:pPr>
            <w:r>
              <w:rPr>
                <w:rFonts w:hint="eastAsia"/>
                <w:lang w:val="en-US" w:eastAsia="zh-CN"/>
              </w:rPr>
              <w:t>-</w:t>
            </w:r>
          </w:p>
        </w:tc>
        <w:tc>
          <w:tcPr>
            <w:tcW w:w="1928" w:type="dxa"/>
            <w:vAlign w:val="center"/>
          </w:tcPr>
          <w:p>
            <w:pPr>
              <w:pStyle w:val="24"/>
              <w:bidi w:val="0"/>
              <w:jc w:val="center"/>
              <w:rPr>
                <w:rFonts w:hint="eastAsia" w:eastAsia="宋体"/>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rPr>
                <w:rFonts w:hint="default"/>
                <w:lang w:val="en-US" w:eastAsia="zh-CN"/>
              </w:rPr>
            </w:pPr>
            <w:r>
              <w:rPr>
                <w:rFonts w:hint="default"/>
                <w:lang w:val="en-US" w:eastAsia="zh-CN"/>
              </w:rPr>
              <w:t>T403</w:t>
            </w:r>
          </w:p>
        </w:tc>
        <w:tc>
          <w:tcPr>
            <w:tcW w:w="1604" w:type="dxa"/>
            <w:vAlign w:val="center"/>
          </w:tcPr>
          <w:p>
            <w:pPr>
              <w:pStyle w:val="24"/>
              <w:bidi w:val="0"/>
              <w:jc w:val="center"/>
              <w:rPr>
                <w:rFonts w:hint="default"/>
                <w:lang w:val="en-US" w:eastAsia="zh-CN"/>
              </w:rPr>
            </w:pPr>
            <w:r>
              <w:rPr>
                <w:rFonts w:hint="default"/>
                <w:lang w:val="en-US" w:eastAsia="zh-CN"/>
              </w:rPr>
              <w:t>95#</w:t>
            </w:r>
            <w:r>
              <w:rPr>
                <w:rFonts w:hint="eastAsia"/>
                <w:lang w:val="en-US" w:eastAsia="zh-CN"/>
              </w:rPr>
              <w:t>汽油</w:t>
            </w:r>
          </w:p>
        </w:tc>
        <w:tc>
          <w:tcPr>
            <w:tcW w:w="1863" w:type="dxa"/>
            <w:vAlign w:val="center"/>
          </w:tcPr>
          <w:p>
            <w:pPr>
              <w:pStyle w:val="24"/>
              <w:bidi w:val="0"/>
              <w:jc w:val="center"/>
              <w:rPr>
                <w:rFonts w:hint="default"/>
                <w:lang w:val="en-US" w:eastAsia="zh-CN"/>
              </w:rPr>
            </w:pPr>
            <w:r>
              <w:rPr>
                <w:rFonts w:hint="default"/>
                <w:lang w:val="en-US" w:eastAsia="zh-CN"/>
              </w:rPr>
              <w:t>1375.219</w:t>
            </w:r>
          </w:p>
        </w:tc>
        <w:tc>
          <w:tcPr>
            <w:tcW w:w="1437" w:type="dxa"/>
            <w:vAlign w:val="center"/>
          </w:tcPr>
          <w:p>
            <w:pPr>
              <w:pStyle w:val="24"/>
              <w:bidi w:val="0"/>
              <w:jc w:val="center"/>
              <w:rPr>
                <w:rFonts w:hint="eastAsia"/>
                <w:lang w:val="en-US" w:eastAsia="zh-CN"/>
              </w:rPr>
            </w:pPr>
          </w:p>
        </w:tc>
        <w:tc>
          <w:tcPr>
            <w:tcW w:w="1559" w:type="dxa"/>
            <w:vAlign w:val="center"/>
          </w:tcPr>
          <w:p>
            <w:pPr>
              <w:pStyle w:val="24"/>
              <w:bidi w:val="0"/>
              <w:jc w:val="center"/>
              <w:rPr>
                <w:rFonts w:hint="eastAsia"/>
                <w:lang w:val="en-US" w:eastAsia="zh-CN"/>
              </w:rPr>
            </w:pPr>
          </w:p>
        </w:tc>
        <w:tc>
          <w:tcPr>
            <w:tcW w:w="1928" w:type="dxa"/>
            <w:vAlign w:val="center"/>
          </w:tcPr>
          <w:p>
            <w:pPr>
              <w:pStyle w:val="24"/>
              <w:bidi w:val="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458" w:type="dxa"/>
            <w:vAlign w:val="center"/>
          </w:tcPr>
          <w:p>
            <w:pPr>
              <w:pStyle w:val="24"/>
              <w:bidi w:val="0"/>
              <w:jc w:val="center"/>
              <w:rPr>
                <w:rFonts w:hint="default"/>
                <w:lang w:val="en-US" w:eastAsia="zh-CN"/>
              </w:rPr>
            </w:pPr>
            <w:r>
              <w:rPr>
                <w:rFonts w:hint="default"/>
                <w:lang w:val="en-US" w:eastAsia="zh-CN"/>
              </w:rPr>
              <w:t>T404</w:t>
            </w:r>
          </w:p>
        </w:tc>
        <w:tc>
          <w:tcPr>
            <w:tcW w:w="1604" w:type="dxa"/>
            <w:vAlign w:val="center"/>
          </w:tcPr>
          <w:p>
            <w:pPr>
              <w:pStyle w:val="24"/>
              <w:bidi w:val="0"/>
              <w:jc w:val="center"/>
              <w:rPr>
                <w:rFonts w:hint="default"/>
                <w:lang w:val="en-US" w:eastAsia="zh-CN"/>
              </w:rPr>
            </w:pPr>
            <w:r>
              <w:rPr>
                <w:rFonts w:hint="default"/>
                <w:lang w:val="en-US" w:eastAsia="zh-CN"/>
              </w:rPr>
              <w:t>95#</w:t>
            </w:r>
            <w:r>
              <w:rPr>
                <w:rFonts w:hint="eastAsia"/>
                <w:lang w:val="en-US" w:eastAsia="zh-CN"/>
              </w:rPr>
              <w:t>汽油</w:t>
            </w:r>
          </w:p>
        </w:tc>
        <w:tc>
          <w:tcPr>
            <w:tcW w:w="1863" w:type="dxa"/>
            <w:vAlign w:val="center"/>
          </w:tcPr>
          <w:p>
            <w:pPr>
              <w:pStyle w:val="24"/>
              <w:bidi w:val="0"/>
              <w:jc w:val="center"/>
              <w:rPr>
                <w:rFonts w:hint="default"/>
                <w:lang w:val="en-US" w:eastAsia="zh-CN"/>
              </w:rPr>
            </w:pPr>
            <w:r>
              <w:rPr>
                <w:rFonts w:hint="default"/>
                <w:lang w:val="en-US" w:eastAsia="zh-CN"/>
              </w:rPr>
              <w:t>1918.364</w:t>
            </w:r>
          </w:p>
        </w:tc>
        <w:tc>
          <w:tcPr>
            <w:tcW w:w="1437" w:type="dxa"/>
            <w:vAlign w:val="center"/>
          </w:tcPr>
          <w:p>
            <w:pPr>
              <w:pStyle w:val="24"/>
              <w:bidi w:val="0"/>
              <w:jc w:val="center"/>
              <w:rPr>
                <w:rFonts w:hint="eastAsia"/>
                <w:lang w:val="en-US" w:eastAsia="zh-CN"/>
              </w:rPr>
            </w:pPr>
          </w:p>
        </w:tc>
        <w:tc>
          <w:tcPr>
            <w:tcW w:w="1559" w:type="dxa"/>
            <w:vAlign w:val="center"/>
          </w:tcPr>
          <w:p>
            <w:pPr>
              <w:pStyle w:val="24"/>
              <w:bidi w:val="0"/>
              <w:jc w:val="center"/>
              <w:rPr>
                <w:rFonts w:hint="eastAsia"/>
                <w:lang w:val="en-US" w:eastAsia="zh-CN"/>
              </w:rPr>
            </w:pPr>
          </w:p>
        </w:tc>
        <w:tc>
          <w:tcPr>
            <w:tcW w:w="1928" w:type="dxa"/>
            <w:vAlign w:val="center"/>
          </w:tcPr>
          <w:p>
            <w:pPr>
              <w:pStyle w:val="24"/>
              <w:bidi w:val="0"/>
              <w:jc w:val="center"/>
              <w:rPr>
                <w:rFonts w:hint="eastAsia"/>
                <w:lang w:val="en-US" w:eastAsia="zh-CN"/>
              </w:rPr>
            </w:pPr>
          </w:p>
        </w:tc>
      </w:tr>
    </w:tbl>
    <w:p>
      <w:pPr>
        <w:pStyle w:val="17"/>
        <w:spacing w:before="156" w:beforeLines="50"/>
      </w:pPr>
      <w:bookmarkStart w:id="182" w:name="_Toc29870"/>
      <w:r>
        <w:t>9.2</w:t>
      </w:r>
      <w:r>
        <w:rPr>
          <w:rFonts w:hint="eastAsia"/>
          <w:lang w:val="en-US" w:eastAsia="zh-CN"/>
        </w:rPr>
        <w:t xml:space="preserve"> </w:t>
      </w:r>
      <w:r>
        <w:t>环保设施调试运行效果</w:t>
      </w:r>
      <w:bookmarkEnd w:id="181"/>
      <w:bookmarkEnd w:id="182"/>
    </w:p>
    <w:p>
      <w:pPr>
        <w:pStyle w:val="18"/>
      </w:pPr>
      <w:r>
        <w:t>9.2.1</w:t>
      </w:r>
      <w:r>
        <w:rPr>
          <w:rFonts w:hint="eastAsia"/>
          <w:lang w:val="en-US" w:eastAsia="zh-CN"/>
        </w:rPr>
        <w:t xml:space="preserve"> </w:t>
      </w:r>
      <w:r>
        <w:t>环保设施处理效率监测结果</w:t>
      </w:r>
    </w:p>
    <w:p>
      <w:pPr>
        <w:pStyle w:val="25"/>
      </w:pPr>
      <w:r>
        <w:t>9.2.1</w:t>
      </w:r>
      <w:r>
        <w:rPr>
          <w:lang w:val="en-US"/>
        </w:rPr>
        <w:t xml:space="preserve">.1 </w:t>
      </w:r>
      <w:r>
        <w:t>废水治理设施</w:t>
      </w:r>
    </w:p>
    <w:p>
      <w:pPr>
        <w:pStyle w:val="19"/>
        <w:ind w:firstLine="480"/>
        <w:sectPr>
          <w:pgSz w:w="11907" w:h="16839"/>
          <w:pgMar w:top="1134" w:right="1134" w:bottom="1134" w:left="1134" w:header="851" w:footer="992" w:gutter="0"/>
          <w:pgBorders>
            <w:top w:val="none" w:sz="0" w:space="0"/>
            <w:left w:val="none" w:sz="0" w:space="0"/>
            <w:bottom w:val="none" w:sz="0" w:space="0"/>
            <w:right w:val="none" w:sz="0" w:space="0"/>
          </w:pgBorders>
          <w:cols w:space="720" w:num="1"/>
          <w:docGrid w:type="lines" w:linePitch="312" w:charSpace="0"/>
        </w:sectPr>
      </w:pPr>
      <w:r>
        <w:t>本次竣工环保验收</w:t>
      </w:r>
      <w:r>
        <w:rPr>
          <w:rFonts w:hint="eastAsia"/>
          <w:lang w:val="en-US" w:eastAsia="zh-CN"/>
        </w:rPr>
        <w:t>监测</w:t>
      </w:r>
      <w:r>
        <w:rPr>
          <w:lang w:val="en-US"/>
        </w:rPr>
        <w:t>期间</w:t>
      </w:r>
      <w:r>
        <w:t>，</w:t>
      </w:r>
      <w:r>
        <w:rPr>
          <w:lang w:val="en-US"/>
        </w:rPr>
        <w:t>分别</w:t>
      </w:r>
      <w:r>
        <w:t>对污水处理站</w:t>
      </w:r>
      <w:r>
        <w:rPr>
          <w:lang w:val="en-US"/>
        </w:rPr>
        <w:t>化工品废水进口、含油废水</w:t>
      </w:r>
      <w:r>
        <w:t>进</w:t>
      </w:r>
      <w:r>
        <w:rPr>
          <w:lang w:val="en-US"/>
        </w:rPr>
        <w:t>口</w:t>
      </w:r>
      <w:r>
        <w:t>、</w:t>
      </w:r>
      <w:r>
        <w:rPr>
          <w:lang w:val="en-US"/>
        </w:rPr>
        <w:t>污水处理站</w:t>
      </w:r>
      <w:r>
        <w:rPr>
          <w:rFonts w:hint="eastAsia"/>
          <w:lang w:val="en-US" w:eastAsia="zh-CN"/>
        </w:rPr>
        <w:t>总</w:t>
      </w:r>
      <w:r>
        <w:rPr>
          <w:lang w:val="en-US"/>
        </w:rPr>
        <w:t>排口</w:t>
      </w:r>
      <w:r>
        <w:t>进行监测，</w:t>
      </w:r>
      <w:r>
        <w:rPr>
          <w:lang w:val="en-US"/>
        </w:rPr>
        <w:t>以分别论证化工品废水和含油废水处理效率</w:t>
      </w:r>
      <w:r>
        <w:t>。具体监测结果见表9.2</w:t>
      </w:r>
      <w:r>
        <w:rPr>
          <w:lang w:val="en-US"/>
        </w:rPr>
        <w:t>.</w:t>
      </w:r>
      <w:r>
        <w:t>1</w:t>
      </w:r>
      <w:r>
        <w:rPr>
          <w:lang w:val="en-US"/>
        </w:rPr>
        <w:t>和表9.</w:t>
      </w:r>
      <w:r>
        <w:t>2</w:t>
      </w:r>
      <w:r>
        <w:rPr>
          <w:lang w:val="en-US"/>
        </w:rPr>
        <w:t>.</w:t>
      </w:r>
      <w:r>
        <w:t>2。</w:t>
      </w:r>
    </w:p>
    <w:p>
      <w:pPr>
        <w:pStyle w:val="23"/>
        <w:spacing w:before="60" w:after="60"/>
        <w:rPr>
          <w:lang w:val="en-GB"/>
        </w:rPr>
      </w:pPr>
      <w:r>
        <w:rPr>
          <w:lang w:val="en-GB"/>
        </w:rPr>
        <w:t>表9.</w:t>
      </w:r>
      <w:r>
        <w:t>2.1</w:t>
      </w:r>
      <w:r>
        <w:rPr>
          <w:lang w:val="en-GB"/>
        </w:rPr>
        <w:t xml:space="preserve"> </w:t>
      </w:r>
      <w:r>
        <w:t>化工品废水</w:t>
      </w:r>
      <w:r>
        <w:rPr>
          <w:lang w:val="en-GB"/>
        </w:rPr>
        <w:t>监测结果   单位：mg/L，pH无量纲</w:t>
      </w:r>
    </w:p>
    <w:tbl>
      <w:tblPr>
        <w:tblStyle w:val="14"/>
        <w:tblW w:w="13978" w:type="dxa"/>
        <w:tblInd w:w="0" w:type="dxa"/>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1072"/>
        <w:gridCol w:w="1072"/>
        <w:gridCol w:w="1072"/>
        <w:gridCol w:w="1072"/>
        <w:gridCol w:w="1072"/>
        <w:gridCol w:w="1072"/>
        <w:gridCol w:w="1072"/>
        <w:gridCol w:w="1072"/>
        <w:gridCol w:w="1080"/>
        <w:gridCol w:w="1080"/>
        <w:gridCol w:w="1080"/>
        <w:gridCol w:w="1081"/>
        <w:gridCol w:w="1081"/>
      </w:tblGrid>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85" w:hRule="atLeast"/>
          <w:tblHeader/>
        </w:trPr>
        <w:tc>
          <w:tcPr>
            <w:tcW w:w="1072" w:type="dxa"/>
            <w:tcBorders>
              <w:tl2br w:val="nil"/>
              <w:tr2bl w:val="nil"/>
            </w:tcBorders>
            <w:shd w:val="clear" w:color="auto" w:fill="auto"/>
            <w:tcMar>
              <w:top w:w="15" w:type="dxa"/>
              <w:left w:w="15" w:type="dxa"/>
              <w:right w:w="15" w:type="dxa"/>
            </w:tcMar>
            <w:vAlign w:val="center"/>
          </w:tcPr>
          <w:p>
            <w:pPr>
              <w:pStyle w:val="24"/>
              <w:bidi w:val="0"/>
            </w:pPr>
            <w:r>
              <w:t>监测日期</w:t>
            </w:r>
          </w:p>
        </w:tc>
        <w:tc>
          <w:tcPr>
            <w:tcW w:w="1072" w:type="dxa"/>
            <w:tcBorders>
              <w:tl2br w:val="nil"/>
              <w:tr2bl w:val="nil"/>
            </w:tcBorders>
            <w:shd w:val="clear" w:color="auto" w:fill="auto"/>
            <w:tcMar>
              <w:top w:w="15" w:type="dxa"/>
              <w:left w:w="15" w:type="dxa"/>
              <w:right w:w="15" w:type="dxa"/>
            </w:tcMar>
            <w:vAlign w:val="center"/>
          </w:tcPr>
          <w:p>
            <w:pPr>
              <w:pStyle w:val="24"/>
              <w:bidi w:val="0"/>
            </w:pPr>
            <w:r>
              <w:t>样品编号</w:t>
            </w:r>
          </w:p>
        </w:tc>
        <w:tc>
          <w:tcPr>
            <w:tcW w:w="1072" w:type="dxa"/>
            <w:tcBorders>
              <w:tl2br w:val="nil"/>
              <w:tr2bl w:val="nil"/>
            </w:tcBorders>
            <w:shd w:val="clear" w:color="auto" w:fill="auto"/>
            <w:tcMar>
              <w:top w:w="15" w:type="dxa"/>
              <w:left w:w="15" w:type="dxa"/>
              <w:right w:w="15" w:type="dxa"/>
            </w:tcMar>
            <w:vAlign w:val="center"/>
          </w:tcPr>
          <w:p>
            <w:pPr>
              <w:pStyle w:val="24"/>
              <w:bidi w:val="0"/>
            </w:pPr>
            <w:r>
              <w:t>pH</w:t>
            </w:r>
          </w:p>
        </w:tc>
        <w:tc>
          <w:tcPr>
            <w:tcW w:w="1072" w:type="dxa"/>
            <w:tcBorders>
              <w:tl2br w:val="nil"/>
              <w:tr2bl w:val="nil"/>
            </w:tcBorders>
            <w:shd w:val="clear" w:color="auto" w:fill="auto"/>
            <w:tcMar>
              <w:top w:w="15" w:type="dxa"/>
              <w:left w:w="15" w:type="dxa"/>
              <w:right w:w="15" w:type="dxa"/>
            </w:tcMar>
            <w:vAlign w:val="center"/>
          </w:tcPr>
          <w:p>
            <w:pPr>
              <w:pStyle w:val="24"/>
              <w:bidi w:val="0"/>
            </w:pPr>
            <w:r>
              <w:t>SS</w:t>
            </w:r>
          </w:p>
        </w:tc>
        <w:tc>
          <w:tcPr>
            <w:tcW w:w="1072" w:type="dxa"/>
            <w:tcBorders>
              <w:tl2br w:val="nil"/>
              <w:tr2bl w:val="nil"/>
            </w:tcBorders>
            <w:shd w:val="clear" w:color="auto" w:fill="auto"/>
            <w:tcMar>
              <w:top w:w="15" w:type="dxa"/>
              <w:left w:w="15" w:type="dxa"/>
              <w:right w:w="15" w:type="dxa"/>
            </w:tcMar>
            <w:vAlign w:val="center"/>
          </w:tcPr>
          <w:p>
            <w:pPr>
              <w:pStyle w:val="24"/>
              <w:bidi w:val="0"/>
            </w:pPr>
            <w:r>
              <w:t>NH</w:t>
            </w:r>
            <w:r>
              <w:rPr>
                <w:vertAlign w:val="subscript"/>
              </w:rPr>
              <w:t>3</w:t>
            </w:r>
            <w:r>
              <w:t>-N</w:t>
            </w:r>
          </w:p>
        </w:tc>
        <w:tc>
          <w:tcPr>
            <w:tcW w:w="1072" w:type="dxa"/>
            <w:tcBorders>
              <w:tl2br w:val="nil"/>
              <w:tr2bl w:val="nil"/>
            </w:tcBorders>
            <w:shd w:val="clear" w:color="auto" w:fill="auto"/>
            <w:tcMar>
              <w:top w:w="15" w:type="dxa"/>
              <w:left w:w="15" w:type="dxa"/>
              <w:right w:w="15" w:type="dxa"/>
            </w:tcMar>
            <w:vAlign w:val="center"/>
          </w:tcPr>
          <w:p>
            <w:pPr>
              <w:pStyle w:val="24"/>
              <w:bidi w:val="0"/>
            </w:pPr>
            <w:r>
              <w:t>COD</w:t>
            </w:r>
            <w:r>
              <w:rPr>
                <w:vertAlign w:val="subscript"/>
              </w:rPr>
              <w:t>Cr</w:t>
            </w:r>
          </w:p>
        </w:tc>
        <w:tc>
          <w:tcPr>
            <w:tcW w:w="1072" w:type="dxa"/>
            <w:tcBorders>
              <w:tl2br w:val="nil"/>
              <w:tr2bl w:val="nil"/>
            </w:tcBorders>
            <w:shd w:val="clear" w:color="auto" w:fill="auto"/>
            <w:tcMar>
              <w:top w:w="15" w:type="dxa"/>
              <w:left w:w="15" w:type="dxa"/>
              <w:right w:w="15" w:type="dxa"/>
            </w:tcMar>
            <w:vAlign w:val="center"/>
          </w:tcPr>
          <w:p>
            <w:pPr>
              <w:pStyle w:val="24"/>
              <w:bidi w:val="0"/>
            </w:pPr>
            <w:r>
              <w:t>BOD</w:t>
            </w:r>
            <w:r>
              <w:rPr>
                <w:vertAlign w:val="subscript"/>
              </w:rPr>
              <w:t>5</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石油类</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eastAsia="宋体"/>
                <w:lang w:eastAsia="zh-CN"/>
              </w:rPr>
            </w:pPr>
            <w:r>
              <w:rPr>
                <w:rFonts w:hint="eastAsia"/>
                <w:lang w:val="en-US" w:eastAsia="zh-CN"/>
              </w:rPr>
              <w:t>苯</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eastAsia="宋体"/>
                <w:lang w:val="en-US" w:eastAsia="zh-CN"/>
              </w:rPr>
            </w:pPr>
            <w:r>
              <w:rPr>
                <w:rFonts w:hint="eastAsia"/>
                <w:lang w:val="en-US" w:eastAsia="zh-CN"/>
              </w:rPr>
              <w:t>甲苯</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eastAsia="宋体"/>
                <w:lang w:val="en-US" w:eastAsia="zh-CN"/>
              </w:rPr>
            </w:pPr>
            <w:r>
              <w:rPr>
                <w:rFonts w:hint="eastAsia"/>
                <w:lang w:val="en-US" w:eastAsia="zh-CN"/>
              </w:rPr>
              <w:t>邻二甲苯</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间二甲苯</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eastAsia="宋体"/>
                <w:lang w:val="en-US" w:eastAsia="zh-CN"/>
              </w:rPr>
            </w:pPr>
            <w:r>
              <w:rPr>
                <w:rFonts w:hint="eastAsia"/>
                <w:lang w:val="en-US" w:eastAsia="zh-CN"/>
              </w:rPr>
              <w:t>对二甲苯</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trPr>
        <w:tc>
          <w:tcPr>
            <w:tcW w:w="1072" w:type="dxa"/>
            <w:vMerge w:val="restart"/>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2023.3.23</w:t>
            </w:r>
          </w:p>
        </w:tc>
        <w:tc>
          <w:tcPr>
            <w:tcW w:w="1072" w:type="dxa"/>
            <w:tcBorders>
              <w:tl2br w:val="nil"/>
              <w:tr2bl w:val="nil"/>
            </w:tcBorders>
            <w:shd w:val="clear" w:color="auto" w:fill="auto"/>
            <w:tcMar>
              <w:top w:w="15" w:type="dxa"/>
              <w:left w:w="15" w:type="dxa"/>
              <w:right w:w="15" w:type="dxa"/>
            </w:tcMar>
            <w:vAlign w:val="center"/>
          </w:tcPr>
          <w:p>
            <w:pPr>
              <w:pStyle w:val="24"/>
              <w:bidi w:val="0"/>
            </w:pPr>
            <w:r>
              <w:t>进口1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6.0</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2.84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1.55</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202</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11.0</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0.15</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1.17</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6.2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39</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2.73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1.53</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196</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11.0</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0.15</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1.13</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6.0</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2.89</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1.54</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196</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0.21</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6.1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37</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2.95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1.50</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187</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11.0</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0.12</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0.84</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进口范围或均值</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6.0~6.2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36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2.85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1.53</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195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11.2</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default"/>
                <w:lang w:val="en-US" w:eastAsia="zh-CN"/>
              </w:rPr>
              <w:t>0.15</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default"/>
                <w:lang w:val="en-US" w:eastAsia="zh-CN"/>
              </w:rPr>
              <w:t>0.84</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28</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0.235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1.4</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0.41</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0.224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1.5</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0.38</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70"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0.203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22</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1.5</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00"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0.203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24</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1.5</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出口范围或均值</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7.2~7.5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28</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0.216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23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0.38</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default"/>
                <w:lang w:val="en-US" w:eastAsia="zh-CN"/>
              </w:rPr>
              <w:t>0.07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82"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去除率</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22.2%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92.4%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98.5%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99.2%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96.6%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53.3%</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97.0%</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trPr>
        <w:tc>
          <w:tcPr>
            <w:tcW w:w="1072" w:type="dxa"/>
            <w:vMerge w:val="restart"/>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2023.3.24</w:t>
            </w:r>
          </w:p>
        </w:tc>
        <w:tc>
          <w:tcPr>
            <w:tcW w:w="1072" w:type="dxa"/>
            <w:tcBorders>
              <w:tl2br w:val="nil"/>
              <w:tr2bl w:val="nil"/>
            </w:tcBorders>
            <w:shd w:val="clear" w:color="auto" w:fill="auto"/>
            <w:tcMar>
              <w:top w:w="15" w:type="dxa"/>
              <w:left w:w="15" w:type="dxa"/>
              <w:right w:w="15" w:type="dxa"/>
            </w:tcMar>
            <w:vAlign w:val="center"/>
          </w:tcPr>
          <w:p>
            <w:pPr>
              <w:pStyle w:val="24"/>
              <w:bidi w:val="0"/>
            </w:pPr>
            <w:r>
              <w:t>进口1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6.5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3.00</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1.52</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196</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11.0</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1.24</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6.2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2.89</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1.53</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203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0.15</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1.16</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6.6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40</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2.57</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1.55</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215</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11.3</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0.25</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0.07</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6.3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37</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2.73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1.53</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208</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10.9</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0.12</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0.83</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90"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进口范围或均值</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6.2~6.6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36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2.80</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1.53</w:t>
            </w:r>
            <w:r>
              <w:rPr>
                <w:rFonts w:hint="default"/>
                <w:lang w:val="en-US" w:eastAsia="zh-CN"/>
              </w:rPr>
              <w:t>×</w:t>
            </w:r>
            <w:r>
              <w:rPr>
                <w:rFonts w:hint="eastAsia"/>
                <w:lang w:val="en-US" w:eastAsia="zh-CN"/>
              </w:rPr>
              <w:t>10</w:t>
            </w:r>
            <w:r>
              <w:rPr>
                <w:rFonts w:hint="eastAsia"/>
                <w:vertAlign w:val="superscript"/>
                <w:lang w:val="en-US" w:eastAsia="zh-CN"/>
              </w:rPr>
              <w:t>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206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11.2</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default"/>
                <w:lang w:val="en-US" w:eastAsia="zh-CN"/>
              </w:rPr>
              <w:t>0.15</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default"/>
                <w:lang w:val="en-US" w:eastAsia="zh-CN"/>
              </w:rPr>
              <w:t>0.87</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default"/>
                <w:lang w:val="en-US" w:eastAsia="zh-CN"/>
              </w:rPr>
              <w:t>0.07</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0.230</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27</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1.6</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0.07</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7.2</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28</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0.186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29</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1.8</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0.39</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70"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口3</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0.214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30</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1.9</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0.45</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70"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7.4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0.214</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27</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1.7</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0.38</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出口范围或均值</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7.2~7.6</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27</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0.211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28</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1.8</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0.40</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default"/>
                <w:lang w:val="en-US" w:eastAsia="zh-CN"/>
              </w:rPr>
              <w:t>0.06</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default"/>
                <w:lang w:val="en-US" w:eastAsia="zh-CN"/>
              </w:rPr>
              <w:t>0.05</w:t>
            </w:r>
            <w:r>
              <w:rPr>
                <w:rFonts w:hint="eastAsia"/>
                <w:lang w:val="en-US" w:eastAsia="zh-CN"/>
              </w:rPr>
              <w:t>L</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0.05L</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7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72" w:type="dxa"/>
            <w:tcBorders>
              <w:tl2br w:val="nil"/>
              <w:tr2bl w:val="nil"/>
            </w:tcBorders>
            <w:shd w:val="clear" w:color="auto" w:fill="auto"/>
            <w:tcMar>
              <w:top w:w="15" w:type="dxa"/>
              <w:left w:w="15" w:type="dxa"/>
              <w:right w:w="15" w:type="dxa"/>
            </w:tcMar>
            <w:vAlign w:val="center"/>
          </w:tcPr>
          <w:p>
            <w:pPr>
              <w:pStyle w:val="24"/>
              <w:bidi w:val="0"/>
            </w:pPr>
            <w:r>
              <w:t>去除率</w:t>
            </w:r>
          </w:p>
        </w:tc>
        <w:tc>
          <w:tcPr>
            <w:tcW w:w="1072" w:type="dxa"/>
            <w:tcBorders>
              <w:tl2br w:val="nil"/>
              <w:tr2bl w:val="nil"/>
            </w:tcBorders>
            <w:shd w:val="clear" w:color="auto" w:fill="auto"/>
            <w:tcMar>
              <w:top w:w="15" w:type="dxa"/>
              <w:left w:w="15" w:type="dxa"/>
              <w:right w:w="15" w:type="dxa"/>
            </w:tcMar>
            <w:vAlign w:val="center"/>
          </w:tcPr>
          <w:p>
            <w:pPr>
              <w:pStyle w:val="24"/>
              <w:bidi w:val="0"/>
            </w:pPr>
            <w:r>
              <w:rPr>
                <w:rFonts w:hint="eastAsia"/>
              </w:rPr>
              <w:t>/</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25.0%</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92.5%</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99.9%</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99.1%</w:t>
            </w:r>
          </w:p>
        </w:tc>
        <w:tc>
          <w:tcPr>
            <w:tcW w:w="107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96.4%</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60.0%</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1080" w:type="dxa"/>
            <w:tcBorders>
              <w:tl2br w:val="nil"/>
              <w:tr2bl w:val="nil"/>
            </w:tcBorders>
            <w:shd w:val="clear" w:color="auto" w:fill="auto"/>
            <w:tcMar>
              <w:top w:w="15" w:type="dxa"/>
              <w:left w:w="15" w:type="dxa"/>
              <w:right w:w="15" w:type="dxa"/>
            </w:tcMar>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97.1%</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1081" w:type="dxa"/>
            <w:tcBorders>
              <w:tl2br w:val="nil"/>
              <w:tr2bl w:val="nil"/>
            </w:tcBorders>
            <w:shd w:val="clear" w:color="auto" w:fill="auto"/>
            <w:tcMar>
              <w:top w:w="15" w:type="dxa"/>
              <w:left w:w="15" w:type="dxa"/>
              <w:right w:w="15" w:type="dxa"/>
            </w:tcMar>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w:t>
            </w:r>
          </w:p>
        </w:tc>
      </w:tr>
    </w:tbl>
    <w:p>
      <w:pPr>
        <w:pStyle w:val="19"/>
        <w:spacing w:before="156" w:beforeLines="50"/>
        <w:ind w:firstLine="480"/>
        <w:rPr>
          <w:color w:val="000000"/>
        </w:rPr>
        <w:sectPr>
          <w:pgSz w:w="16839" w:h="11907" w:orient="landscape"/>
          <w:pgMar w:top="1134" w:right="1440" w:bottom="1134" w:left="1440" w:header="851" w:footer="992" w:gutter="0"/>
          <w:pgBorders>
            <w:top w:val="none" w:sz="0" w:space="0"/>
            <w:left w:val="none" w:sz="0" w:space="0"/>
            <w:bottom w:val="none" w:sz="0" w:space="0"/>
            <w:right w:val="none" w:sz="0" w:space="0"/>
          </w:pgBorders>
          <w:cols w:space="720" w:num="1"/>
          <w:docGrid w:type="lines" w:linePitch="312" w:charSpace="0"/>
        </w:sectPr>
      </w:pPr>
    </w:p>
    <w:p>
      <w:pPr>
        <w:pStyle w:val="19"/>
        <w:spacing w:before="156" w:beforeLines="50"/>
        <w:ind w:firstLine="480"/>
      </w:pPr>
      <w:r>
        <w:rPr>
          <w:color w:val="000000"/>
        </w:rPr>
        <w:t>根据表9</w:t>
      </w:r>
      <w:r>
        <w:rPr>
          <w:color w:val="000000"/>
          <w:lang w:val="en-US"/>
        </w:rPr>
        <w:t>.</w:t>
      </w:r>
      <w:r>
        <w:rPr>
          <w:color w:val="000000"/>
        </w:rPr>
        <w:t>2</w:t>
      </w:r>
      <w:r>
        <w:rPr>
          <w:color w:val="000000"/>
          <w:lang w:val="en-US"/>
        </w:rPr>
        <w:t>.</w:t>
      </w:r>
      <w:r>
        <w:rPr>
          <w:color w:val="000000"/>
        </w:rPr>
        <w:t>1可知，</w:t>
      </w:r>
      <w:r>
        <w:rPr>
          <w:rFonts w:hint="eastAsia"/>
          <w:color w:val="000000"/>
          <w:lang w:val="en-US" w:eastAsia="zh-CN"/>
        </w:rPr>
        <w:t>3</w:t>
      </w:r>
      <w:r>
        <w:rPr>
          <w:color w:val="000000"/>
        </w:rPr>
        <w:t>月</w:t>
      </w:r>
      <w:r>
        <w:rPr>
          <w:rFonts w:hint="eastAsia"/>
          <w:color w:val="000000"/>
          <w:lang w:val="en-US" w:eastAsia="zh-CN"/>
        </w:rPr>
        <w:t>23</w:t>
      </w:r>
      <w:r>
        <w:rPr>
          <w:color w:val="000000"/>
        </w:rPr>
        <w:t>日，</w:t>
      </w:r>
      <w:r>
        <w:rPr>
          <w:color w:val="000000"/>
          <w:lang w:val="en-US"/>
        </w:rPr>
        <w:t>化工品废水</w:t>
      </w:r>
      <w:r>
        <w:rPr>
          <w:color w:val="000000"/>
        </w:rPr>
        <w:t>进水pH为</w:t>
      </w:r>
      <w:r>
        <w:rPr>
          <w:rFonts w:hint="eastAsia"/>
          <w:color w:val="000000"/>
          <w:lang w:val="en-US"/>
        </w:rPr>
        <w:t>6.</w:t>
      </w:r>
      <w:r>
        <w:rPr>
          <w:rFonts w:hint="eastAsia"/>
          <w:color w:val="000000"/>
          <w:lang w:val="en-US" w:eastAsia="zh-CN"/>
        </w:rPr>
        <w:t>0</w:t>
      </w:r>
      <w:r>
        <w:rPr>
          <w:rFonts w:hint="eastAsia"/>
          <w:color w:val="000000"/>
          <w:lang w:val="en-US"/>
        </w:rPr>
        <w:t>~</w:t>
      </w:r>
      <w:r>
        <w:rPr>
          <w:rFonts w:hint="eastAsia"/>
          <w:color w:val="000000"/>
          <w:lang w:val="en-US" w:eastAsia="zh-CN"/>
        </w:rPr>
        <w:t>6.2</w:t>
      </w:r>
      <w:r>
        <w:rPr>
          <w:color w:val="000000"/>
        </w:rPr>
        <w:t>，</w:t>
      </w:r>
      <w:r>
        <w:rPr>
          <w:rFonts w:hint="eastAsia"/>
          <w:color w:val="000000"/>
          <w:lang w:val="en-US" w:eastAsia="zh-CN"/>
        </w:rPr>
        <w:t>总排口</w:t>
      </w:r>
      <w:r>
        <w:rPr>
          <w:color w:val="000000"/>
        </w:rPr>
        <w:t>pH为</w:t>
      </w:r>
      <w:r>
        <w:rPr>
          <w:rFonts w:hint="eastAsia"/>
          <w:lang w:val="en-US" w:eastAsia="zh-CN"/>
        </w:rPr>
        <w:t>7.2~7.5</w:t>
      </w:r>
      <w:r>
        <w:rPr>
          <w:color w:val="000000"/>
        </w:rPr>
        <w:t>，污水处理设施对SS的平均去除率为</w:t>
      </w:r>
      <w:r>
        <w:rPr>
          <w:rFonts w:hint="eastAsia"/>
          <w:color w:val="000000"/>
          <w:lang w:val="en-US" w:eastAsia="zh-CN"/>
        </w:rPr>
        <w:t>22.2</w:t>
      </w:r>
      <w:r>
        <w:rPr>
          <w:color w:val="000000"/>
        </w:rPr>
        <w:t>%，对NH</w:t>
      </w:r>
      <w:r>
        <w:rPr>
          <w:color w:val="000000"/>
          <w:vertAlign w:val="subscript"/>
        </w:rPr>
        <w:t>3</w:t>
      </w:r>
      <w:r>
        <w:rPr>
          <w:color w:val="000000"/>
        </w:rPr>
        <w:t>-N的平均去除率为</w:t>
      </w:r>
      <w:r>
        <w:rPr>
          <w:rFonts w:hint="eastAsia"/>
          <w:color w:val="000000"/>
          <w:lang w:val="en-US" w:eastAsia="zh-CN"/>
        </w:rPr>
        <w:t>92.4</w:t>
      </w:r>
      <w:r>
        <w:rPr>
          <w:color w:val="000000"/>
        </w:rPr>
        <w:t>%，对COD的平均去除率为</w:t>
      </w:r>
      <w:r>
        <w:rPr>
          <w:rFonts w:hint="eastAsia"/>
          <w:color w:val="000000"/>
          <w:lang w:val="en-US" w:eastAsia="zh-CN"/>
        </w:rPr>
        <w:t>98.5</w:t>
      </w:r>
      <w:r>
        <w:rPr>
          <w:color w:val="000000"/>
        </w:rPr>
        <w:t>%，对BOD</w:t>
      </w:r>
      <w:r>
        <w:rPr>
          <w:color w:val="000000"/>
          <w:vertAlign w:val="subscript"/>
        </w:rPr>
        <w:t>5</w:t>
      </w:r>
      <w:r>
        <w:rPr>
          <w:color w:val="000000"/>
        </w:rPr>
        <w:t>的平均去除率为</w:t>
      </w:r>
      <w:r>
        <w:rPr>
          <w:rFonts w:hint="eastAsia"/>
          <w:color w:val="000000"/>
          <w:lang w:val="en-US" w:eastAsia="zh-CN"/>
        </w:rPr>
        <w:t>99.2</w:t>
      </w:r>
      <w:r>
        <w:rPr>
          <w:color w:val="000000"/>
        </w:rPr>
        <w:t>%，</w:t>
      </w:r>
      <w:r>
        <w:rPr>
          <w:rFonts w:hint="eastAsia"/>
          <w:color w:val="000000"/>
          <w:lang w:val="en-US"/>
        </w:rPr>
        <w:t>对石油类的平均去除率为</w:t>
      </w:r>
      <w:r>
        <w:rPr>
          <w:rFonts w:hint="eastAsia"/>
          <w:color w:val="000000"/>
          <w:lang w:val="en-US" w:eastAsia="zh-CN"/>
        </w:rPr>
        <w:t>96.6</w:t>
      </w:r>
      <w:r>
        <w:rPr>
          <w:rFonts w:hint="eastAsia"/>
          <w:color w:val="000000"/>
          <w:lang w:val="en-US"/>
        </w:rPr>
        <w:t>%，</w:t>
      </w:r>
      <w:r>
        <w:rPr>
          <w:color w:val="000000"/>
          <w:lang w:val="en-US"/>
        </w:rPr>
        <w:t>对苯的平均去除率为</w:t>
      </w:r>
      <w:r>
        <w:rPr>
          <w:rFonts w:hint="eastAsia"/>
          <w:color w:val="000000"/>
          <w:lang w:val="en-US" w:eastAsia="zh-CN"/>
        </w:rPr>
        <w:t>53.3</w:t>
      </w:r>
      <w:r>
        <w:rPr>
          <w:color w:val="000000"/>
          <w:lang w:val="en-US"/>
        </w:rPr>
        <w:t>%</w:t>
      </w:r>
      <w:r>
        <w:rPr>
          <w:rFonts w:hint="eastAsia"/>
          <w:color w:val="000000"/>
          <w:lang w:val="en-US" w:eastAsia="zh-CN"/>
        </w:rPr>
        <w:t>，对邻二甲苯去除率为97.0%</w:t>
      </w:r>
      <w:r>
        <w:rPr>
          <w:color w:val="000000"/>
        </w:rPr>
        <w:t>。</w:t>
      </w:r>
      <w:r>
        <w:rPr>
          <w:rFonts w:hint="eastAsia"/>
          <w:color w:val="000000"/>
          <w:lang w:val="en-US" w:eastAsia="zh-CN"/>
        </w:rPr>
        <w:t>3</w:t>
      </w:r>
      <w:r>
        <w:rPr>
          <w:color w:val="000000"/>
        </w:rPr>
        <w:t>月</w:t>
      </w:r>
      <w:r>
        <w:rPr>
          <w:rFonts w:hint="eastAsia"/>
          <w:color w:val="000000"/>
          <w:lang w:val="en-US" w:eastAsia="zh-CN"/>
        </w:rPr>
        <w:t>24</w:t>
      </w:r>
      <w:r>
        <w:rPr>
          <w:color w:val="000000"/>
        </w:rPr>
        <w:t>日，</w:t>
      </w:r>
      <w:r>
        <w:rPr>
          <w:color w:val="000000"/>
          <w:lang w:val="en-US"/>
        </w:rPr>
        <w:t>化工品废水</w:t>
      </w:r>
      <w:r>
        <w:rPr>
          <w:color w:val="000000"/>
        </w:rPr>
        <w:t>进水pH为</w:t>
      </w:r>
      <w:r>
        <w:rPr>
          <w:rFonts w:hint="eastAsia"/>
          <w:color w:val="000000"/>
          <w:lang w:val="en-US" w:eastAsia="zh-CN"/>
        </w:rPr>
        <w:t>6.2</w:t>
      </w:r>
      <w:r>
        <w:rPr>
          <w:rFonts w:hint="eastAsia"/>
          <w:color w:val="000000"/>
          <w:lang w:val="en-US"/>
        </w:rPr>
        <w:t>~</w:t>
      </w:r>
      <w:r>
        <w:rPr>
          <w:rFonts w:hint="eastAsia"/>
          <w:color w:val="000000"/>
          <w:lang w:val="en-US" w:eastAsia="zh-CN"/>
        </w:rPr>
        <w:t>6.6</w:t>
      </w:r>
      <w:r>
        <w:rPr>
          <w:color w:val="000000"/>
        </w:rPr>
        <w:t>、</w:t>
      </w:r>
      <w:r>
        <w:rPr>
          <w:rFonts w:hint="eastAsia"/>
          <w:color w:val="000000"/>
          <w:lang w:val="en-US" w:eastAsia="zh-CN"/>
        </w:rPr>
        <w:t>总排口</w:t>
      </w:r>
      <w:r>
        <w:rPr>
          <w:color w:val="000000"/>
        </w:rPr>
        <w:t>pH为</w:t>
      </w:r>
      <w:r>
        <w:rPr>
          <w:rFonts w:hint="eastAsia"/>
          <w:color w:val="000000"/>
          <w:lang w:val="en-US" w:eastAsia="zh-CN"/>
        </w:rPr>
        <w:t>7.2</w:t>
      </w:r>
      <w:r>
        <w:rPr>
          <w:rFonts w:hint="eastAsia"/>
          <w:color w:val="000000"/>
          <w:lang w:val="en-US"/>
        </w:rPr>
        <w:t>~7.</w:t>
      </w:r>
      <w:r>
        <w:rPr>
          <w:rFonts w:hint="eastAsia"/>
          <w:color w:val="000000"/>
          <w:lang w:val="en-US" w:eastAsia="zh-CN"/>
        </w:rPr>
        <w:t>6</w:t>
      </w:r>
      <w:r>
        <w:rPr>
          <w:color w:val="000000"/>
        </w:rPr>
        <w:t>，污水处理设施对SS的平均去除率为</w:t>
      </w:r>
      <w:r>
        <w:rPr>
          <w:rFonts w:hint="eastAsia"/>
          <w:color w:val="000000"/>
          <w:lang w:val="en-US" w:eastAsia="zh-CN"/>
        </w:rPr>
        <w:t>25.0</w:t>
      </w:r>
      <w:r>
        <w:rPr>
          <w:color w:val="000000"/>
        </w:rPr>
        <w:t>%，对NH</w:t>
      </w:r>
      <w:r>
        <w:rPr>
          <w:color w:val="000000"/>
          <w:vertAlign w:val="subscript"/>
        </w:rPr>
        <w:t>3</w:t>
      </w:r>
      <w:r>
        <w:rPr>
          <w:color w:val="000000"/>
        </w:rPr>
        <w:t>-N的平均去除率为</w:t>
      </w:r>
      <w:r>
        <w:rPr>
          <w:rFonts w:hint="eastAsia"/>
          <w:color w:val="000000"/>
          <w:lang w:val="en-US" w:eastAsia="zh-CN"/>
        </w:rPr>
        <w:t>92.5</w:t>
      </w:r>
      <w:r>
        <w:rPr>
          <w:color w:val="000000"/>
        </w:rPr>
        <w:t>%，对COD的平均去除率为</w:t>
      </w:r>
      <w:r>
        <w:rPr>
          <w:rFonts w:hint="eastAsia"/>
          <w:color w:val="000000"/>
          <w:lang w:val="en-US" w:eastAsia="zh-CN"/>
        </w:rPr>
        <w:t>99.9</w:t>
      </w:r>
      <w:r>
        <w:rPr>
          <w:color w:val="000000"/>
        </w:rPr>
        <w:t>%，对BOD</w:t>
      </w:r>
      <w:r>
        <w:rPr>
          <w:color w:val="000000"/>
          <w:vertAlign w:val="subscript"/>
        </w:rPr>
        <w:t>5</w:t>
      </w:r>
      <w:r>
        <w:rPr>
          <w:color w:val="000000"/>
        </w:rPr>
        <w:t>的平均去除率为</w:t>
      </w:r>
      <w:r>
        <w:rPr>
          <w:color w:val="000000"/>
          <w:lang w:val="en-US"/>
        </w:rPr>
        <w:t>9</w:t>
      </w:r>
      <w:r>
        <w:rPr>
          <w:rFonts w:hint="eastAsia"/>
          <w:color w:val="000000"/>
          <w:lang w:val="en-US" w:eastAsia="zh-CN"/>
        </w:rPr>
        <w:t>9.1</w:t>
      </w:r>
      <w:r>
        <w:rPr>
          <w:color w:val="000000"/>
        </w:rPr>
        <w:t>%，</w:t>
      </w:r>
      <w:r>
        <w:rPr>
          <w:rFonts w:hint="eastAsia"/>
          <w:color w:val="000000"/>
          <w:lang w:val="en-US"/>
        </w:rPr>
        <w:t>对石油类的平均去除率为</w:t>
      </w:r>
      <w:r>
        <w:rPr>
          <w:rFonts w:hint="eastAsia"/>
          <w:color w:val="000000"/>
          <w:lang w:val="en-US" w:eastAsia="zh-CN"/>
        </w:rPr>
        <w:t>96.4</w:t>
      </w:r>
      <w:r>
        <w:rPr>
          <w:rFonts w:hint="eastAsia"/>
          <w:color w:val="000000"/>
          <w:lang w:val="en-US"/>
        </w:rPr>
        <w:t>%，</w:t>
      </w:r>
      <w:r>
        <w:rPr>
          <w:color w:val="000000"/>
          <w:lang w:val="en-US"/>
        </w:rPr>
        <w:t>对苯的平均去除率为</w:t>
      </w:r>
      <w:r>
        <w:rPr>
          <w:rFonts w:hint="eastAsia"/>
          <w:color w:val="000000"/>
          <w:lang w:val="en-US" w:eastAsia="zh-CN"/>
        </w:rPr>
        <w:t>60.0</w:t>
      </w:r>
      <w:r>
        <w:rPr>
          <w:color w:val="000000"/>
          <w:lang w:val="en-US"/>
        </w:rPr>
        <w:t>%</w:t>
      </w:r>
      <w:r>
        <w:rPr>
          <w:rFonts w:hint="eastAsia"/>
          <w:color w:val="000000"/>
          <w:lang w:val="en-US" w:eastAsia="zh-CN"/>
        </w:rPr>
        <w:t>，对邻二甲苯去除率为97.1%</w:t>
      </w:r>
      <w:r>
        <w:rPr>
          <w:color w:val="000000"/>
        </w:rPr>
        <w:t>。</w:t>
      </w:r>
    </w:p>
    <w:p>
      <w:pPr>
        <w:pStyle w:val="23"/>
        <w:spacing w:before="60" w:after="60"/>
        <w:rPr>
          <w:lang w:val="en-GB"/>
        </w:rPr>
      </w:pPr>
      <w:r>
        <w:rPr>
          <w:lang w:val="en-GB"/>
        </w:rPr>
        <w:t>表9.</w:t>
      </w:r>
      <w:r>
        <w:t>2.2</w:t>
      </w:r>
      <w:r>
        <w:rPr>
          <w:lang w:val="en-GB"/>
        </w:rPr>
        <w:t xml:space="preserve"> </w:t>
      </w:r>
      <w:r>
        <w:t>含油废水</w:t>
      </w:r>
      <w:r>
        <w:rPr>
          <w:lang w:val="en-GB"/>
        </w:rPr>
        <w:t>监测结果   单位：mg/L，pH无量纲</w:t>
      </w:r>
    </w:p>
    <w:tbl>
      <w:tblPr>
        <w:tblStyle w:val="14"/>
        <w:tblW w:w="8335" w:type="dxa"/>
        <w:tblInd w:w="0" w:type="dxa"/>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1032"/>
        <w:gridCol w:w="1022"/>
        <w:gridCol w:w="1032"/>
        <w:gridCol w:w="1120"/>
        <w:gridCol w:w="1032"/>
        <w:gridCol w:w="1032"/>
        <w:gridCol w:w="1032"/>
        <w:gridCol w:w="1033"/>
      </w:tblGrid>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00" w:hRule="atLeast"/>
          <w:tblHeader/>
        </w:trPr>
        <w:tc>
          <w:tcPr>
            <w:tcW w:w="1032" w:type="dxa"/>
            <w:tcBorders>
              <w:tl2br w:val="nil"/>
              <w:tr2bl w:val="nil"/>
            </w:tcBorders>
            <w:shd w:val="clear" w:color="auto" w:fill="auto"/>
            <w:tcMar>
              <w:top w:w="15" w:type="dxa"/>
              <w:left w:w="15" w:type="dxa"/>
              <w:right w:w="15" w:type="dxa"/>
            </w:tcMar>
            <w:vAlign w:val="center"/>
          </w:tcPr>
          <w:p>
            <w:pPr>
              <w:pStyle w:val="24"/>
              <w:bidi w:val="0"/>
            </w:pPr>
            <w:r>
              <w:t>监测日期</w:t>
            </w:r>
          </w:p>
        </w:tc>
        <w:tc>
          <w:tcPr>
            <w:tcW w:w="1022" w:type="dxa"/>
            <w:tcBorders>
              <w:tl2br w:val="nil"/>
              <w:tr2bl w:val="nil"/>
            </w:tcBorders>
            <w:shd w:val="clear" w:color="auto" w:fill="auto"/>
            <w:tcMar>
              <w:top w:w="15" w:type="dxa"/>
              <w:left w:w="15" w:type="dxa"/>
              <w:right w:w="15" w:type="dxa"/>
            </w:tcMar>
            <w:vAlign w:val="center"/>
          </w:tcPr>
          <w:p>
            <w:pPr>
              <w:pStyle w:val="24"/>
              <w:bidi w:val="0"/>
            </w:pPr>
            <w:r>
              <w:t>样品编号</w:t>
            </w:r>
          </w:p>
        </w:tc>
        <w:tc>
          <w:tcPr>
            <w:tcW w:w="1032" w:type="dxa"/>
            <w:tcBorders>
              <w:tl2br w:val="nil"/>
              <w:tr2bl w:val="nil"/>
            </w:tcBorders>
            <w:shd w:val="clear" w:color="auto" w:fill="auto"/>
            <w:tcMar>
              <w:top w:w="15" w:type="dxa"/>
              <w:left w:w="15" w:type="dxa"/>
              <w:right w:w="15" w:type="dxa"/>
            </w:tcMar>
            <w:vAlign w:val="center"/>
          </w:tcPr>
          <w:p>
            <w:pPr>
              <w:pStyle w:val="24"/>
              <w:bidi w:val="0"/>
            </w:pPr>
            <w:r>
              <w:t>pH</w:t>
            </w:r>
          </w:p>
        </w:tc>
        <w:tc>
          <w:tcPr>
            <w:tcW w:w="1120" w:type="dxa"/>
            <w:tcBorders>
              <w:tl2br w:val="nil"/>
              <w:tr2bl w:val="nil"/>
            </w:tcBorders>
            <w:shd w:val="clear" w:color="auto" w:fill="auto"/>
            <w:tcMar>
              <w:top w:w="15" w:type="dxa"/>
              <w:left w:w="15" w:type="dxa"/>
              <w:right w:w="15" w:type="dxa"/>
            </w:tcMar>
            <w:vAlign w:val="center"/>
          </w:tcPr>
          <w:p>
            <w:pPr>
              <w:pStyle w:val="24"/>
              <w:bidi w:val="0"/>
            </w:pPr>
            <w:r>
              <w:t>SS</w:t>
            </w:r>
          </w:p>
        </w:tc>
        <w:tc>
          <w:tcPr>
            <w:tcW w:w="1032" w:type="dxa"/>
            <w:tcBorders>
              <w:tl2br w:val="nil"/>
              <w:tr2bl w:val="nil"/>
            </w:tcBorders>
            <w:shd w:val="clear" w:color="auto" w:fill="auto"/>
            <w:tcMar>
              <w:top w:w="15" w:type="dxa"/>
              <w:left w:w="15" w:type="dxa"/>
              <w:right w:w="15" w:type="dxa"/>
            </w:tcMar>
            <w:vAlign w:val="center"/>
          </w:tcPr>
          <w:p>
            <w:pPr>
              <w:pStyle w:val="24"/>
              <w:bidi w:val="0"/>
            </w:pPr>
            <w:r>
              <w:t>NH</w:t>
            </w:r>
            <w:r>
              <w:rPr>
                <w:vertAlign w:val="subscript"/>
              </w:rPr>
              <w:t>3</w:t>
            </w:r>
            <w:r>
              <w:t>-N</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t>COD</w:t>
            </w:r>
            <w:r>
              <w:rPr>
                <w:vertAlign w:val="subscript"/>
              </w:rPr>
              <w:t>Cr</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t>BOD</w:t>
            </w:r>
            <w:r>
              <w:rPr>
                <w:vertAlign w:val="subscript"/>
              </w:rPr>
              <w:t>5</w:t>
            </w:r>
          </w:p>
        </w:tc>
        <w:tc>
          <w:tcPr>
            <w:tcW w:w="1033" w:type="dxa"/>
            <w:tcBorders>
              <w:tl2br w:val="nil"/>
              <w:tr2bl w:val="nil"/>
            </w:tcBorders>
            <w:shd w:val="clear" w:color="auto" w:fill="auto"/>
            <w:tcMar>
              <w:top w:w="15" w:type="dxa"/>
              <w:left w:w="15" w:type="dxa"/>
              <w:right w:w="15" w:type="dxa"/>
            </w:tcMar>
            <w:vAlign w:val="center"/>
          </w:tcPr>
          <w:p>
            <w:pPr>
              <w:pStyle w:val="24"/>
              <w:bidi w:val="0"/>
            </w:pPr>
            <w:r>
              <w:t>石油类</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trPr>
        <w:tc>
          <w:tcPr>
            <w:tcW w:w="1032" w:type="dxa"/>
            <w:vMerge w:val="restart"/>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2023.3.23</w:t>
            </w:r>
          </w:p>
        </w:tc>
        <w:tc>
          <w:tcPr>
            <w:tcW w:w="1022" w:type="dxa"/>
            <w:tcBorders>
              <w:tl2br w:val="nil"/>
              <w:tr2bl w:val="nil"/>
            </w:tcBorders>
            <w:shd w:val="clear" w:color="auto" w:fill="auto"/>
            <w:tcMar>
              <w:top w:w="15" w:type="dxa"/>
              <w:left w:w="15" w:type="dxa"/>
              <w:right w:w="15" w:type="dxa"/>
            </w:tcMar>
            <w:vAlign w:val="center"/>
          </w:tcPr>
          <w:p>
            <w:pPr>
              <w:pStyle w:val="24"/>
              <w:bidi w:val="0"/>
            </w:pPr>
            <w:r>
              <w:t>进口1</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7.6</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1.11×10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2.50</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1.37</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384</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87.4</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进口2</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7.8</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1.07×10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2.59</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1.31</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349</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88.1</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7.5</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1.18×10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2.47</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1.33</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377</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89.2</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7.5</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1.21×10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2.48</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1.41</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366</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88.2</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进口范围或均值</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7.5~7.8</w:t>
            </w:r>
          </w:p>
        </w:tc>
        <w:tc>
          <w:tcPr>
            <w:tcW w:w="1120"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1.14×10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2.51</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1.36</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369</w:t>
            </w:r>
          </w:p>
        </w:tc>
        <w:tc>
          <w:tcPr>
            <w:tcW w:w="1033"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88.2</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口1</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7.5</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28</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0.235</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23</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1.4</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0.41</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口2</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7.2</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32</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0.224</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23</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1.5</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0.38</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70"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7.4</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26</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0.203</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22</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1.5</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0.37</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00"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7.2</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0.203</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24</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1.5</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0.37</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总排口</w:t>
            </w:r>
            <w:r>
              <w:t>范围或均值</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7.2~7.5</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28</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0.216</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23</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1.5</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0.38</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去除率</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eastAsia="宋体"/>
                <w:lang w:val="en-US" w:eastAsia="zh-CN"/>
              </w:rPr>
            </w:pPr>
            <w:r>
              <w:rPr>
                <w:rFonts w:hint="eastAsia"/>
                <w:lang w:val="en-US" w:eastAsia="zh-CN"/>
              </w:rPr>
              <w:t>/</w:t>
            </w:r>
          </w:p>
        </w:tc>
        <w:tc>
          <w:tcPr>
            <w:tcW w:w="1120"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97.5%</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91.4%</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98.3%</w:t>
            </w:r>
          </w:p>
        </w:tc>
        <w:tc>
          <w:tcPr>
            <w:tcW w:w="1032" w:type="dxa"/>
            <w:tcBorders>
              <w:tl2br w:val="nil"/>
              <w:tr2bl w:val="nil"/>
            </w:tcBorders>
            <w:shd w:val="clear" w:color="auto" w:fill="auto"/>
            <w:tcMar>
              <w:top w:w="15" w:type="dxa"/>
              <w:left w:w="15" w:type="dxa"/>
              <w:right w:w="15" w:type="dxa"/>
            </w:tcMar>
            <w:vAlign w:val="center"/>
          </w:tcPr>
          <w:p>
            <w:pPr>
              <w:pStyle w:val="24"/>
              <w:bidi w:val="0"/>
              <w:rPr>
                <w:lang w:val="en-US" w:eastAsia="zh-CN"/>
              </w:rPr>
            </w:pPr>
            <w:r>
              <w:rPr>
                <w:rFonts w:hint="eastAsia"/>
                <w:lang w:val="en-US" w:eastAsia="zh-CN"/>
              </w:rPr>
              <w:t>99.6%</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99.6%</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trPr>
        <w:tc>
          <w:tcPr>
            <w:tcW w:w="1032" w:type="dxa"/>
            <w:vMerge w:val="restart"/>
            <w:tcBorders>
              <w:tl2br w:val="nil"/>
              <w:tr2bl w:val="nil"/>
            </w:tcBorders>
            <w:shd w:val="clear" w:color="auto" w:fill="auto"/>
            <w:tcMar>
              <w:top w:w="15" w:type="dxa"/>
              <w:left w:w="15" w:type="dxa"/>
              <w:right w:w="15" w:type="dxa"/>
            </w:tcMar>
            <w:vAlign w:val="center"/>
          </w:tcPr>
          <w:p>
            <w:pPr>
              <w:pStyle w:val="24"/>
              <w:bidi w:val="0"/>
              <w:rPr>
                <w:rFonts w:hint="default"/>
                <w:lang w:val="en-US" w:eastAsia="zh-CN"/>
              </w:rPr>
            </w:pPr>
            <w:r>
              <w:rPr>
                <w:rFonts w:hint="eastAsia"/>
                <w:lang w:val="en-US" w:eastAsia="zh-CN"/>
              </w:rPr>
              <w:t>2023.3.24</w:t>
            </w:r>
          </w:p>
        </w:tc>
        <w:tc>
          <w:tcPr>
            <w:tcW w:w="1022" w:type="dxa"/>
            <w:tcBorders>
              <w:tl2br w:val="nil"/>
              <w:tr2bl w:val="nil"/>
            </w:tcBorders>
            <w:shd w:val="clear" w:color="auto" w:fill="auto"/>
            <w:tcMar>
              <w:top w:w="15" w:type="dxa"/>
              <w:left w:w="15" w:type="dxa"/>
              <w:right w:w="15" w:type="dxa"/>
            </w:tcMar>
            <w:vAlign w:val="center"/>
          </w:tcPr>
          <w:p>
            <w:pPr>
              <w:pStyle w:val="24"/>
              <w:bidi w:val="0"/>
            </w:pPr>
            <w:r>
              <w:t>进口1</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7.6</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1.22×10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2.65</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1.42</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400</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89.2</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进口2</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7.7</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1.10×10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2.63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1.33</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359</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85.9</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7.9</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1.00×10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2.54</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1.37</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371</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90.6</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7.5</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1.06×10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2.66</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1.34</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lang w:val="en-US" w:eastAsia="zh-CN"/>
              </w:rPr>
            </w:pPr>
            <w:r>
              <w:rPr>
                <w:rFonts w:hint="eastAsia"/>
                <w:lang w:val="en-US" w:eastAsia="zh-CN"/>
              </w:rPr>
              <w:t>361</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89.0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进口范围或均值</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7.5~7.9</w:t>
            </w:r>
          </w:p>
        </w:tc>
        <w:tc>
          <w:tcPr>
            <w:tcW w:w="1120"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1.10×10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2.62</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1.36</w:t>
            </w:r>
            <w:r>
              <w:rPr>
                <w:rFonts w:hint="default"/>
                <w:lang w:val="en-US" w:eastAsia="zh-CN"/>
              </w:rPr>
              <w:t>×</w:t>
            </w:r>
            <w:r>
              <w:rPr>
                <w:rFonts w:hint="eastAsia"/>
                <w:lang w:val="en-US" w:eastAsia="zh-CN"/>
              </w:rPr>
              <w:t>10</w:t>
            </w:r>
            <w:r>
              <w:rPr>
                <w:rFonts w:hint="eastAsia"/>
                <w:vertAlign w:val="superscript"/>
                <w:lang w:val="en-US" w:eastAsia="zh-CN"/>
              </w:rPr>
              <w:t>3</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373</w:t>
            </w:r>
          </w:p>
        </w:tc>
        <w:tc>
          <w:tcPr>
            <w:tcW w:w="1033" w:type="dxa"/>
            <w:tcBorders>
              <w:tl2br w:val="nil"/>
              <w:tr2bl w:val="nil"/>
            </w:tcBorders>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88.7</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口1</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7.5</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0.230</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27</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1.6</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0.37</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口2</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7.2</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28</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0.186</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29</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1.8</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0.39</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70"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口3</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7.6</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31</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0.214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30</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1.9</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0.45</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70"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7.4</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0.214</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27</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1.7</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0.38</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rPr>
                <w:rFonts w:hint="eastAsia"/>
              </w:rPr>
              <w:t>总排</w:t>
            </w:r>
            <w:r>
              <w:t>口范围或均值</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7.2~7.6</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27</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0.211</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28</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1.8</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0.40</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285" w:hRule="atLeast"/>
        </w:trPr>
        <w:tc>
          <w:tcPr>
            <w:tcW w:w="1032" w:type="dxa"/>
            <w:vMerge w:val="continue"/>
            <w:tcBorders>
              <w:tl2br w:val="nil"/>
              <w:tr2bl w:val="nil"/>
            </w:tcBorders>
            <w:shd w:val="clear" w:color="auto" w:fill="auto"/>
            <w:tcMar>
              <w:top w:w="15" w:type="dxa"/>
              <w:left w:w="15" w:type="dxa"/>
              <w:right w:w="15" w:type="dxa"/>
            </w:tcMar>
            <w:vAlign w:val="center"/>
          </w:tcPr>
          <w:p>
            <w:pPr>
              <w:pStyle w:val="24"/>
              <w:bidi w:val="0"/>
            </w:pPr>
          </w:p>
        </w:tc>
        <w:tc>
          <w:tcPr>
            <w:tcW w:w="1022" w:type="dxa"/>
            <w:tcBorders>
              <w:tl2br w:val="nil"/>
              <w:tr2bl w:val="nil"/>
            </w:tcBorders>
            <w:shd w:val="clear" w:color="auto" w:fill="auto"/>
            <w:tcMar>
              <w:top w:w="15" w:type="dxa"/>
              <w:left w:w="15" w:type="dxa"/>
              <w:right w:w="15" w:type="dxa"/>
            </w:tcMar>
            <w:vAlign w:val="center"/>
          </w:tcPr>
          <w:p>
            <w:pPr>
              <w:pStyle w:val="24"/>
              <w:bidi w:val="0"/>
            </w:pPr>
            <w:r>
              <w:t>去除率</w:t>
            </w:r>
          </w:p>
        </w:tc>
        <w:tc>
          <w:tcPr>
            <w:tcW w:w="1032" w:type="dxa"/>
            <w:tcBorders>
              <w:tl2br w:val="nil"/>
              <w:tr2bl w:val="nil"/>
            </w:tcBorders>
            <w:shd w:val="clear" w:color="auto" w:fill="auto"/>
            <w:tcMar>
              <w:top w:w="15" w:type="dxa"/>
              <w:left w:w="15" w:type="dxa"/>
              <w:right w:w="15" w:type="dxa"/>
            </w:tcMar>
            <w:vAlign w:val="center"/>
          </w:tcPr>
          <w:p>
            <w:pPr>
              <w:pStyle w:val="24"/>
              <w:bidi w:val="0"/>
              <w:rPr>
                <w:rFonts w:hint="eastAsia" w:eastAsia="宋体"/>
                <w:lang w:val="en-US" w:eastAsia="zh-CN"/>
              </w:rPr>
            </w:pPr>
            <w:r>
              <w:rPr>
                <w:rFonts w:hint="eastAsia"/>
                <w:lang w:val="en-US" w:eastAsia="zh-CN"/>
              </w:rPr>
              <w:t>/</w:t>
            </w:r>
          </w:p>
        </w:tc>
        <w:tc>
          <w:tcPr>
            <w:tcW w:w="1120"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97.6%</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91.9%</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97.9%</w:t>
            </w:r>
          </w:p>
        </w:tc>
        <w:tc>
          <w:tcPr>
            <w:tcW w:w="1032"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99.5%</w:t>
            </w:r>
          </w:p>
        </w:tc>
        <w:tc>
          <w:tcPr>
            <w:tcW w:w="1033" w:type="dxa"/>
            <w:tcBorders>
              <w:tl2br w:val="nil"/>
              <w:tr2bl w:val="nil"/>
            </w:tcBorders>
            <w:shd w:val="clear" w:color="auto" w:fill="auto"/>
            <w:tcMar>
              <w:top w:w="15" w:type="dxa"/>
              <w:left w:w="15" w:type="dxa"/>
              <w:right w:w="15" w:type="dxa"/>
            </w:tcMar>
            <w:vAlign w:val="center"/>
          </w:tcPr>
          <w:p>
            <w:pPr>
              <w:pStyle w:val="24"/>
              <w:bidi w:val="0"/>
            </w:pPr>
            <w:r>
              <w:rPr>
                <w:rFonts w:hint="eastAsia"/>
                <w:lang w:val="en-US" w:eastAsia="zh-CN"/>
              </w:rPr>
              <w:t>99.5%</w:t>
            </w:r>
          </w:p>
        </w:tc>
      </w:tr>
    </w:tbl>
    <w:p>
      <w:pPr>
        <w:pStyle w:val="19"/>
        <w:spacing w:before="156" w:beforeLines="50"/>
        <w:ind w:firstLine="480"/>
        <w:rPr>
          <w:color w:val="000000"/>
        </w:rPr>
      </w:pPr>
      <w:r>
        <w:rPr>
          <w:color w:val="000000"/>
        </w:rPr>
        <w:t>根据表9.2</w:t>
      </w:r>
      <w:r>
        <w:rPr>
          <w:color w:val="000000"/>
          <w:lang w:val="en-US"/>
        </w:rPr>
        <w:t>.</w:t>
      </w:r>
      <w:r>
        <w:rPr>
          <w:color w:val="000000"/>
        </w:rPr>
        <w:t>2可知，</w:t>
      </w:r>
      <w:r>
        <w:rPr>
          <w:rFonts w:hint="eastAsia"/>
          <w:color w:val="000000"/>
          <w:lang w:val="en-US" w:eastAsia="zh-CN"/>
        </w:rPr>
        <w:t>3</w:t>
      </w:r>
      <w:r>
        <w:rPr>
          <w:color w:val="000000"/>
        </w:rPr>
        <w:t>月</w:t>
      </w:r>
      <w:r>
        <w:rPr>
          <w:rFonts w:hint="eastAsia"/>
          <w:color w:val="000000"/>
          <w:lang w:val="en-US" w:eastAsia="zh-CN"/>
        </w:rPr>
        <w:t>23</w:t>
      </w:r>
      <w:r>
        <w:rPr>
          <w:color w:val="000000"/>
        </w:rPr>
        <w:t>日，</w:t>
      </w:r>
      <w:r>
        <w:rPr>
          <w:color w:val="000000"/>
          <w:lang w:val="en-US"/>
        </w:rPr>
        <w:t>含油废水</w:t>
      </w:r>
      <w:r>
        <w:rPr>
          <w:color w:val="000000"/>
        </w:rPr>
        <w:t>进水pH为</w:t>
      </w:r>
      <w:r>
        <w:rPr>
          <w:rFonts w:hint="eastAsia"/>
          <w:lang w:val="en-US" w:eastAsia="zh-CN"/>
        </w:rPr>
        <w:t>7.5</w:t>
      </w:r>
      <w:r>
        <w:rPr>
          <w:rFonts w:hint="eastAsia"/>
          <w:lang w:val="en-US"/>
        </w:rPr>
        <w:t>~7.</w:t>
      </w:r>
      <w:r>
        <w:rPr>
          <w:rFonts w:hint="eastAsia"/>
          <w:lang w:val="en-US" w:eastAsia="zh-CN"/>
        </w:rPr>
        <w:t>8</w:t>
      </w:r>
      <w:r>
        <w:rPr>
          <w:color w:val="000000"/>
        </w:rPr>
        <w:t>，</w:t>
      </w:r>
      <w:r>
        <w:rPr>
          <w:rFonts w:hint="eastAsia"/>
          <w:color w:val="000000"/>
          <w:lang w:val="en-US" w:eastAsia="zh-CN"/>
        </w:rPr>
        <w:t>总排口</w:t>
      </w:r>
      <w:r>
        <w:rPr>
          <w:color w:val="000000"/>
        </w:rPr>
        <w:t>pH为</w:t>
      </w:r>
      <w:r>
        <w:rPr>
          <w:rFonts w:hint="eastAsia"/>
          <w:color w:val="000000"/>
          <w:lang w:val="en-US" w:eastAsia="zh-CN"/>
        </w:rPr>
        <w:t>7.2</w:t>
      </w:r>
      <w:r>
        <w:rPr>
          <w:rFonts w:hint="eastAsia"/>
          <w:color w:val="000000"/>
          <w:lang w:val="en-US"/>
        </w:rPr>
        <w:t>~7.</w:t>
      </w:r>
      <w:r>
        <w:rPr>
          <w:rFonts w:hint="eastAsia"/>
          <w:color w:val="000000"/>
          <w:lang w:val="en-US" w:eastAsia="zh-CN"/>
        </w:rPr>
        <w:t>5</w:t>
      </w:r>
      <w:r>
        <w:rPr>
          <w:color w:val="000000"/>
        </w:rPr>
        <w:t>，污水处理设施对SS的平均去除率为</w:t>
      </w:r>
      <w:r>
        <w:rPr>
          <w:rFonts w:hint="eastAsia"/>
          <w:color w:val="000000"/>
          <w:lang w:val="en-US" w:eastAsia="zh-CN"/>
        </w:rPr>
        <w:t>97.5</w:t>
      </w:r>
      <w:r>
        <w:rPr>
          <w:color w:val="000000"/>
        </w:rPr>
        <w:t>%，对NH</w:t>
      </w:r>
      <w:r>
        <w:rPr>
          <w:color w:val="000000"/>
          <w:vertAlign w:val="subscript"/>
        </w:rPr>
        <w:t>3</w:t>
      </w:r>
      <w:r>
        <w:rPr>
          <w:color w:val="000000"/>
        </w:rPr>
        <w:t>-N的平均去除率为</w:t>
      </w:r>
      <w:r>
        <w:rPr>
          <w:rFonts w:hint="eastAsia"/>
          <w:color w:val="000000"/>
          <w:lang w:val="en-US" w:eastAsia="zh-CN"/>
        </w:rPr>
        <w:t>91.4</w:t>
      </w:r>
      <w:r>
        <w:rPr>
          <w:color w:val="000000"/>
        </w:rPr>
        <w:t>%，对COD的平均去除率为</w:t>
      </w:r>
      <w:r>
        <w:rPr>
          <w:rFonts w:hint="eastAsia"/>
          <w:color w:val="000000"/>
          <w:lang w:val="en-US" w:eastAsia="zh-CN"/>
        </w:rPr>
        <w:t>98.3</w:t>
      </w:r>
      <w:r>
        <w:rPr>
          <w:color w:val="000000"/>
        </w:rPr>
        <w:t>%，对BOD</w:t>
      </w:r>
      <w:r>
        <w:rPr>
          <w:color w:val="000000"/>
          <w:vertAlign w:val="subscript"/>
        </w:rPr>
        <w:t>5</w:t>
      </w:r>
      <w:r>
        <w:rPr>
          <w:color w:val="000000"/>
        </w:rPr>
        <w:t>的平均去除率为</w:t>
      </w:r>
      <w:r>
        <w:rPr>
          <w:rFonts w:hint="eastAsia"/>
          <w:color w:val="000000"/>
          <w:lang w:val="en-US" w:eastAsia="zh-CN"/>
        </w:rPr>
        <w:t>99.6</w:t>
      </w:r>
      <w:r>
        <w:rPr>
          <w:color w:val="000000"/>
        </w:rPr>
        <w:t>%</w:t>
      </w:r>
      <w:r>
        <w:rPr>
          <w:rFonts w:hint="eastAsia"/>
          <w:color w:val="000000"/>
          <w:lang w:eastAsia="zh-CN"/>
        </w:rPr>
        <w:t>，</w:t>
      </w:r>
      <w:r>
        <w:rPr>
          <w:color w:val="000000"/>
        </w:rPr>
        <w:t>对石油类的平均去除率为</w:t>
      </w:r>
      <w:r>
        <w:rPr>
          <w:color w:val="000000"/>
          <w:lang w:val="en-US"/>
        </w:rPr>
        <w:t>99.</w:t>
      </w:r>
      <w:r>
        <w:rPr>
          <w:rFonts w:hint="eastAsia"/>
          <w:color w:val="000000"/>
          <w:lang w:val="en-US" w:eastAsia="zh-CN"/>
        </w:rPr>
        <w:t>6</w:t>
      </w:r>
      <w:r>
        <w:rPr>
          <w:color w:val="000000"/>
        </w:rPr>
        <w:t>%。</w:t>
      </w:r>
      <w:r>
        <w:rPr>
          <w:rFonts w:hint="eastAsia"/>
          <w:color w:val="000000"/>
          <w:lang w:val="en-US" w:eastAsia="zh-CN"/>
        </w:rPr>
        <w:t>3</w:t>
      </w:r>
      <w:r>
        <w:rPr>
          <w:color w:val="000000"/>
        </w:rPr>
        <w:t>月</w:t>
      </w:r>
      <w:r>
        <w:rPr>
          <w:rFonts w:hint="eastAsia"/>
          <w:color w:val="000000"/>
          <w:lang w:val="en-US" w:eastAsia="zh-CN"/>
        </w:rPr>
        <w:t>24</w:t>
      </w:r>
      <w:r>
        <w:rPr>
          <w:color w:val="000000"/>
        </w:rPr>
        <w:t>日，</w:t>
      </w:r>
      <w:r>
        <w:rPr>
          <w:color w:val="000000"/>
          <w:lang w:val="en-US"/>
        </w:rPr>
        <w:t>含油废水</w:t>
      </w:r>
      <w:r>
        <w:rPr>
          <w:color w:val="000000"/>
        </w:rPr>
        <w:t>进水pH为</w:t>
      </w:r>
      <w:r>
        <w:rPr>
          <w:rFonts w:hint="eastAsia"/>
          <w:color w:val="000000"/>
          <w:lang w:val="en-US" w:eastAsia="zh-CN"/>
        </w:rPr>
        <w:t>7.5</w:t>
      </w:r>
      <w:r>
        <w:rPr>
          <w:rFonts w:hint="eastAsia"/>
          <w:color w:val="000000"/>
          <w:lang w:val="en-US"/>
        </w:rPr>
        <w:t>~7.</w:t>
      </w:r>
      <w:r>
        <w:rPr>
          <w:rFonts w:hint="eastAsia"/>
          <w:color w:val="000000"/>
          <w:lang w:val="en-US" w:eastAsia="zh-CN"/>
        </w:rPr>
        <w:t>9</w:t>
      </w:r>
      <w:r>
        <w:rPr>
          <w:color w:val="000000"/>
        </w:rPr>
        <w:t>，</w:t>
      </w:r>
      <w:r>
        <w:rPr>
          <w:rFonts w:hint="eastAsia"/>
          <w:color w:val="000000"/>
          <w:lang w:val="en-US" w:eastAsia="zh-CN"/>
        </w:rPr>
        <w:t>总排口</w:t>
      </w:r>
      <w:r>
        <w:rPr>
          <w:color w:val="000000"/>
        </w:rPr>
        <w:t>pH为</w:t>
      </w:r>
      <w:r>
        <w:rPr>
          <w:rFonts w:hint="eastAsia"/>
          <w:color w:val="000000"/>
          <w:lang w:val="en-US" w:eastAsia="zh-CN"/>
        </w:rPr>
        <w:t>7.2</w:t>
      </w:r>
      <w:r>
        <w:rPr>
          <w:rFonts w:hint="eastAsia"/>
          <w:color w:val="000000"/>
          <w:lang w:val="en-US"/>
        </w:rPr>
        <w:t>~7</w:t>
      </w:r>
      <w:r>
        <w:rPr>
          <w:rFonts w:hint="eastAsia"/>
          <w:color w:val="000000"/>
          <w:lang w:val="en-US" w:eastAsia="zh-CN"/>
        </w:rPr>
        <w:t>.6</w:t>
      </w:r>
      <w:r>
        <w:rPr>
          <w:color w:val="000000"/>
        </w:rPr>
        <w:t>，污水处理设施对SS的平均去除率为</w:t>
      </w:r>
      <w:r>
        <w:rPr>
          <w:rFonts w:hint="eastAsia"/>
          <w:color w:val="000000"/>
          <w:lang w:val="en-US" w:eastAsia="zh-CN"/>
        </w:rPr>
        <w:t>97.6</w:t>
      </w:r>
      <w:r>
        <w:rPr>
          <w:color w:val="000000"/>
        </w:rPr>
        <w:t>%，对NH</w:t>
      </w:r>
      <w:r>
        <w:rPr>
          <w:color w:val="000000"/>
          <w:vertAlign w:val="subscript"/>
        </w:rPr>
        <w:t>3</w:t>
      </w:r>
      <w:r>
        <w:rPr>
          <w:color w:val="000000"/>
        </w:rPr>
        <w:t>-N的平均去除率为</w:t>
      </w:r>
      <w:r>
        <w:rPr>
          <w:rFonts w:hint="eastAsia"/>
          <w:color w:val="000000"/>
          <w:lang w:val="en-US" w:eastAsia="zh-CN"/>
        </w:rPr>
        <w:t>91.9</w:t>
      </w:r>
      <w:r>
        <w:rPr>
          <w:color w:val="000000"/>
        </w:rPr>
        <w:t>%，对COD的平均去除率为</w:t>
      </w:r>
      <w:r>
        <w:rPr>
          <w:rFonts w:hint="eastAsia"/>
          <w:color w:val="000000"/>
          <w:lang w:val="en-US" w:eastAsia="zh-CN"/>
        </w:rPr>
        <w:t>97.9</w:t>
      </w:r>
      <w:r>
        <w:rPr>
          <w:color w:val="000000"/>
        </w:rPr>
        <w:t>%，对BOD</w:t>
      </w:r>
      <w:r>
        <w:rPr>
          <w:color w:val="000000"/>
          <w:vertAlign w:val="subscript"/>
        </w:rPr>
        <w:t>5</w:t>
      </w:r>
      <w:r>
        <w:rPr>
          <w:color w:val="000000"/>
        </w:rPr>
        <w:t>的平均去除率为</w:t>
      </w:r>
      <w:r>
        <w:rPr>
          <w:color w:val="000000"/>
          <w:lang w:val="en-US"/>
        </w:rPr>
        <w:t>9</w:t>
      </w:r>
      <w:r>
        <w:rPr>
          <w:rFonts w:hint="eastAsia"/>
          <w:color w:val="000000"/>
          <w:lang w:val="en-US" w:eastAsia="zh-CN"/>
        </w:rPr>
        <w:t>9</w:t>
      </w:r>
      <w:r>
        <w:rPr>
          <w:rFonts w:hint="eastAsia"/>
          <w:color w:val="000000"/>
          <w:lang w:val="en-US"/>
        </w:rPr>
        <w:t>.5</w:t>
      </w:r>
      <w:r>
        <w:rPr>
          <w:color w:val="000000"/>
        </w:rPr>
        <w:t>%</w:t>
      </w:r>
      <w:r>
        <w:rPr>
          <w:rFonts w:hint="eastAsia"/>
          <w:color w:val="000000"/>
          <w:lang w:eastAsia="zh-CN"/>
        </w:rPr>
        <w:t>，</w:t>
      </w:r>
      <w:r>
        <w:rPr>
          <w:color w:val="000000"/>
        </w:rPr>
        <w:t>对石油类的平均去除率为</w:t>
      </w:r>
      <w:r>
        <w:rPr>
          <w:color w:val="000000"/>
          <w:lang w:val="en-US"/>
        </w:rPr>
        <w:t>99.</w:t>
      </w:r>
      <w:r>
        <w:rPr>
          <w:rFonts w:hint="eastAsia"/>
          <w:color w:val="000000"/>
          <w:lang w:val="en-US" w:eastAsia="zh-CN"/>
        </w:rPr>
        <w:t>5</w:t>
      </w:r>
      <w:r>
        <w:rPr>
          <w:color w:val="000000"/>
        </w:rPr>
        <w:t>%。</w:t>
      </w:r>
    </w:p>
    <w:p>
      <w:pPr>
        <w:pStyle w:val="25"/>
      </w:pPr>
      <w:r>
        <w:t>9.2.</w:t>
      </w:r>
      <w:r>
        <w:rPr>
          <w:lang w:val="en-US"/>
        </w:rPr>
        <w:t>1.</w:t>
      </w:r>
      <w:r>
        <w:t>2 废气治理设施</w:t>
      </w:r>
    </w:p>
    <w:p>
      <w:pPr>
        <w:pStyle w:val="19"/>
        <w:ind w:firstLine="480"/>
        <w:rPr>
          <w:lang w:val="en-US"/>
        </w:rPr>
      </w:pPr>
      <w:r>
        <w:rPr>
          <w:lang w:val="en-US"/>
        </w:rPr>
        <w:t>验收</w:t>
      </w:r>
      <w:r>
        <w:rPr>
          <w:rFonts w:hint="eastAsia"/>
          <w:lang w:val="en-US" w:eastAsia="zh-CN"/>
        </w:rPr>
        <w:t>监测</w:t>
      </w:r>
      <w:r>
        <w:rPr>
          <w:lang w:val="en-US"/>
        </w:rPr>
        <w:t>期间，对</w:t>
      </w:r>
      <w:r>
        <w:rPr>
          <w:rFonts w:hint="eastAsia"/>
          <w:lang w:val="en-US"/>
        </w:rPr>
        <w:t>油气回收装置1废气</w:t>
      </w:r>
      <w:r>
        <w:rPr>
          <w:lang w:val="en-US"/>
        </w:rPr>
        <w:t>排气筒</w:t>
      </w:r>
      <w:r>
        <w:rPr>
          <w:rFonts w:hint="eastAsia"/>
          <w:lang w:val="en-US"/>
        </w:rPr>
        <w:t>、废气净化装置2废气</w:t>
      </w:r>
      <w:r>
        <w:rPr>
          <w:lang w:val="en-US"/>
        </w:rPr>
        <w:t>排气筒</w:t>
      </w:r>
      <w:r>
        <w:rPr>
          <w:rFonts w:hint="eastAsia"/>
          <w:lang w:val="en-US"/>
        </w:rPr>
        <w:t>、水喷淋装置废气</w:t>
      </w:r>
      <w:r>
        <w:rPr>
          <w:lang w:val="en-US"/>
        </w:rPr>
        <w:t>排气筒</w:t>
      </w:r>
      <w:r>
        <w:rPr>
          <w:rFonts w:hint="eastAsia"/>
          <w:lang w:val="en-US"/>
        </w:rPr>
        <w:t>的</w:t>
      </w:r>
      <w:r>
        <w:rPr>
          <w:lang w:val="en-US"/>
        </w:rPr>
        <w:t>进出口进行采样监测，监测结果见表9.</w:t>
      </w:r>
      <w:r>
        <w:t>2</w:t>
      </w:r>
      <w:r>
        <w:rPr>
          <w:lang w:val="en-US"/>
        </w:rPr>
        <w:t>.</w:t>
      </w:r>
      <w:r>
        <w:t>3～</w:t>
      </w:r>
      <w:r>
        <w:rPr>
          <w:rFonts w:hint="eastAsia"/>
          <w:lang w:val="en-US" w:eastAsia="zh-Hans"/>
        </w:rPr>
        <w:t>表</w:t>
      </w:r>
      <w:r>
        <w:rPr>
          <w:lang w:eastAsia="zh-Hans"/>
        </w:rPr>
        <w:t>9.2.5</w:t>
      </w:r>
      <w:r>
        <w:rPr>
          <w:lang w:val="en-US"/>
        </w:rPr>
        <w:t>。</w:t>
      </w:r>
    </w:p>
    <w:p>
      <w:pPr>
        <w:pStyle w:val="19"/>
        <w:ind w:firstLine="480"/>
        <w:rPr>
          <w:rFonts w:hint="default" w:eastAsia="宋体"/>
          <w:lang w:val="en-US" w:eastAsia="zh-Hans"/>
        </w:rPr>
      </w:pPr>
      <w:r>
        <w:rPr>
          <w:rFonts w:hint="eastAsia"/>
          <w:lang w:val="en-US" w:eastAsia="zh-CN"/>
        </w:rPr>
        <w:t>由结果可知，</w:t>
      </w:r>
      <w:r>
        <w:rPr>
          <w:rFonts w:hint="eastAsia"/>
          <w:lang w:val="en-US"/>
        </w:rPr>
        <w:t>油气回收装置1</w:t>
      </w:r>
      <w:r>
        <w:rPr>
          <w:rFonts w:hint="default"/>
        </w:rPr>
        <w:t>、</w:t>
      </w:r>
      <w:r>
        <w:rPr>
          <w:rFonts w:hint="eastAsia"/>
          <w:lang w:val="en-US"/>
        </w:rPr>
        <w:t>废气净化装置2</w:t>
      </w:r>
      <w:r>
        <w:rPr>
          <w:rFonts w:hint="default"/>
        </w:rPr>
        <w:t>、</w:t>
      </w:r>
      <w:r>
        <w:rPr>
          <w:rFonts w:hint="eastAsia"/>
          <w:lang w:val="en-US"/>
        </w:rPr>
        <w:t>水喷淋装置</w:t>
      </w:r>
      <w:r>
        <w:rPr>
          <w:rFonts w:hint="eastAsia"/>
          <w:lang w:val="en-US" w:eastAsia="zh-Hans"/>
        </w:rPr>
        <w:t>对各污染物的去除率均</w:t>
      </w:r>
      <w:r>
        <w:rPr>
          <w:lang w:val="en-US"/>
        </w:rPr>
        <w:t>符合《挥发性有机物无组织排放控</w:t>
      </w:r>
      <w:r>
        <w:rPr>
          <w:color w:val="000000" w:themeColor="text1"/>
          <w:szCs w:val="20"/>
          <w:lang w:val="en-US"/>
          <w14:textFill>
            <w14:solidFill>
              <w14:schemeClr w14:val="tx1"/>
            </w14:solidFill>
          </w14:textFill>
        </w:rPr>
        <w:t>制标准》（GB37822-2019）中</w:t>
      </w:r>
      <w:r>
        <w:rPr>
          <w:rFonts w:hint="eastAsia"/>
          <w:color w:val="000000" w:themeColor="text1"/>
          <w:szCs w:val="20"/>
          <w:lang w:val="en-US" w:eastAsia="zh-Hans"/>
          <w14:textFill>
            <w14:solidFill>
              <w14:schemeClr w14:val="tx1"/>
            </w14:solidFill>
          </w14:textFill>
        </w:rPr>
        <w:t>“</w:t>
      </w:r>
      <w:r>
        <w:rPr>
          <w:color w:val="000000" w:themeColor="text1"/>
          <w:szCs w:val="20"/>
          <w:lang w:val="en-US"/>
          <w14:textFill>
            <w14:solidFill>
              <w14:schemeClr w14:val="tx1"/>
            </w14:solidFill>
          </w14:textFill>
        </w:rPr>
        <w:t>5.2.2储罐特别控制要求：采用固定顶罐，排放的废气应收集处理并满足相关行业标准，或者处理效率不低于90%。以及6.2.3装载特别控制要求：排放的废气应收集处理并满足相关行业排放标准要求，或者处理效率不低于90%</w:t>
      </w:r>
      <w:r>
        <w:rPr>
          <w:rFonts w:hint="eastAsia"/>
          <w:color w:val="000000" w:themeColor="text1"/>
          <w:szCs w:val="20"/>
          <w:lang w:val="en-US" w:eastAsia="zh-Hans"/>
          <w14:textFill>
            <w14:solidFill>
              <w14:schemeClr w14:val="tx1"/>
            </w14:solidFill>
          </w14:textFill>
        </w:rPr>
        <w:t>”</w:t>
      </w:r>
      <w:r>
        <w:rPr>
          <w:color w:val="000000" w:themeColor="text1"/>
          <w:szCs w:val="20"/>
          <w:lang w:val="en-US"/>
          <w14:textFill>
            <w14:solidFill>
              <w14:schemeClr w14:val="tx1"/>
            </w14:solidFill>
          </w14:textFill>
        </w:rPr>
        <w:t>。</w:t>
      </w:r>
    </w:p>
    <w:p>
      <w:pPr>
        <w:pStyle w:val="19"/>
        <w:ind w:firstLine="480"/>
        <w:rPr>
          <w:color w:val="000000"/>
        </w:rPr>
        <w:sectPr>
          <w:pgSz w:w="11907" w:h="16839"/>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lang w:val="en-US" w:eastAsia="zh-Hans"/>
        </w:rPr>
        <w:t>具体分析见本报告</w:t>
      </w:r>
      <w:r>
        <w:rPr>
          <w:rFonts w:hint="default"/>
          <w:lang w:eastAsia="zh-Hans"/>
        </w:rPr>
        <w:t>9.2.2.2</w:t>
      </w:r>
      <w:r>
        <w:rPr>
          <w:rFonts w:hint="eastAsia"/>
          <w:lang w:val="en-US" w:eastAsia="zh-Hans"/>
        </w:rPr>
        <w:t>章节</w:t>
      </w:r>
      <w:r>
        <w:rPr>
          <w:rFonts w:hint="default"/>
          <w:lang w:eastAsia="zh-Hans"/>
        </w:rPr>
        <w:t>。</w:t>
      </w:r>
    </w:p>
    <w:p>
      <w:pPr>
        <w:pStyle w:val="23"/>
        <w:spacing w:before="60" w:after="60"/>
      </w:pPr>
      <w:r>
        <w:t xml:space="preserve">表9.2.3 </w:t>
      </w:r>
      <w:r>
        <w:rPr>
          <w:rFonts w:hint="eastAsia"/>
        </w:rPr>
        <w:t>油气回收装置1废气</w:t>
      </w:r>
      <w:r>
        <w:t>排气筒监测结果</w:t>
      </w:r>
    </w:p>
    <w:tbl>
      <w:tblPr>
        <w:tblStyle w:val="14"/>
        <w:tblW w:w="13264" w:type="dxa"/>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1639"/>
        <w:gridCol w:w="1299"/>
        <w:gridCol w:w="1359"/>
        <w:gridCol w:w="1356"/>
        <w:gridCol w:w="1531"/>
        <w:gridCol w:w="1534"/>
        <w:gridCol w:w="1534"/>
        <w:gridCol w:w="1571"/>
        <w:gridCol w:w="1441"/>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blHeader/>
        </w:trPr>
        <w:tc>
          <w:tcPr>
            <w:tcW w:w="1639" w:type="dxa"/>
            <w:vMerge w:val="restart"/>
            <w:tcBorders>
              <w:top w:val="single" w:color="000000" w:sz="4" w:space="0"/>
              <w:bottom w:val="single" w:color="000000" w:sz="4" w:space="0"/>
              <w:right w:val="single" w:color="000000" w:sz="4" w:space="0"/>
            </w:tcBorders>
            <w:shd w:val="clear" w:color="auto" w:fill="auto"/>
            <w:vAlign w:val="center"/>
          </w:tcPr>
          <w:p>
            <w:pPr>
              <w:pStyle w:val="24"/>
            </w:pPr>
            <w:r>
              <w:t>采样地点</w:t>
            </w:r>
          </w:p>
        </w:tc>
        <w:tc>
          <w:tcPr>
            <w:tcW w:w="129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采样日期</w:t>
            </w:r>
          </w:p>
        </w:tc>
        <w:tc>
          <w:tcPr>
            <w:tcW w:w="2715"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检测项目</w:t>
            </w:r>
          </w:p>
        </w:tc>
        <w:tc>
          <w:tcPr>
            <w:tcW w:w="617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检测结果</w:t>
            </w:r>
          </w:p>
        </w:tc>
        <w:tc>
          <w:tcPr>
            <w:tcW w:w="1441" w:type="dxa"/>
            <w:vMerge w:val="restart"/>
            <w:tcBorders>
              <w:top w:val="single" w:color="000000" w:sz="4" w:space="0"/>
              <w:left w:val="single" w:color="000000" w:sz="4" w:space="0"/>
              <w:bottom w:val="single" w:color="000000" w:sz="4" w:space="0"/>
            </w:tcBorders>
            <w:shd w:val="clear" w:color="auto" w:fill="auto"/>
            <w:vAlign w:val="center"/>
          </w:tcPr>
          <w:p>
            <w:pPr>
              <w:pStyle w:val="24"/>
            </w:pPr>
            <w:r>
              <w:t>单位</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blHeader/>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271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第一次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第二次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第三次</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平均值</w:t>
            </w:r>
          </w:p>
        </w:tc>
        <w:tc>
          <w:tcPr>
            <w:tcW w:w="1441" w:type="dxa"/>
            <w:vMerge w:val="continue"/>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restart"/>
            <w:tcBorders>
              <w:top w:val="single" w:color="000000" w:sz="4" w:space="0"/>
              <w:bottom w:val="single" w:color="000000" w:sz="4" w:space="0"/>
              <w:right w:val="single" w:color="000000" w:sz="4" w:space="0"/>
            </w:tcBorders>
            <w:shd w:val="clear" w:color="auto" w:fill="auto"/>
            <w:vAlign w:val="center"/>
          </w:tcPr>
          <w:p>
            <w:pPr>
              <w:pStyle w:val="24"/>
              <w:rPr>
                <w:rFonts w:hint="eastAsia"/>
              </w:rPr>
            </w:pPr>
            <w:r>
              <w:rPr>
                <w:rFonts w:hint="eastAsia"/>
              </w:rPr>
              <w:t>油气回收装置1</w:t>
            </w:r>
          </w:p>
          <w:p>
            <w:pPr>
              <w:pStyle w:val="24"/>
            </w:pPr>
            <w:r>
              <w:rPr>
                <w:rFonts w:hint="eastAsia"/>
              </w:rPr>
              <w:t>废气进口</w:t>
            </w:r>
          </w:p>
        </w:tc>
        <w:tc>
          <w:tcPr>
            <w:tcW w:w="1299" w:type="dxa"/>
            <w:vMerge w:val="restart"/>
            <w:tcBorders>
              <w:top w:val="single" w:color="000000" w:sz="4" w:space="0"/>
              <w:left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2023.3.25</w:t>
            </w:r>
          </w:p>
        </w:tc>
        <w:tc>
          <w:tcPr>
            <w:tcW w:w="27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b w:val="0"/>
                <w:bCs w:val="0"/>
                <w:color w:val="auto"/>
                <w:sz w:val="18"/>
                <w:szCs w:val="18"/>
                <w:lang w:val="en-US" w:eastAsia="zh-CN"/>
              </w:rPr>
              <w:t>480</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b w:val="0"/>
                <w:bCs w:val="0"/>
                <w:color w:val="auto"/>
                <w:sz w:val="18"/>
                <w:szCs w:val="18"/>
                <w:lang w:val="en-US" w:eastAsia="zh-CN"/>
              </w:rPr>
              <w:t>512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b w:val="0"/>
                <w:bCs w:val="0"/>
                <w:color w:val="auto"/>
                <w:sz w:val="18"/>
                <w:szCs w:val="18"/>
                <w:lang w:val="en-US" w:eastAsia="zh-CN"/>
              </w:rPr>
              <w:t>497</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b w:val="0"/>
                <w:bCs w:val="0"/>
                <w:color w:val="auto"/>
                <w:sz w:val="18"/>
                <w:szCs w:val="18"/>
                <w:lang w:val="en-US" w:eastAsia="zh-CN"/>
              </w:rPr>
              <w:t>496</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产生浓度</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1.81×10</w:t>
            </w:r>
            <w:r>
              <w:rPr>
                <w:rFonts w:hint="eastAsia" w:ascii="Times New Roman" w:hAnsi="Times New Roman" w:eastAsia="宋体" w:cs="Times New Roman"/>
                <w:kern w:val="0"/>
                <w:sz w:val="18"/>
                <w:szCs w:val="18"/>
                <w:highlight w:val="none"/>
                <w:vertAlign w:val="superscript"/>
                <w:lang w:val="en-US" w:eastAsia="zh-CN"/>
              </w:rPr>
              <w:t>4</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1.90×10</w:t>
            </w:r>
            <w:r>
              <w:rPr>
                <w:rFonts w:hint="eastAsia" w:ascii="Times New Roman" w:hAnsi="Times New Roman" w:eastAsia="宋体" w:cs="Times New Roman"/>
                <w:kern w:val="0"/>
                <w:sz w:val="18"/>
                <w:szCs w:val="18"/>
                <w:highlight w:val="none"/>
                <w:vertAlign w:val="superscript"/>
                <w:lang w:val="en-US" w:eastAsia="zh-CN"/>
              </w:rPr>
              <w:t>4</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1.92×10</w:t>
            </w:r>
            <w:r>
              <w:rPr>
                <w:rFonts w:hint="eastAsia" w:ascii="Times New Roman" w:hAnsi="Times New Roman" w:eastAsia="宋体" w:cs="Times New Roman"/>
                <w:kern w:val="0"/>
                <w:sz w:val="18"/>
                <w:szCs w:val="18"/>
                <w:highlight w:val="none"/>
                <w:vertAlign w:val="superscript"/>
                <w:lang w:val="en-US" w:eastAsia="zh-CN"/>
              </w:rPr>
              <w:t>4</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1.88×10</w:t>
            </w:r>
            <w:r>
              <w:rPr>
                <w:rFonts w:hint="eastAsia" w:ascii="Times New Roman" w:hAnsi="Times New Roman" w:eastAsia="宋体" w:cs="Times New Roman"/>
                <w:kern w:val="0"/>
                <w:sz w:val="18"/>
                <w:szCs w:val="18"/>
                <w:highlight w:val="none"/>
                <w:vertAlign w:val="superscript"/>
                <w:lang w:val="en-US" w:eastAsia="zh-CN"/>
              </w:rPr>
              <w:t>4</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产生速率</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8.69</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9.73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9.54</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9.32</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restart"/>
            <w:tcBorders>
              <w:top w:val="single" w:color="000000" w:sz="4" w:space="0"/>
              <w:bottom w:val="single" w:color="000000" w:sz="4" w:space="0"/>
              <w:right w:val="single" w:color="000000" w:sz="4" w:space="0"/>
            </w:tcBorders>
            <w:shd w:val="clear" w:color="auto" w:fill="auto"/>
            <w:vAlign w:val="center"/>
          </w:tcPr>
          <w:p>
            <w:pPr>
              <w:pStyle w:val="24"/>
              <w:rPr>
                <w:rFonts w:hint="eastAsia"/>
              </w:rPr>
            </w:pPr>
            <w:r>
              <w:rPr>
                <w:rFonts w:hint="eastAsia"/>
              </w:rPr>
              <w:t>油气回收装置1</w:t>
            </w:r>
          </w:p>
          <w:p>
            <w:pPr>
              <w:pStyle w:val="24"/>
            </w:pPr>
            <w:r>
              <w:rPr>
                <w:rFonts w:hint="eastAsia"/>
              </w:rPr>
              <w:t>废气出口</w:t>
            </w: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27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537</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517</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517</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524</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排放浓度</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822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872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888</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861</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bottom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排放速率</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0.441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0.451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0.459</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0.450</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5653" w:type="dxa"/>
            <w:gridSpan w:val="4"/>
            <w:tcBorders>
              <w:top w:val="single" w:color="000000" w:sz="4" w:space="0"/>
              <w:bottom w:val="single" w:color="000000" w:sz="4" w:space="0"/>
              <w:right w:val="single" w:color="000000" w:sz="4" w:space="0"/>
            </w:tcBorders>
            <w:shd w:val="clear" w:color="auto" w:fill="auto"/>
            <w:vAlign w:val="center"/>
          </w:tcPr>
          <w:p>
            <w:pPr>
              <w:pStyle w:val="24"/>
            </w:pPr>
            <w:r>
              <w:t>非甲烷总烃去除率</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eastAsia="宋体"/>
                <w:lang w:val="en-US" w:eastAsia="zh-CN"/>
              </w:rPr>
            </w:pPr>
            <w:r>
              <w:rPr>
                <w:rFonts w:hint="eastAsia"/>
                <w:lang w:val="en-US" w:eastAsia="zh-CN"/>
              </w:rPr>
              <w:t>95.5</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eastAsia="宋体"/>
                <w:lang w:val="en-US" w:eastAsia="zh-CN"/>
              </w:rPr>
            </w:pPr>
            <w:r>
              <w:rPr>
                <w:rFonts w:hint="eastAsia"/>
                <w:lang w:val="en-US" w:eastAsia="zh-CN"/>
              </w:rPr>
              <w:t>95.4</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eastAsia="宋体"/>
                <w:lang w:val="en-US" w:eastAsia="zh-CN"/>
              </w:rPr>
            </w:pPr>
            <w:r>
              <w:rPr>
                <w:rFonts w:hint="eastAsia"/>
                <w:lang w:val="en-US" w:eastAsia="zh-CN"/>
              </w:rPr>
              <w:t>95.4</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eastAsia="宋体"/>
                <w:lang w:val="en-US" w:eastAsia="zh-CN"/>
              </w:rPr>
            </w:pPr>
            <w:r>
              <w:rPr>
                <w:rFonts w:hint="eastAsia"/>
                <w:lang w:val="en-US" w:eastAsia="zh-CN"/>
              </w:rPr>
              <w:t>95.4</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5653" w:type="dxa"/>
            <w:gridSpan w:val="4"/>
            <w:tcBorders>
              <w:top w:val="single" w:color="000000" w:sz="4" w:space="0"/>
              <w:bottom w:val="single" w:color="000000" w:sz="4" w:space="0"/>
              <w:right w:val="single" w:color="000000" w:sz="4" w:space="0"/>
            </w:tcBorders>
            <w:shd w:val="clear" w:color="auto" w:fill="auto"/>
            <w:vAlign w:val="center"/>
          </w:tcPr>
          <w:p>
            <w:pPr>
              <w:pStyle w:val="24"/>
            </w:pPr>
            <w:r>
              <w:t>标准要求去除率</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9</w:t>
            </w:r>
            <w:r>
              <w:rPr>
                <w:rFonts w:hint="eastAsia"/>
              </w:rPr>
              <w:t>5</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9</w:t>
            </w:r>
            <w:r>
              <w:rPr>
                <w:rFonts w:hint="eastAsia"/>
              </w:rPr>
              <w:t>5</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9</w:t>
            </w:r>
            <w:r>
              <w:rPr>
                <w:rFonts w:hint="eastAsia"/>
              </w:rPr>
              <w:t>5</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5653" w:type="dxa"/>
            <w:gridSpan w:val="4"/>
            <w:tcBorders>
              <w:top w:val="single" w:color="000000" w:sz="4" w:space="0"/>
              <w:bottom w:val="single" w:color="000000" w:sz="4" w:space="0"/>
              <w:right w:val="single" w:color="000000" w:sz="4" w:space="0"/>
            </w:tcBorders>
            <w:shd w:val="clear" w:color="auto" w:fill="auto"/>
            <w:vAlign w:val="center"/>
          </w:tcPr>
          <w:p>
            <w:pPr>
              <w:pStyle w:val="24"/>
            </w:pPr>
            <w:r>
              <w:t>达标情况</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tcBorders>
              <w:top w:val="single" w:color="000000" w:sz="4" w:space="0"/>
              <w:bottom w:val="single" w:color="000000" w:sz="4" w:space="0"/>
              <w:right w:val="single" w:color="000000" w:sz="4" w:space="0"/>
            </w:tcBorders>
            <w:shd w:val="clear" w:color="auto" w:fill="auto"/>
            <w:vAlign w:val="center"/>
          </w:tcPr>
          <w:p>
            <w:pPr>
              <w:pStyle w:val="24"/>
            </w:pPr>
            <w:r>
              <w:t>采样地点</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采样日期</w:t>
            </w:r>
          </w:p>
        </w:tc>
        <w:tc>
          <w:tcPr>
            <w:tcW w:w="27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检测项目</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第四次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第五次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第六次</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平均值</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单位</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restart"/>
            <w:tcBorders>
              <w:top w:val="single" w:color="000000" w:sz="4" w:space="0"/>
              <w:bottom w:val="single" w:color="000000" w:sz="4" w:space="0"/>
              <w:right w:val="single" w:color="000000" w:sz="4" w:space="0"/>
            </w:tcBorders>
            <w:shd w:val="clear" w:color="auto" w:fill="auto"/>
            <w:vAlign w:val="center"/>
          </w:tcPr>
          <w:p>
            <w:pPr>
              <w:pStyle w:val="24"/>
              <w:rPr>
                <w:rFonts w:hint="eastAsia"/>
              </w:rPr>
            </w:pPr>
            <w:r>
              <w:rPr>
                <w:rFonts w:hint="eastAsia"/>
              </w:rPr>
              <w:t>油气回收装置1</w:t>
            </w:r>
          </w:p>
          <w:p>
            <w:pPr>
              <w:pStyle w:val="24"/>
            </w:pPr>
            <w:r>
              <w:rPr>
                <w:rFonts w:hint="eastAsia"/>
              </w:rPr>
              <w:t>废气进口</w:t>
            </w:r>
          </w:p>
        </w:tc>
        <w:tc>
          <w:tcPr>
            <w:tcW w:w="1299" w:type="dxa"/>
            <w:vMerge w:val="restart"/>
            <w:tcBorders>
              <w:top w:val="single" w:color="000000" w:sz="4" w:space="0"/>
              <w:left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2023.3.26</w:t>
            </w:r>
          </w:p>
        </w:tc>
        <w:tc>
          <w:tcPr>
            <w:tcW w:w="27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522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534</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504</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520</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产生浓度</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2.49×10</w:t>
            </w:r>
            <w:r>
              <w:rPr>
                <w:rFonts w:hint="eastAsia" w:ascii="Times New Roman" w:hAnsi="Times New Roman" w:eastAsia="宋体" w:cs="Times New Roman"/>
                <w:kern w:val="0"/>
                <w:sz w:val="18"/>
                <w:szCs w:val="18"/>
                <w:highlight w:val="none"/>
                <w:vertAlign w:val="superscript"/>
                <w:lang w:val="en-US" w:eastAsia="zh-CN"/>
              </w:rPr>
              <w:t>4</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2.27×10</w:t>
            </w:r>
            <w:r>
              <w:rPr>
                <w:rFonts w:hint="eastAsia" w:ascii="Times New Roman" w:hAnsi="Times New Roman" w:eastAsia="宋体" w:cs="Times New Roman"/>
                <w:kern w:val="0"/>
                <w:sz w:val="18"/>
                <w:szCs w:val="18"/>
                <w:highlight w:val="none"/>
                <w:vertAlign w:val="superscript"/>
                <w:lang w:val="en-US" w:eastAsia="zh-CN"/>
              </w:rPr>
              <w:t>4</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2.34×10</w:t>
            </w:r>
            <w:r>
              <w:rPr>
                <w:rFonts w:hint="eastAsia" w:ascii="Times New Roman" w:hAnsi="Times New Roman" w:eastAsia="宋体" w:cs="Times New Roman"/>
                <w:kern w:val="0"/>
                <w:sz w:val="18"/>
                <w:szCs w:val="18"/>
                <w:highlight w:val="none"/>
                <w:vertAlign w:val="superscript"/>
                <w:lang w:val="en-US" w:eastAsia="zh-CN"/>
              </w:rPr>
              <w:t>4</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2.37×10</w:t>
            </w:r>
            <w:r>
              <w:rPr>
                <w:rFonts w:hint="eastAsia" w:ascii="Times New Roman" w:hAnsi="Times New Roman" w:eastAsia="宋体" w:cs="Times New Roman"/>
                <w:kern w:val="0"/>
                <w:sz w:val="18"/>
                <w:szCs w:val="18"/>
                <w:highlight w:val="none"/>
                <w:vertAlign w:val="superscript"/>
                <w:lang w:val="en-US" w:eastAsia="zh-CN"/>
              </w:rPr>
              <w:t>4</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产生速率</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13.0</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12.1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11.8</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12.3</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restart"/>
            <w:tcBorders>
              <w:top w:val="single" w:color="000000" w:sz="4" w:space="0"/>
              <w:bottom w:val="single" w:color="000000" w:sz="4" w:space="0"/>
              <w:right w:val="single" w:color="000000" w:sz="4" w:space="0"/>
            </w:tcBorders>
            <w:shd w:val="clear" w:color="auto" w:fill="auto"/>
            <w:vAlign w:val="center"/>
          </w:tcPr>
          <w:p>
            <w:pPr>
              <w:pStyle w:val="24"/>
              <w:rPr>
                <w:rFonts w:hint="eastAsia"/>
              </w:rPr>
            </w:pPr>
            <w:r>
              <w:rPr>
                <w:rFonts w:hint="eastAsia"/>
              </w:rPr>
              <w:t>油气回收装置1</w:t>
            </w:r>
          </w:p>
          <w:p>
            <w:pPr>
              <w:pStyle w:val="24"/>
            </w:pPr>
            <w:r>
              <w:rPr>
                <w:rFonts w:hint="eastAsia"/>
              </w:rPr>
              <w:t>废气出口</w:t>
            </w: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27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539</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560</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542</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547</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排放浓度</w:t>
            </w:r>
          </w:p>
        </w:tc>
        <w:tc>
          <w:tcPr>
            <w:tcW w:w="15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1.08×10</w:t>
            </w:r>
            <w:r>
              <w:rPr>
                <w:rFonts w:hint="eastAsia" w:ascii="Times New Roman" w:hAnsi="Times New Roman" w:eastAsia="宋体" w:cs="Times New Roman"/>
                <w:kern w:val="0"/>
                <w:sz w:val="18"/>
                <w:szCs w:val="18"/>
                <w:highlight w:val="none"/>
                <w:vertAlign w:val="superscript"/>
                <w:lang w:val="en-US" w:eastAsia="zh-CN"/>
              </w:rPr>
              <w:t>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941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952</w:t>
            </w:r>
          </w:p>
        </w:tc>
        <w:tc>
          <w:tcPr>
            <w:tcW w:w="15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991</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1639"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9" w:type="dxa"/>
            <w:vMerge w:val="continue"/>
            <w:tcBorders>
              <w:left w:val="single" w:color="000000" w:sz="4" w:space="0"/>
              <w:bottom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56"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24"/>
            </w:pPr>
            <w:r>
              <w:t>排放速率</w:t>
            </w:r>
          </w:p>
        </w:tc>
        <w:tc>
          <w:tcPr>
            <w:tcW w:w="1531" w:type="dxa"/>
            <w:tcBorders>
              <w:top w:val="single" w:color="000000" w:sz="4" w:space="0"/>
              <w:left w:val="single" w:color="auto" w:sz="4" w:space="0"/>
              <w:bottom w:val="single" w:color="000000" w:sz="4" w:space="0"/>
              <w:right w:val="single" w:color="auto"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0.582</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0.527</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0.516</w:t>
            </w:r>
          </w:p>
        </w:tc>
        <w:tc>
          <w:tcPr>
            <w:tcW w:w="1571" w:type="dxa"/>
            <w:tcBorders>
              <w:top w:val="single" w:color="000000" w:sz="4" w:space="0"/>
              <w:left w:val="single" w:color="auto" w:sz="4" w:space="0"/>
              <w:bottom w:val="single" w:color="000000" w:sz="4" w:space="0"/>
              <w:right w:val="single" w:color="auto" w:sz="4" w:space="0"/>
            </w:tcBorders>
            <w:shd w:val="clear" w:color="auto" w:fill="auto"/>
            <w:vAlign w:val="center"/>
          </w:tcPr>
          <w:p>
            <w:pPr>
              <w:jc w:val="center"/>
            </w:pPr>
            <w:r>
              <w:rPr>
                <w:rFonts w:hint="eastAsia" w:ascii="Times New Roman" w:hAnsi="Times New Roman" w:eastAsia="宋体" w:cs="Times New Roman"/>
                <w:kern w:val="0"/>
                <w:sz w:val="18"/>
                <w:szCs w:val="18"/>
                <w:highlight w:val="none"/>
                <w:lang w:val="en-US" w:eastAsia="zh-CN"/>
              </w:rPr>
              <w:t>0.542</w:t>
            </w:r>
          </w:p>
        </w:tc>
        <w:tc>
          <w:tcPr>
            <w:tcW w:w="1441" w:type="dxa"/>
            <w:tcBorders>
              <w:top w:val="single" w:color="000000" w:sz="4" w:space="0"/>
              <w:left w:val="single" w:color="auto"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5653" w:type="dxa"/>
            <w:gridSpan w:val="4"/>
            <w:tcBorders>
              <w:top w:val="single" w:color="000000" w:sz="4" w:space="0"/>
              <w:bottom w:val="single" w:color="000000" w:sz="4" w:space="0"/>
              <w:right w:val="single" w:color="auto" w:sz="4" w:space="0"/>
            </w:tcBorders>
            <w:shd w:val="clear" w:color="auto" w:fill="auto"/>
            <w:vAlign w:val="center"/>
          </w:tcPr>
          <w:p>
            <w:pPr>
              <w:pStyle w:val="24"/>
            </w:pPr>
            <w:r>
              <w:t>非甲烷总烃去除率</w:t>
            </w:r>
          </w:p>
        </w:tc>
        <w:tc>
          <w:tcPr>
            <w:tcW w:w="153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bidi w:val="0"/>
              <w:rPr>
                <w:rFonts w:hint="default" w:eastAsia="宋体"/>
                <w:lang w:val="en-US" w:eastAsia="zh-CN"/>
              </w:rPr>
            </w:pPr>
            <w:r>
              <w:rPr>
                <w:rFonts w:hint="eastAsia"/>
                <w:lang w:val="en-US" w:eastAsia="zh-CN"/>
              </w:rPr>
              <w:t>95.7</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bidi w:val="0"/>
              <w:rPr>
                <w:rFonts w:hint="default" w:eastAsia="宋体"/>
                <w:lang w:val="en-US" w:eastAsia="zh-CN"/>
              </w:rPr>
            </w:pPr>
            <w:r>
              <w:rPr>
                <w:rFonts w:hint="eastAsia"/>
                <w:lang w:val="en-US" w:eastAsia="zh-CN"/>
              </w:rPr>
              <w:t>95.9</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bidi w:val="0"/>
              <w:rPr>
                <w:rFonts w:hint="default" w:eastAsia="宋体"/>
                <w:lang w:val="en-US" w:eastAsia="zh-CN"/>
              </w:rPr>
            </w:pPr>
            <w:r>
              <w:rPr>
                <w:rFonts w:hint="eastAsia"/>
                <w:lang w:val="en-US" w:eastAsia="zh-CN"/>
              </w:rPr>
              <w:t>95.9</w:t>
            </w:r>
          </w:p>
        </w:tc>
        <w:tc>
          <w:tcPr>
            <w:tcW w:w="157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bidi w:val="0"/>
              <w:rPr>
                <w:rFonts w:hint="default" w:eastAsia="宋体"/>
                <w:lang w:val="en-US" w:eastAsia="zh-CN"/>
              </w:rPr>
            </w:pPr>
            <w:r>
              <w:rPr>
                <w:rFonts w:hint="eastAsia"/>
                <w:lang w:val="en-US" w:eastAsia="zh-CN"/>
              </w:rPr>
              <w:t>95.8</w:t>
            </w:r>
          </w:p>
        </w:tc>
        <w:tc>
          <w:tcPr>
            <w:tcW w:w="1441" w:type="dxa"/>
            <w:tcBorders>
              <w:top w:val="single" w:color="000000" w:sz="4" w:space="0"/>
              <w:left w:val="single" w:color="auto"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5653" w:type="dxa"/>
            <w:gridSpan w:val="4"/>
            <w:tcBorders>
              <w:top w:val="single" w:color="000000" w:sz="4" w:space="0"/>
              <w:bottom w:val="single" w:color="000000" w:sz="4" w:space="0"/>
              <w:right w:val="single" w:color="auto" w:sz="4" w:space="0"/>
            </w:tcBorders>
            <w:shd w:val="clear" w:color="auto" w:fill="auto"/>
            <w:vAlign w:val="center"/>
          </w:tcPr>
          <w:p>
            <w:pPr>
              <w:pStyle w:val="24"/>
            </w:pPr>
            <w:r>
              <w:t>标准要求去除率</w:t>
            </w:r>
          </w:p>
        </w:tc>
        <w:tc>
          <w:tcPr>
            <w:tcW w:w="153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9</w:t>
            </w:r>
            <w:r>
              <w:rPr>
                <w:rFonts w:hint="eastAsia"/>
              </w:rPr>
              <w:t>5</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9</w:t>
            </w:r>
            <w:r>
              <w:rPr>
                <w:rFonts w:hint="eastAsia"/>
              </w:rPr>
              <w:t>5</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9</w:t>
            </w:r>
            <w:r>
              <w:rPr>
                <w:rFonts w:hint="eastAsia"/>
              </w:rPr>
              <w:t>5</w:t>
            </w:r>
          </w:p>
        </w:tc>
        <w:tc>
          <w:tcPr>
            <w:tcW w:w="157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w:t>
            </w:r>
          </w:p>
        </w:tc>
        <w:tc>
          <w:tcPr>
            <w:tcW w:w="1441" w:type="dxa"/>
            <w:tcBorders>
              <w:top w:val="single" w:color="000000" w:sz="4" w:space="0"/>
              <w:left w:val="single" w:color="auto"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1" w:hRule="atLeast"/>
        </w:trPr>
        <w:tc>
          <w:tcPr>
            <w:tcW w:w="5653" w:type="dxa"/>
            <w:gridSpan w:val="4"/>
            <w:tcBorders>
              <w:top w:val="single" w:color="000000" w:sz="4" w:space="0"/>
              <w:bottom w:val="single" w:color="000000" w:sz="4" w:space="0"/>
              <w:right w:val="single" w:color="auto" w:sz="4" w:space="0"/>
            </w:tcBorders>
            <w:shd w:val="clear" w:color="auto" w:fill="auto"/>
            <w:vAlign w:val="center"/>
          </w:tcPr>
          <w:p>
            <w:pPr>
              <w:pStyle w:val="24"/>
            </w:pPr>
            <w:r>
              <w:t>达标情况</w:t>
            </w:r>
          </w:p>
        </w:tc>
        <w:tc>
          <w:tcPr>
            <w:tcW w:w="153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达标</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达标</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达标</w:t>
            </w:r>
          </w:p>
        </w:tc>
        <w:tc>
          <w:tcPr>
            <w:tcW w:w="157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w:t>
            </w:r>
          </w:p>
        </w:tc>
        <w:tc>
          <w:tcPr>
            <w:tcW w:w="1441" w:type="dxa"/>
            <w:tcBorders>
              <w:top w:val="single" w:color="000000" w:sz="4" w:space="0"/>
              <w:left w:val="single" w:color="auto" w:sz="4" w:space="0"/>
              <w:bottom w:val="single" w:color="000000" w:sz="4" w:space="0"/>
            </w:tcBorders>
            <w:shd w:val="clear" w:color="auto" w:fill="auto"/>
            <w:vAlign w:val="center"/>
          </w:tcPr>
          <w:p>
            <w:pPr>
              <w:pStyle w:val="24"/>
            </w:pPr>
            <w:r>
              <w:t>/</w:t>
            </w:r>
          </w:p>
        </w:tc>
      </w:tr>
    </w:tbl>
    <w:p>
      <w:pPr>
        <w:pStyle w:val="19"/>
        <w:spacing w:before="156" w:beforeLines="50"/>
        <w:ind w:firstLine="0" w:firstLineChars="0"/>
        <w:rPr>
          <w:color w:val="000000"/>
        </w:rPr>
        <w:sectPr>
          <w:pgSz w:w="16839" w:h="11907"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3"/>
        <w:spacing w:before="60" w:after="60"/>
      </w:pPr>
      <w:r>
        <w:t>表9.2.</w:t>
      </w:r>
      <w:r>
        <w:rPr>
          <w:rFonts w:hint="eastAsia"/>
        </w:rPr>
        <w:t>4</w:t>
      </w:r>
      <w:r>
        <w:t xml:space="preserve"> </w:t>
      </w:r>
      <w:r>
        <w:rPr>
          <w:rFonts w:hint="eastAsia"/>
        </w:rPr>
        <w:t>废气净化装置2废气</w:t>
      </w:r>
      <w:r>
        <w:t>排气筒监测结果</w:t>
      </w:r>
    </w:p>
    <w:tbl>
      <w:tblPr>
        <w:tblStyle w:val="14"/>
        <w:tblW w:w="13250" w:type="dxa"/>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1630"/>
        <w:gridCol w:w="1291"/>
        <w:gridCol w:w="1357"/>
        <w:gridCol w:w="1368"/>
        <w:gridCol w:w="1519"/>
        <w:gridCol w:w="1532"/>
        <w:gridCol w:w="1532"/>
        <w:gridCol w:w="1582"/>
        <w:gridCol w:w="1439"/>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blHeader/>
        </w:trPr>
        <w:tc>
          <w:tcPr>
            <w:tcW w:w="1630" w:type="dxa"/>
            <w:vMerge w:val="restart"/>
            <w:tcBorders>
              <w:top w:val="single" w:color="000000" w:sz="4" w:space="0"/>
              <w:bottom w:val="single" w:color="000000" w:sz="4" w:space="0"/>
              <w:right w:val="single" w:color="000000" w:sz="4" w:space="0"/>
            </w:tcBorders>
            <w:shd w:val="clear" w:color="auto" w:fill="auto"/>
            <w:vAlign w:val="center"/>
          </w:tcPr>
          <w:p>
            <w:pPr>
              <w:pStyle w:val="24"/>
            </w:pPr>
            <w:r>
              <w:t>采样地点</w:t>
            </w:r>
          </w:p>
        </w:tc>
        <w:tc>
          <w:tcPr>
            <w:tcW w:w="129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采样日期</w:t>
            </w:r>
          </w:p>
        </w:tc>
        <w:tc>
          <w:tcPr>
            <w:tcW w:w="2725"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检测项目</w:t>
            </w:r>
          </w:p>
        </w:tc>
        <w:tc>
          <w:tcPr>
            <w:tcW w:w="616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检测结果</w:t>
            </w:r>
          </w:p>
        </w:tc>
        <w:tc>
          <w:tcPr>
            <w:tcW w:w="1439" w:type="dxa"/>
            <w:vMerge w:val="restart"/>
            <w:tcBorders>
              <w:top w:val="single" w:color="000000" w:sz="4" w:space="0"/>
              <w:left w:val="single" w:color="000000" w:sz="4" w:space="0"/>
              <w:bottom w:val="single" w:color="000000" w:sz="4" w:space="0"/>
            </w:tcBorders>
            <w:shd w:val="clear" w:color="auto" w:fill="auto"/>
            <w:vAlign w:val="center"/>
          </w:tcPr>
          <w:p>
            <w:pPr>
              <w:pStyle w:val="24"/>
            </w:pPr>
            <w:r>
              <w:t>单位</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29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2725"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第一次</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第二次</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第三次</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平均值</w:t>
            </w:r>
          </w:p>
        </w:tc>
        <w:tc>
          <w:tcPr>
            <w:tcW w:w="1439" w:type="dxa"/>
            <w:vMerge w:val="continue"/>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restart"/>
            <w:tcBorders>
              <w:top w:val="single" w:color="000000" w:sz="4" w:space="0"/>
              <w:right w:val="single" w:color="000000" w:sz="4" w:space="0"/>
            </w:tcBorders>
            <w:shd w:val="clear" w:color="auto" w:fill="auto"/>
            <w:vAlign w:val="center"/>
          </w:tcPr>
          <w:p>
            <w:pPr>
              <w:pStyle w:val="24"/>
              <w:rPr>
                <w:rFonts w:hint="eastAsia"/>
              </w:rPr>
            </w:pPr>
            <w:r>
              <w:rPr>
                <w:rFonts w:hint="eastAsia"/>
              </w:rPr>
              <w:t>废气净化装置2</w:t>
            </w:r>
          </w:p>
          <w:p>
            <w:pPr>
              <w:pStyle w:val="24"/>
            </w:pPr>
            <w:r>
              <w:rPr>
                <w:rFonts w:hint="eastAsia"/>
              </w:rPr>
              <w:t>废气进口</w:t>
            </w:r>
          </w:p>
        </w:tc>
        <w:tc>
          <w:tcPr>
            <w:tcW w:w="1291" w:type="dxa"/>
            <w:vMerge w:val="restart"/>
            <w:tcBorders>
              <w:top w:val="single" w:color="000000" w:sz="4" w:space="0"/>
              <w:left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2023.3.23</w:t>
            </w:r>
          </w:p>
        </w:tc>
        <w:tc>
          <w:tcPr>
            <w:tcW w:w="272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2471</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2498</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2445</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2471</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产生浓度</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7.95×10</w:t>
            </w:r>
            <w:r>
              <w:rPr>
                <w:rFonts w:hint="eastAsia"/>
                <w:vertAlign w:val="superscript"/>
                <w:lang w:val="en-US" w:eastAsia="zh-CN"/>
              </w:rPr>
              <w:t>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6.20×10</w:t>
            </w:r>
            <w:r>
              <w:rPr>
                <w:rFonts w:hint="eastAsia"/>
                <w:vertAlign w:val="superscript"/>
                <w:lang w:val="en-US" w:eastAsia="zh-CN"/>
              </w:rPr>
              <w:t>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6.15×10</w:t>
            </w:r>
            <w:r>
              <w:rPr>
                <w:rFonts w:hint="eastAsia"/>
                <w:vertAlign w:val="superscript"/>
                <w:lang w:val="en-US" w:eastAsia="zh-CN"/>
              </w:rPr>
              <w:t>3</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6.77×10</w:t>
            </w:r>
            <w:r>
              <w:rPr>
                <w:rFonts w:hint="eastAsia"/>
                <w:vertAlign w:val="superscript"/>
                <w:lang w:val="en-US" w:eastAsia="zh-CN"/>
              </w:rPr>
              <w:t>3</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产生速率</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19.6</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15.5</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15.0</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16.7</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restart"/>
            <w:tcBorders>
              <w:top w:val="single" w:color="000000" w:sz="4" w:space="0"/>
              <w:right w:val="single" w:color="000000" w:sz="4" w:space="0"/>
            </w:tcBorders>
            <w:shd w:val="clear" w:color="auto" w:fill="auto"/>
            <w:vAlign w:val="center"/>
          </w:tcPr>
          <w:p>
            <w:pPr>
              <w:pStyle w:val="24"/>
              <w:rPr>
                <w:rFonts w:hint="eastAsia"/>
              </w:rPr>
            </w:pPr>
            <w:r>
              <w:rPr>
                <w:rFonts w:hint="eastAsia"/>
              </w:rPr>
              <w:t>废气净化装置2</w:t>
            </w:r>
          </w:p>
          <w:p>
            <w:pPr>
              <w:pStyle w:val="24"/>
            </w:pPr>
            <w:r>
              <w:rPr>
                <w:rFonts w:hint="eastAsia"/>
              </w:rPr>
              <w:t>废气出口</w:t>
            </w: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272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2540</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2641</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2569</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2583</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排放浓度</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544</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508</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500</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517</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排放速率</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1.38</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1.34</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1.28</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1.34</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5646" w:type="dxa"/>
            <w:gridSpan w:val="4"/>
            <w:tcBorders>
              <w:top w:val="single" w:color="000000" w:sz="4" w:space="0"/>
              <w:bottom w:val="single" w:color="000000" w:sz="4" w:space="0"/>
              <w:right w:val="single" w:color="000000" w:sz="4" w:space="0"/>
            </w:tcBorders>
            <w:shd w:val="clear" w:color="auto" w:fill="auto"/>
            <w:vAlign w:val="center"/>
          </w:tcPr>
          <w:p>
            <w:pPr>
              <w:pStyle w:val="24"/>
            </w:pPr>
            <w:r>
              <w:t>非甲烷总烃去除率</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93.0</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91.4</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91.5</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92.0</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5646" w:type="dxa"/>
            <w:gridSpan w:val="4"/>
            <w:tcBorders>
              <w:top w:val="single" w:color="000000" w:sz="4" w:space="0"/>
              <w:bottom w:val="single" w:color="000000" w:sz="4" w:space="0"/>
              <w:right w:val="single" w:color="000000" w:sz="4" w:space="0"/>
            </w:tcBorders>
            <w:shd w:val="clear" w:color="auto" w:fill="auto"/>
            <w:vAlign w:val="center"/>
          </w:tcPr>
          <w:p>
            <w:pPr>
              <w:pStyle w:val="24"/>
            </w:pPr>
            <w:r>
              <w:t>标准要求去除率</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90</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90</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90</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5646" w:type="dxa"/>
            <w:gridSpan w:val="4"/>
            <w:tcBorders>
              <w:top w:val="single" w:color="000000" w:sz="4" w:space="0"/>
              <w:bottom w:val="single" w:color="000000" w:sz="4" w:space="0"/>
              <w:right w:val="single" w:color="000000" w:sz="4" w:space="0"/>
            </w:tcBorders>
            <w:shd w:val="clear" w:color="auto" w:fill="auto"/>
            <w:vAlign w:val="center"/>
          </w:tcPr>
          <w:p>
            <w:pPr>
              <w:pStyle w:val="24"/>
            </w:pPr>
            <w:r>
              <w:t>达标情况</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达标</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达标</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达标</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tcBorders>
              <w:top w:val="single" w:color="000000" w:sz="4" w:space="0"/>
              <w:bottom w:val="single" w:color="000000" w:sz="4" w:space="0"/>
              <w:right w:val="single" w:color="000000" w:sz="4" w:space="0"/>
            </w:tcBorders>
            <w:shd w:val="clear" w:color="auto" w:fill="auto"/>
            <w:vAlign w:val="center"/>
          </w:tcPr>
          <w:p>
            <w:pPr>
              <w:pStyle w:val="24"/>
            </w:pPr>
            <w:r>
              <w:t>采样地点</w:t>
            </w: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采样日期</w:t>
            </w:r>
          </w:p>
        </w:tc>
        <w:tc>
          <w:tcPr>
            <w:tcW w:w="272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检测项目</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第四次</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第五次</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第六次</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lang w:val="en-US" w:eastAsia="zh-CN"/>
              </w:rPr>
            </w:pPr>
            <w:r>
              <w:rPr>
                <w:rFonts w:hint="eastAsia"/>
                <w:lang w:val="en-US" w:eastAsia="zh-CN"/>
              </w:rPr>
              <w:t>平均值</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单位</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restart"/>
            <w:tcBorders>
              <w:top w:val="single" w:color="000000" w:sz="4" w:space="0"/>
              <w:right w:val="single" w:color="000000" w:sz="4" w:space="0"/>
            </w:tcBorders>
            <w:shd w:val="clear" w:color="auto" w:fill="auto"/>
            <w:vAlign w:val="center"/>
          </w:tcPr>
          <w:p>
            <w:pPr>
              <w:pStyle w:val="24"/>
              <w:rPr>
                <w:rFonts w:hint="eastAsia"/>
              </w:rPr>
            </w:pPr>
            <w:r>
              <w:rPr>
                <w:rFonts w:hint="eastAsia"/>
              </w:rPr>
              <w:t>废气净化装置2</w:t>
            </w:r>
          </w:p>
          <w:p>
            <w:pPr>
              <w:pStyle w:val="24"/>
            </w:pPr>
            <w:r>
              <w:rPr>
                <w:rFonts w:hint="eastAsia"/>
              </w:rPr>
              <w:t>废气进口</w:t>
            </w:r>
          </w:p>
        </w:tc>
        <w:tc>
          <w:tcPr>
            <w:tcW w:w="1291" w:type="dxa"/>
            <w:vMerge w:val="restart"/>
            <w:tcBorders>
              <w:top w:val="single" w:color="000000" w:sz="4" w:space="0"/>
              <w:left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2023.3.24</w:t>
            </w:r>
          </w:p>
        </w:tc>
        <w:tc>
          <w:tcPr>
            <w:tcW w:w="272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2619</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2573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2586</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2593</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产生浓度</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7.80×10</w:t>
            </w:r>
            <w:r>
              <w:rPr>
                <w:rFonts w:hint="eastAsia"/>
                <w:vertAlign w:val="superscript"/>
                <w:lang w:val="en-US" w:eastAsia="zh-CN"/>
              </w:rPr>
              <w:t>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7.50×10</w:t>
            </w:r>
            <w:r>
              <w:rPr>
                <w:rFonts w:hint="eastAsia"/>
                <w:vertAlign w:val="superscript"/>
                <w:lang w:val="en-US" w:eastAsia="zh-CN"/>
              </w:rPr>
              <w:t>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6.80×10</w:t>
            </w:r>
            <w:r>
              <w:rPr>
                <w:rFonts w:hint="eastAsia"/>
                <w:vertAlign w:val="superscript"/>
                <w:lang w:val="en-US" w:eastAsia="zh-CN"/>
              </w:rPr>
              <w:t>3</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7.37×10</w:t>
            </w:r>
            <w:r>
              <w:rPr>
                <w:rFonts w:hint="eastAsia"/>
                <w:vertAlign w:val="superscript"/>
                <w:lang w:val="en-US" w:eastAsia="zh-CN"/>
              </w:rPr>
              <w:t>3</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产生速率</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20.4</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19.3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17.6</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19.1</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restart"/>
            <w:tcBorders>
              <w:top w:val="single" w:color="000000" w:sz="4" w:space="0"/>
              <w:left w:val="single" w:color="000000" w:sz="4" w:space="0"/>
              <w:right w:val="single" w:color="000000" w:sz="4" w:space="0"/>
            </w:tcBorders>
            <w:shd w:val="clear" w:color="auto" w:fill="auto"/>
            <w:vAlign w:val="center"/>
          </w:tcPr>
          <w:p>
            <w:pPr>
              <w:pStyle w:val="24"/>
            </w:pPr>
            <w:r>
              <w:rPr>
                <w:rFonts w:hint="eastAsia"/>
                <w:lang w:eastAsia="zh-CN"/>
              </w:rPr>
              <w:t>苯</w:t>
            </w: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产生浓度</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2.34</w:t>
            </w:r>
            <w:r>
              <w:rPr>
                <w:rFonts w:hint="default"/>
                <w:lang w:val="en-US" w:eastAsia="zh-CN"/>
              </w:rPr>
              <w:t>×10</w:t>
            </w:r>
            <w:r>
              <w:rPr>
                <w:rFonts w:hint="default"/>
                <w:vertAlign w:val="superscript"/>
                <w:lang w:val="en-US" w:eastAsia="zh-CN"/>
              </w:rPr>
              <w:t>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default"/>
                <w:lang w:val="en-US" w:eastAsia="zh-CN"/>
              </w:rPr>
              <w:t>2.</w:t>
            </w:r>
            <w:r>
              <w:rPr>
                <w:rFonts w:hint="eastAsia"/>
                <w:lang w:val="en-US" w:eastAsia="zh-CN"/>
              </w:rPr>
              <w:t>2</w:t>
            </w:r>
            <w:r>
              <w:rPr>
                <w:rFonts w:hint="default"/>
                <w:lang w:val="en-US" w:eastAsia="zh-CN"/>
              </w:rPr>
              <w:t>4×10</w:t>
            </w:r>
            <w:r>
              <w:rPr>
                <w:rFonts w:hint="default"/>
                <w:vertAlign w:val="superscript"/>
                <w:lang w:val="en-US" w:eastAsia="zh-CN"/>
              </w:rPr>
              <w:t>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default"/>
                <w:lang w:val="en-US" w:eastAsia="zh-CN"/>
              </w:rPr>
              <w:t>2.</w:t>
            </w:r>
            <w:r>
              <w:rPr>
                <w:rFonts w:hint="eastAsia"/>
                <w:lang w:val="en-US" w:eastAsia="zh-CN"/>
              </w:rPr>
              <w:t>51</w:t>
            </w:r>
            <w:r>
              <w:rPr>
                <w:rFonts w:hint="default"/>
                <w:lang w:val="en-US" w:eastAsia="zh-CN"/>
              </w:rPr>
              <w:t>×10</w:t>
            </w:r>
            <w:r>
              <w:rPr>
                <w:rFonts w:hint="default"/>
                <w:vertAlign w:val="superscript"/>
                <w:lang w:val="en-US" w:eastAsia="zh-CN"/>
              </w:rPr>
              <w:t>3</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default"/>
                <w:lang w:val="en-US" w:eastAsia="zh-CN"/>
              </w:rPr>
              <w:t>2.3</w:t>
            </w:r>
            <w:r>
              <w:rPr>
                <w:rFonts w:hint="eastAsia"/>
                <w:lang w:val="en-US" w:eastAsia="zh-CN"/>
              </w:rPr>
              <w:t>6</w:t>
            </w:r>
            <w:r>
              <w:rPr>
                <w:rFonts w:hint="default"/>
                <w:lang w:val="en-US" w:eastAsia="zh-CN"/>
              </w:rPr>
              <w:t>×10</w:t>
            </w:r>
            <w:r>
              <w:rPr>
                <w:rFonts w:hint="default"/>
                <w:vertAlign w:val="superscript"/>
                <w:lang w:val="en-US" w:eastAsia="zh-CN"/>
              </w:rPr>
              <w:t>3</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continue"/>
            <w:tcBorders>
              <w:left w:val="single" w:color="000000" w:sz="4" w:space="0"/>
              <w:bottom w:val="single" w:color="000000" w:sz="4" w:space="0"/>
              <w:right w:val="single" w:color="000000" w:sz="4" w:space="0"/>
            </w:tcBorders>
            <w:shd w:val="clear" w:color="auto" w:fill="auto"/>
            <w:vAlign w:val="center"/>
          </w:tcPr>
          <w:p>
            <w:pPr>
              <w:pStyle w:val="24"/>
            </w:pP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产生速率</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6.13</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5.76</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6.49</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6.12</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restart"/>
            <w:tcBorders>
              <w:top w:val="single" w:color="000000" w:sz="4" w:space="0"/>
              <w:right w:val="single" w:color="000000" w:sz="4" w:space="0"/>
            </w:tcBorders>
            <w:shd w:val="clear" w:color="auto" w:fill="auto"/>
            <w:vAlign w:val="center"/>
          </w:tcPr>
          <w:p>
            <w:pPr>
              <w:pStyle w:val="24"/>
              <w:rPr>
                <w:rFonts w:hint="eastAsia"/>
              </w:rPr>
            </w:pPr>
            <w:r>
              <w:rPr>
                <w:rFonts w:hint="eastAsia"/>
              </w:rPr>
              <w:t>废气净化装置2</w:t>
            </w:r>
          </w:p>
          <w:p>
            <w:pPr>
              <w:pStyle w:val="24"/>
            </w:pPr>
            <w:r>
              <w:rPr>
                <w:rFonts w:hint="eastAsia"/>
              </w:rPr>
              <w:t>废气出口</w:t>
            </w: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272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2512</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2464</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2535</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2504</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排放浓度</w:t>
            </w:r>
          </w:p>
        </w:tc>
        <w:tc>
          <w:tcPr>
            <w:tcW w:w="15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544</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520</w:t>
            </w:r>
          </w:p>
        </w:tc>
        <w:tc>
          <w:tcPr>
            <w:tcW w:w="153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508</w:t>
            </w:r>
          </w:p>
        </w:tc>
        <w:tc>
          <w:tcPr>
            <w:tcW w:w="158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lang w:val="en-US" w:eastAsia="zh-CN"/>
              </w:rPr>
            </w:pPr>
            <w:r>
              <w:rPr>
                <w:rFonts w:hint="eastAsia"/>
                <w:lang w:val="en-US" w:eastAsia="zh-CN"/>
              </w:rPr>
              <w:t>524</w:t>
            </w:r>
          </w:p>
        </w:tc>
        <w:tc>
          <w:tcPr>
            <w:tcW w:w="1439"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68"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24"/>
            </w:pPr>
            <w:r>
              <w:t>排放速率</w:t>
            </w:r>
          </w:p>
        </w:tc>
        <w:tc>
          <w:tcPr>
            <w:tcW w:w="1519"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1.37</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1.28</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1.29</w:t>
            </w:r>
          </w:p>
        </w:tc>
        <w:tc>
          <w:tcPr>
            <w:tcW w:w="158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1.31</w:t>
            </w:r>
          </w:p>
        </w:tc>
        <w:tc>
          <w:tcPr>
            <w:tcW w:w="1439" w:type="dxa"/>
            <w:tcBorders>
              <w:top w:val="single" w:color="000000" w:sz="4" w:space="0"/>
              <w:left w:val="single" w:color="auto"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restart"/>
            <w:tcBorders>
              <w:top w:val="single" w:color="000000" w:sz="4" w:space="0"/>
              <w:left w:val="single" w:color="000000" w:sz="4" w:space="0"/>
              <w:right w:val="single" w:color="000000" w:sz="4" w:space="0"/>
            </w:tcBorders>
            <w:shd w:val="clear" w:color="auto" w:fill="auto"/>
            <w:vAlign w:val="center"/>
          </w:tcPr>
          <w:p>
            <w:pPr>
              <w:pStyle w:val="24"/>
            </w:pPr>
            <w:r>
              <w:rPr>
                <w:rFonts w:hint="eastAsia"/>
                <w:lang w:eastAsia="zh-CN"/>
              </w:rPr>
              <w:t>苯</w:t>
            </w:r>
          </w:p>
        </w:tc>
        <w:tc>
          <w:tcPr>
            <w:tcW w:w="1368"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24"/>
            </w:pPr>
            <w:r>
              <w:t>产生浓度</w:t>
            </w:r>
          </w:p>
        </w:tc>
        <w:tc>
          <w:tcPr>
            <w:tcW w:w="1519"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112</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116</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122</w:t>
            </w:r>
          </w:p>
        </w:tc>
        <w:tc>
          <w:tcPr>
            <w:tcW w:w="158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233</w:t>
            </w:r>
          </w:p>
        </w:tc>
        <w:tc>
          <w:tcPr>
            <w:tcW w:w="1439" w:type="dxa"/>
            <w:tcBorders>
              <w:top w:val="single" w:color="000000" w:sz="4" w:space="0"/>
              <w:left w:val="single" w:color="auto"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1630" w:type="dxa"/>
            <w:vMerge w:val="continue"/>
            <w:tcBorders>
              <w:right w:val="single" w:color="000000" w:sz="4" w:space="0"/>
            </w:tcBorders>
            <w:shd w:val="clear" w:color="auto" w:fill="auto"/>
            <w:vAlign w:val="center"/>
          </w:tcPr>
          <w:p>
            <w:pPr>
              <w:pStyle w:val="24"/>
            </w:pPr>
          </w:p>
        </w:tc>
        <w:tc>
          <w:tcPr>
            <w:tcW w:w="1291" w:type="dxa"/>
            <w:vMerge w:val="continue"/>
            <w:tcBorders>
              <w:left w:val="single" w:color="000000" w:sz="4" w:space="0"/>
              <w:right w:val="single" w:color="000000" w:sz="4" w:space="0"/>
            </w:tcBorders>
            <w:shd w:val="clear" w:color="auto" w:fill="auto"/>
            <w:vAlign w:val="center"/>
          </w:tcPr>
          <w:p>
            <w:pPr>
              <w:pStyle w:val="24"/>
            </w:pPr>
          </w:p>
        </w:tc>
        <w:tc>
          <w:tcPr>
            <w:tcW w:w="1357" w:type="dxa"/>
            <w:vMerge w:val="continue"/>
            <w:tcBorders>
              <w:left w:val="single" w:color="000000" w:sz="4" w:space="0"/>
              <w:bottom w:val="single" w:color="000000" w:sz="4" w:space="0"/>
              <w:right w:val="single" w:color="000000" w:sz="4" w:space="0"/>
            </w:tcBorders>
            <w:shd w:val="clear" w:color="auto" w:fill="auto"/>
            <w:vAlign w:val="center"/>
          </w:tcPr>
          <w:p>
            <w:pPr>
              <w:pStyle w:val="24"/>
            </w:pPr>
          </w:p>
        </w:tc>
        <w:tc>
          <w:tcPr>
            <w:tcW w:w="1368" w:type="dxa"/>
            <w:tcBorders>
              <w:top w:val="single" w:color="000000" w:sz="4" w:space="0"/>
              <w:left w:val="single" w:color="000000" w:sz="4" w:space="0"/>
              <w:bottom w:val="single" w:color="000000" w:sz="4" w:space="0"/>
              <w:right w:val="single" w:color="auto" w:sz="4" w:space="0"/>
            </w:tcBorders>
            <w:shd w:val="clear" w:color="auto" w:fill="auto"/>
            <w:vAlign w:val="center"/>
          </w:tcPr>
          <w:p>
            <w:pPr>
              <w:pStyle w:val="24"/>
            </w:pPr>
            <w:r>
              <w:t>产生速率</w:t>
            </w:r>
          </w:p>
        </w:tc>
        <w:tc>
          <w:tcPr>
            <w:tcW w:w="1519"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0.280</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0.287</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0.308</w:t>
            </w:r>
          </w:p>
        </w:tc>
        <w:tc>
          <w:tcPr>
            <w:tcW w:w="158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0.292</w:t>
            </w:r>
          </w:p>
        </w:tc>
        <w:tc>
          <w:tcPr>
            <w:tcW w:w="1439" w:type="dxa"/>
            <w:tcBorders>
              <w:top w:val="single" w:color="000000" w:sz="4" w:space="0"/>
              <w:left w:val="single" w:color="auto"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5646" w:type="dxa"/>
            <w:gridSpan w:val="4"/>
            <w:tcBorders>
              <w:top w:val="single" w:color="000000" w:sz="4" w:space="0"/>
              <w:bottom w:val="single" w:color="000000" w:sz="4" w:space="0"/>
              <w:right w:val="single" w:color="auto" w:sz="4" w:space="0"/>
            </w:tcBorders>
            <w:shd w:val="clear" w:color="auto" w:fill="auto"/>
            <w:vAlign w:val="center"/>
          </w:tcPr>
          <w:p>
            <w:pPr>
              <w:pStyle w:val="24"/>
            </w:pPr>
            <w:r>
              <w:t>非甲烷总烃去除率</w:t>
            </w:r>
          </w:p>
        </w:tc>
        <w:tc>
          <w:tcPr>
            <w:tcW w:w="1519"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93.3</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93.4</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92.7</w:t>
            </w:r>
          </w:p>
        </w:tc>
        <w:tc>
          <w:tcPr>
            <w:tcW w:w="158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93.1</w:t>
            </w:r>
          </w:p>
        </w:tc>
        <w:tc>
          <w:tcPr>
            <w:tcW w:w="1439" w:type="dxa"/>
            <w:tcBorders>
              <w:top w:val="single" w:color="000000" w:sz="4" w:space="0"/>
              <w:left w:val="single" w:color="auto"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5646" w:type="dxa"/>
            <w:gridSpan w:val="4"/>
            <w:tcBorders>
              <w:top w:val="single" w:color="000000" w:sz="4" w:space="0"/>
              <w:bottom w:val="single" w:color="000000" w:sz="4" w:space="0"/>
              <w:right w:val="single" w:color="auto" w:sz="4" w:space="0"/>
            </w:tcBorders>
            <w:shd w:val="clear" w:color="auto" w:fill="auto"/>
            <w:vAlign w:val="center"/>
          </w:tcPr>
          <w:p>
            <w:pPr>
              <w:pStyle w:val="24"/>
            </w:pPr>
            <w:r>
              <w:rPr>
                <w:rFonts w:hint="eastAsia"/>
                <w:lang w:eastAsia="zh-CN"/>
              </w:rPr>
              <w:t>苯去除率</w:t>
            </w:r>
          </w:p>
        </w:tc>
        <w:tc>
          <w:tcPr>
            <w:tcW w:w="1519"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95.4</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95.0</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95.3</w:t>
            </w:r>
          </w:p>
        </w:tc>
        <w:tc>
          <w:tcPr>
            <w:tcW w:w="158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rPr>
                <w:rFonts w:hint="default"/>
                <w:lang w:val="en-US" w:eastAsia="zh-CN"/>
              </w:rPr>
            </w:pPr>
            <w:r>
              <w:rPr>
                <w:rFonts w:hint="eastAsia"/>
                <w:lang w:val="en-US" w:eastAsia="zh-CN"/>
              </w:rPr>
              <w:t>95.2</w:t>
            </w:r>
          </w:p>
        </w:tc>
        <w:tc>
          <w:tcPr>
            <w:tcW w:w="1439" w:type="dxa"/>
            <w:tcBorders>
              <w:top w:val="single" w:color="000000" w:sz="4" w:space="0"/>
              <w:left w:val="single" w:color="auto"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5646" w:type="dxa"/>
            <w:gridSpan w:val="4"/>
            <w:tcBorders>
              <w:top w:val="single" w:color="000000" w:sz="4" w:space="0"/>
              <w:bottom w:val="single" w:color="000000" w:sz="4" w:space="0"/>
              <w:right w:val="single" w:color="auto" w:sz="4" w:space="0"/>
            </w:tcBorders>
            <w:shd w:val="clear" w:color="auto" w:fill="auto"/>
            <w:vAlign w:val="center"/>
          </w:tcPr>
          <w:p>
            <w:pPr>
              <w:pStyle w:val="24"/>
            </w:pPr>
            <w:r>
              <w:t>标准要求去除率</w:t>
            </w:r>
          </w:p>
        </w:tc>
        <w:tc>
          <w:tcPr>
            <w:tcW w:w="1519"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90</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90</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90</w:t>
            </w:r>
          </w:p>
        </w:tc>
        <w:tc>
          <w:tcPr>
            <w:tcW w:w="158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w:t>
            </w:r>
          </w:p>
        </w:tc>
        <w:tc>
          <w:tcPr>
            <w:tcW w:w="1439" w:type="dxa"/>
            <w:tcBorders>
              <w:top w:val="single" w:color="000000" w:sz="4" w:space="0"/>
              <w:left w:val="single" w:color="auto"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40" w:hRule="atLeast"/>
        </w:trPr>
        <w:tc>
          <w:tcPr>
            <w:tcW w:w="5646" w:type="dxa"/>
            <w:gridSpan w:val="4"/>
            <w:tcBorders>
              <w:top w:val="single" w:color="000000" w:sz="4" w:space="0"/>
              <w:bottom w:val="single" w:color="000000" w:sz="4" w:space="0"/>
              <w:right w:val="single" w:color="auto" w:sz="4" w:space="0"/>
            </w:tcBorders>
            <w:shd w:val="clear" w:color="auto" w:fill="auto"/>
            <w:vAlign w:val="center"/>
          </w:tcPr>
          <w:p>
            <w:pPr>
              <w:pStyle w:val="24"/>
            </w:pPr>
            <w:r>
              <w:t>达标情况</w:t>
            </w:r>
          </w:p>
        </w:tc>
        <w:tc>
          <w:tcPr>
            <w:tcW w:w="1519"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达标</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达标</w:t>
            </w:r>
          </w:p>
        </w:tc>
        <w:tc>
          <w:tcPr>
            <w:tcW w:w="153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达标</w:t>
            </w:r>
          </w:p>
        </w:tc>
        <w:tc>
          <w:tcPr>
            <w:tcW w:w="1582"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rPr>
                <w:rFonts w:hint="eastAsia"/>
              </w:rPr>
              <w:t>/</w:t>
            </w:r>
          </w:p>
        </w:tc>
        <w:tc>
          <w:tcPr>
            <w:tcW w:w="1439" w:type="dxa"/>
            <w:tcBorders>
              <w:top w:val="single" w:color="000000" w:sz="4" w:space="0"/>
              <w:left w:val="single" w:color="auto" w:sz="4" w:space="0"/>
              <w:bottom w:val="single" w:color="000000" w:sz="4" w:space="0"/>
            </w:tcBorders>
            <w:shd w:val="clear" w:color="auto" w:fill="auto"/>
            <w:vAlign w:val="center"/>
          </w:tcPr>
          <w:p>
            <w:pPr>
              <w:pStyle w:val="24"/>
            </w:pPr>
            <w:r>
              <w:t>/</w:t>
            </w:r>
          </w:p>
        </w:tc>
      </w:tr>
    </w:tbl>
    <w:p>
      <w:pPr>
        <w:pStyle w:val="19"/>
        <w:spacing w:before="156" w:beforeLines="50"/>
        <w:ind w:firstLine="0" w:firstLineChars="0"/>
        <w:rPr>
          <w:color w:val="000000"/>
        </w:rPr>
        <w:sectPr>
          <w:pgSz w:w="16839" w:h="11907" w:orient="landscape"/>
          <w:pgMar w:top="1440" w:right="1803" w:bottom="1440" w:left="1803" w:header="851" w:footer="992" w:gutter="0"/>
          <w:pgBorders>
            <w:top w:val="none" w:sz="0" w:space="0"/>
            <w:left w:val="none" w:sz="0" w:space="0"/>
            <w:bottom w:val="none" w:sz="0" w:space="0"/>
            <w:right w:val="none" w:sz="0" w:space="0"/>
          </w:pgBorders>
          <w:cols w:space="720" w:num="1"/>
          <w:docGrid w:type="lines" w:linePitch="312" w:charSpace="0"/>
        </w:sectPr>
      </w:pPr>
    </w:p>
    <w:p>
      <w:pPr>
        <w:pStyle w:val="23"/>
        <w:spacing w:before="60" w:after="60"/>
      </w:pPr>
      <w:r>
        <w:t>表9.2.</w:t>
      </w:r>
      <w:r>
        <w:rPr>
          <w:rFonts w:hint="eastAsia"/>
        </w:rPr>
        <w:t>5</w:t>
      </w:r>
      <w:r>
        <w:t xml:space="preserve"> </w:t>
      </w:r>
      <w:r>
        <w:rPr>
          <w:rFonts w:hint="eastAsia"/>
        </w:rPr>
        <w:t>水喷淋装置废气</w:t>
      </w:r>
      <w:r>
        <w:t>排气筒监测结果</w:t>
      </w:r>
    </w:p>
    <w:tbl>
      <w:tblPr>
        <w:tblStyle w:val="14"/>
        <w:tblW w:w="13264" w:type="dxa"/>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1427"/>
        <w:gridCol w:w="1474"/>
        <w:gridCol w:w="1359"/>
        <w:gridCol w:w="1388"/>
        <w:gridCol w:w="1526"/>
        <w:gridCol w:w="1534"/>
        <w:gridCol w:w="1534"/>
        <w:gridCol w:w="1581"/>
        <w:gridCol w:w="1441"/>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blHeader/>
        </w:trPr>
        <w:tc>
          <w:tcPr>
            <w:tcW w:w="1427" w:type="dxa"/>
            <w:vMerge w:val="restart"/>
            <w:tcBorders>
              <w:top w:val="single" w:color="000000" w:sz="4" w:space="0"/>
              <w:bottom w:val="single" w:color="000000" w:sz="4" w:space="0"/>
              <w:right w:val="single" w:color="000000" w:sz="4" w:space="0"/>
            </w:tcBorders>
            <w:shd w:val="clear" w:color="auto" w:fill="auto"/>
            <w:vAlign w:val="center"/>
          </w:tcPr>
          <w:p>
            <w:pPr>
              <w:pStyle w:val="24"/>
            </w:pPr>
            <w:r>
              <w:t>采样地点</w:t>
            </w:r>
          </w:p>
        </w:tc>
        <w:tc>
          <w:tcPr>
            <w:tcW w:w="14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采样日期</w:t>
            </w:r>
          </w:p>
        </w:tc>
        <w:tc>
          <w:tcPr>
            <w:tcW w:w="2747"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检测项目</w:t>
            </w:r>
          </w:p>
        </w:tc>
        <w:tc>
          <w:tcPr>
            <w:tcW w:w="617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检测结果</w:t>
            </w:r>
          </w:p>
        </w:tc>
        <w:tc>
          <w:tcPr>
            <w:tcW w:w="1441" w:type="dxa"/>
            <w:vMerge w:val="restart"/>
            <w:tcBorders>
              <w:top w:val="single" w:color="000000" w:sz="4" w:space="0"/>
              <w:left w:val="single" w:color="000000" w:sz="4" w:space="0"/>
              <w:bottom w:val="single" w:color="000000" w:sz="4" w:space="0"/>
            </w:tcBorders>
            <w:shd w:val="clear" w:color="auto" w:fill="auto"/>
            <w:vAlign w:val="center"/>
          </w:tcPr>
          <w:p>
            <w:pPr>
              <w:pStyle w:val="24"/>
            </w:pPr>
            <w:r>
              <w:t>单位</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blHeader/>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2747"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第一次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第二次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第三次</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平均值</w:t>
            </w:r>
          </w:p>
        </w:tc>
        <w:tc>
          <w:tcPr>
            <w:tcW w:w="1441" w:type="dxa"/>
            <w:vMerge w:val="continue"/>
            <w:tcBorders>
              <w:top w:val="single" w:color="000000" w:sz="4" w:space="0"/>
              <w:left w:val="single" w:color="000000" w:sz="4" w:space="0"/>
              <w:bottom w:val="single" w:color="000000" w:sz="4" w:space="0"/>
            </w:tcBorders>
            <w:shd w:val="clear" w:color="auto" w:fill="auto"/>
            <w:vAlign w:val="center"/>
          </w:tcPr>
          <w:p>
            <w:pPr>
              <w:pStyle w:val="24"/>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restart"/>
            <w:tcBorders>
              <w:top w:val="single" w:color="000000" w:sz="4" w:space="0"/>
              <w:bottom w:val="single" w:color="000000" w:sz="4" w:space="0"/>
              <w:right w:val="single" w:color="000000" w:sz="4" w:space="0"/>
            </w:tcBorders>
            <w:shd w:val="clear" w:color="auto" w:fill="auto"/>
            <w:vAlign w:val="center"/>
          </w:tcPr>
          <w:p>
            <w:pPr>
              <w:pStyle w:val="24"/>
            </w:pPr>
            <w:r>
              <w:rPr>
                <w:rFonts w:hint="eastAsia"/>
              </w:rPr>
              <w:t>水喷淋装置废气进口</w:t>
            </w:r>
          </w:p>
        </w:tc>
        <w:tc>
          <w:tcPr>
            <w:tcW w:w="1474" w:type="dxa"/>
            <w:vMerge w:val="restart"/>
            <w:tcBorders>
              <w:top w:val="single" w:color="000000" w:sz="4" w:space="0"/>
              <w:left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2022.9.27</w:t>
            </w:r>
          </w:p>
        </w:tc>
        <w:tc>
          <w:tcPr>
            <w:tcW w:w="27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1936</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1803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1744</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1828</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产生浓度</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1.49×10</w:t>
            </w:r>
            <w:r>
              <w:rPr>
                <w:rFonts w:hint="eastAsia"/>
                <w:vertAlign w:val="superscript"/>
              </w:rPr>
              <w:t>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1.50×10</w:t>
            </w:r>
            <w:r>
              <w:rPr>
                <w:rFonts w:hint="eastAsia"/>
                <w:vertAlign w:val="superscript"/>
              </w:rPr>
              <w:t>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1.40×10</w:t>
            </w:r>
            <w:r>
              <w:rPr>
                <w:rFonts w:hint="eastAsia"/>
                <w:vertAlign w:val="superscript"/>
              </w:rPr>
              <w:t>3</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1.46×10</w:t>
            </w:r>
            <w:r>
              <w:rPr>
                <w:rFonts w:hint="eastAsia"/>
                <w:vertAlign w:val="superscript"/>
              </w:rPr>
              <w:t>3</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产生速率</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2.88</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2.70</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2.44</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2.67</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restart"/>
            <w:tcBorders>
              <w:top w:val="single" w:color="000000" w:sz="4" w:space="0"/>
              <w:bottom w:val="single" w:color="000000" w:sz="4" w:space="0"/>
              <w:right w:val="single" w:color="000000" w:sz="4" w:space="0"/>
            </w:tcBorders>
            <w:shd w:val="clear" w:color="auto" w:fill="auto"/>
            <w:vAlign w:val="center"/>
          </w:tcPr>
          <w:p>
            <w:pPr>
              <w:pStyle w:val="24"/>
            </w:pPr>
            <w:r>
              <w:rPr>
                <w:rFonts w:hint="eastAsia"/>
              </w:rPr>
              <w:t>水喷淋装置废气出口</w:t>
            </w: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27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2168</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1963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1891</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2007</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排放浓度</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12.2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11.2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11.1</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11.5</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排放速率</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0.026</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0.022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0.021</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0.023</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5648" w:type="dxa"/>
            <w:gridSpan w:val="4"/>
            <w:tcBorders>
              <w:top w:val="single" w:color="000000" w:sz="4" w:space="0"/>
              <w:bottom w:val="single" w:color="000000" w:sz="4" w:space="0"/>
              <w:right w:val="single" w:color="000000" w:sz="4" w:space="0"/>
            </w:tcBorders>
            <w:shd w:val="clear" w:color="auto" w:fill="auto"/>
            <w:vAlign w:val="center"/>
          </w:tcPr>
          <w:p>
            <w:pPr>
              <w:pStyle w:val="24"/>
            </w:pPr>
            <w:r>
              <w:t>非甲烷总烃去除率</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99.1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99.2</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99.1</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99.1</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5648" w:type="dxa"/>
            <w:gridSpan w:val="4"/>
            <w:tcBorders>
              <w:top w:val="single" w:color="000000" w:sz="4" w:space="0"/>
              <w:bottom w:val="single" w:color="000000" w:sz="4" w:space="0"/>
              <w:right w:val="single" w:color="000000" w:sz="4" w:space="0"/>
            </w:tcBorders>
            <w:shd w:val="clear" w:color="auto" w:fill="auto"/>
            <w:vAlign w:val="center"/>
          </w:tcPr>
          <w:p>
            <w:pPr>
              <w:pStyle w:val="24"/>
            </w:pPr>
            <w:r>
              <w:t>标准要求去除率</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90</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90</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90</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5648" w:type="dxa"/>
            <w:gridSpan w:val="4"/>
            <w:tcBorders>
              <w:top w:val="single" w:color="000000" w:sz="4" w:space="0"/>
              <w:bottom w:val="single" w:color="000000" w:sz="4" w:space="0"/>
              <w:right w:val="single" w:color="000000" w:sz="4" w:space="0"/>
            </w:tcBorders>
            <w:shd w:val="clear" w:color="auto" w:fill="auto"/>
            <w:vAlign w:val="center"/>
          </w:tcPr>
          <w:p>
            <w:pPr>
              <w:pStyle w:val="24"/>
            </w:pPr>
            <w:r>
              <w:t>达标情况</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tcBorders>
              <w:top w:val="single" w:color="000000" w:sz="4" w:space="0"/>
              <w:bottom w:val="single" w:color="000000" w:sz="4" w:space="0"/>
              <w:right w:val="single" w:color="000000" w:sz="4" w:space="0"/>
            </w:tcBorders>
            <w:shd w:val="clear" w:color="auto" w:fill="auto"/>
            <w:vAlign w:val="center"/>
          </w:tcPr>
          <w:p>
            <w:pPr>
              <w:pStyle w:val="24"/>
            </w:pPr>
            <w:r>
              <w:t>采样地点</w:t>
            </w:r>
          </w:p>
        </w:tc>
        <w:tc>
          <w:tcPr>
            <w:tcW w:w="147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采样日期</w:t>
            </w:r>
          </w:p>
        </w:tc>
        <w:tc>
          <w:tcPr>
            <w:tcW w:w="27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检测项目</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第四次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第五次</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第六次</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平均值</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单位</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restart"/>
            <w:tcBorders>
              <w:top w:val="single" w:color="000000" w:sz="4" w:space="0"/>
              <w:bottom w:val="single" w:color="000000" w:sz="4" w:space="0"/>
              <w:right w:val="single" w:color="000000" w:sz="4" w:space="0"/>
            </w:tcBorders>
            <w:shd w:val="clear" w:color="auto" w:fill="auto"/>
            <w:vAlign w:val="center"/>
          </w:tcPr>
          <w:p>
            <w:pPr>
              <w:pStyle w:val="24"/>
            </w:pPr>
            <w:r>
              <w:rPr>
                <w:rFonts w:hint="eastAsia"/>
              </w:rPr>
              <w:t>水喷淋装置废气进口</w:t>
            </w:r>
          </w:p>
        </w:tc>
        <w:tc>
          <w:tcPr>
            <w:tcW w:w="1474" w:type="dxa"/>
            <w:vMerge w:val="restart"/>
            <w:tcBorders>
              <w:top w:val="single" w:color="000000" w:sz="4" w:space="0"/>
              <w:left w:val="single" w:color="000000" w:sz="4" w:space="0"/>
              <w:right w:val="single" w:color="000000" w:sz="4" w:space="0"/>
            </w:tcBorders>
            <w:shd w:val="clear" w:color="auto" w:fill="auto"/>
            <w:vAlign w:val="center"/>
          </w:tcPr>
          <w:p>
            <w:pPr>
              <w:pStyle w:val="24"/>
              <w:rPr>
                <w:rFonts w:hint="default" w:eastAsia="宋体"/>
                <w:lang w:val="en-US" w:eastAsia="zh-CN"/>
              </w:rPr>
            </w:pPr>
            <w:r>
              <w:rPr>
                <w:rFonts w:hint="default" w:eastAsia="宋体"/>
                <w:lang w:val="en-US" w:eastAsia="zh-CN"/>
              </w:rPr>
              <w:t>2022.9.2</w:t>
            </w:r>
            <w:r>
              <w:rPr>
                <w:rFonts w:hint="eastAsia"/>
                <w:lang w:val="en-US" w:eastAsia="zh-CN"/>
              </w:rPr>
              <w:t>8</w:t>
            </w:r>
          </w:p>
        </w:tc>
        <w:tc>
          <w:tcPr>
            <w:tcW w:w="27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1761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1825</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1773</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1786</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rPr>
                <w:lang w:eastAsia="zh-Hans"/>
              </w:rPr>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产生浓度</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1.54×10</w:t>
            </w:r>
            <w:r>
              <w:rPr>
                <w:rFonts w:hint="eastAsia"/>
                <w:vertAlign w:val="superscript"/>
              </w:rPr>
              <w:t>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1.57×10</w:t>
            </w:r>
            <w:r>
              <w:rPr>
                <w:rFonts w:hint="eastAsia"/>
                <w:vertAlign w:val="superscript"/>
              </w:rPr>
              <w:t>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1.69×10</w:t>
            </w:r>
            <w:r>
              <w:rPr>
                <w:rFonts w:hint="eastAsia"/>
                <w:vertAlign w:val="superscript"/>
              </w:rPr>
              <w:t>3</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1.60×10</w:t>
            </w:r>
            <w:r>
              <w:rPr>
                <w:rFonts w:hint="eastAsia"/>
                <w:vertAlign w:val="superscript"/>
              </w:rPr>
              <w:t>3</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产生速率</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2.71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2.87</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3.00</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2.86</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restart"/>
            <w:tcBorders>
              <w:top w:val="single" w:color="000000" w:sz="4" w:space="0"/>
              <w:bottom w:val="single" w:color="000000" w:sz="4" w:space="0"/>
              <w:right w:val="single" w:color="000000" w:sz="4" w:space="0"/>
            </w:tcBorders>
            <w:shd w:val="clear" w:color="auto" w:fill="auto"/>
            <w:vAlign w:val="center"/>
          </w:tcPr>
          <w:p>
            <w:pPr>
              <w:pStyle w:val="24"/>
            </w:pPr>
            <w:r>
              <w:rPr>
                <w:rFonts w:hint="eastAsia"/>
              </w:rPr>
              <w:t>水喷淋装置废气出口</w:t>
            </w: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27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标态干烟气量</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1973</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2079</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1999</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val="en-US" w:eastAsia="zh-CN"/>
              </w:rPr>
              <w:t>2017</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w:t>
            </w:r>
            <w:r>
              <w:rPr>
                <w:vertAlign w:val="superscript"/>
              </w:rPr>
              <w:t>3</w:t>
            </w:r>
            <w:r>
              <w:t>/h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非甲烷总烃</w:t>
            </w: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排放浓度</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15.1</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13.4</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13.4</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14.1</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mg/m</w:t>
            </w:r>
            <w:r>
              <w:rPr>
                <w:vertAlign w:val="superscript"/>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1427"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474" w:type="dxa"/>
            <w:vMerge w:val="continue"/>
            <w:tcBorders>
              <w:left w:val="single" w:color="000000" w:sz="4" w:space="0"/>
              <w:right w:val="single" w:color="000000" w:sz="4" w:space="0"/>
            </w:tcBorders>
            <w:shd w:val="clear" w:color="auto" w:fill="auto"/>
            <w:vAlign w:val="center"/>
          </w:tcPr>
          <w:p>
            <w:pPr>
              <w:pStyle w:val="24"/>
            </w:pP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排放速率</w:t>
            </w:r>
          </w:p>
        </w:tc>
        <w:tc>
          <w:tcPr>
            <w:tcW w:w="15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0.030</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0.028</w:t>
            </w:r>
          </w:p>
        </w:tc>
        <w:tc>
          <w:tcPr>
            <w:tcW w:w="15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0.027</w:t>
            </w:r>
          </w:p>
        </w:tc>
        <w:tc>
          <w:tcPr>
            <w:tcW w:w="158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0.028</w:t>
            </w:r>
          </w:p>
        </w:tc>
        <w:tc>
          <w:tcPr>
            <w:tcW w:w="1441" w:type="dxa"/>
            <w:tcBorders>
              <w:top w:val="single" w:color="000000" w:sz="4" w:space="0"/>
              <w:left w:val="single" w:color="000000" w:sz="4" w:space="0"/>
              <w:bottom w:val="single" w:color="000000" w:sz="4" w:space="0"/>
            </w:tcBorders>
            <w:shd w:val="clear" w:color="auto" w:fill="auto"/>
            <w:vAlign w:val="center"/>
          </w:tcPr>
          <w:p>
            <w:pPr>
              <w:pStyle w:val="24"/>
            </w:pPr>
            <w:r>
              <w:t>kg/h</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5648" w:type="dxa"/>
            <w:gridSpan w:val="4"/>
            <w:tcBorders>
              <w:top w:val="single" w:color="000000" w:sz="4" w:space="0"/>
              <w:bottom w:val="single" w:color="000000" w:sz="4" w:space="0"/>
              <w:right w:val="single" w:color="auto" w:sz="4" w:space="0"/>
            </w:tcBorders>
            <w:shd w:val="clear" w:color="auto" w:fill="auto"/>
            <w:vAlign w:val="center"/>
          </w:tcPr>
          <w:p>
            <w:pPr>
              <w:pStyle w:val="24"/>
            </w:pPr>
            <w:r>
              <w:t>非甲烷总烃去除率</w:t>
            </w:r>
          </w:p>
        </w:tc>
        <w:tc>
          <w:tcPr>
            <w:tcW w:w="1526"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98.9</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99.0</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99.1</w:t>
            </w:r>
          </w:p>
        </w:tc>
        <w:tc>
          <w:tcPr>
            <w:tcW w:w="158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keepNext w:val="0"/>
              <w:keepLines w:val="0"/>
              <w:widowControl/>
              <w:suppressLineNumbers w:val="0"/>
              <w:jc w:val="center"/>
              <w:textAlignment w:val="center"/>
            </w:pPr>
            <w:r>
              <w:rPr>
                <w:rFonts w:hint="eastAsia" w:ascii="Times New Roman" w:hAnsi="Times New Roman" w:eastAsia="宋体" w:cs="Times New Roman"/>
                <w:i w:val="0"/>
                <w:color w:val="000000"/>
                <w:kern w:val="0"/>
                <w:sz w:val="20"/>
                <w:szCs w:val="21"/>
                <w:u w:val="none"/>
                <w:lang w:val="en-US" w:eastAsia="zh-CN" w:bidi="ar"/>
              </w:rPr>
              <w:t>99.0</w:t>
            </w:r>
          </w:p>
        </w:tc>
        <w:tc>
          <w:tcPr>
            <w:tcW w:w="1441" w:type="dxa"/>
            <w:tcBorders>
              <w:top w:val="single" w:color="000000" w:sz="4" w:space="0"/>
              <w:left w:val="single" w:color="auto"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5648" w:type="dxa"/>
            <w:gridSpan w:val="4"/>
            <w:tcBorders>
              <w:top w:val="single" w:color="000000" w:sz="4" w:space="0"/>
              <w:bottom w:val="single" w:color="000000" w:sz="4" w:space="0"/>
              <w:right w:val="single" w:color="auto" w:sz="4" w:space="0"/>
            </w:tcBorders>
            <w:shd w:val="clear" w:color="auto" w:fill="auto"/>
            <w:vAlign w:val="center"/>
          </w:tcPr>
          <w:p>
            <w:pPr>
              <w:pStyle w:val="24"/>
            </w:pPr>
            <w:r>
              <w:t>标准要求去除率</w:t>
            </w:r>
          </w:p>
        </w:tc>
        <w:tc>
          <w:tcPr>
            <w:tcW w:w="1526"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90</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90</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90</w:t>
            </w:r>
          </w:p>
        </w:tc>
        <w:tc>
          <w:tcPr>
            <w:tcW w:w="158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w:t>
            </w:r>
          </w:p>
        </w:tc>
        <w:tc>
          <w:tcPr>
            <w:tcW w:w="1441" w:type="dxa"/>
            <w:tcBorders>
              <w:top w:val="single" w:color="000000" w:sz="4" w:space="0"/>
              <w:left w:val="single" w:color="auto" w:sz="4" w:space="0"/>
              <w:bottom w:val="single" w:color="000000" w:sz="4" w:space="0"/>
            </w:tcBorders>
            <w:shd w:val="clear" w:color="auto" w:fill="auto"/>
            <w:vAlign w:val="center"/>
          </w:tcPr>
          <w:p>
            <w:pPr>
              <w:pStyle w:val="24"/>
            </w:pPr>
            <w: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58" w:hRule="atLeast"/>
        </w:trPr>
        <w:tc>
          <w:tcPr>
            <w:tcW w:w="5648" w:type="dxa"/>
            <w:gridSpan w:val="4"/>
            <w:tcBorders>
              <w:top w:val="single" w:color="000000" w:sz="4" w:space="0"/>
              <w:bottom w:val="single" w:color="000000" w:sz="4" w:space="0"/>
              <w:right w:val="single" w:color="auto" w:sz="4" w:space="0"/>
            </w:tcBorders>
            <w:shd w:val="clear" w:color="auto" w:fill="auto"/>
            <w:vAlign w:val="center"/>
          </w:tcPr>
          <w:p>
            <w:pPr>
              <w:pStyle w:val="24"/>
            </w:pPr>
            <w:r>
              <w:t>达标情况</w:t>
            </w:r>
          </w:p>
        </w:tc>
        <w:tc>
          <w:tcPr>
            <w:tcW w:w="1526"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达标</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达标</w:t>
            </w:r>
          </w:p>
        </w:tc>
        <w:tc>
          <w:tcPr>
            <w:tcW w:w="1534"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达标</w:t>
            </w:r>
          </w:p>
        </w:tc>
        <w:tc>
          <w:tcPr>
            <w:tcW w:w="1581" w:type="dxa"/>
            <w:tcBorders>
              <w:top w:val="single" w:color="000000" w:sz="4" w:space="0"/>
              <w:left w:val="single" w:color="auto" w:sz="4" w:space="0"/>
              <w:bottom w:val="single" w:color="000000" w:sz="4" w:space="0"/>
              <w:right w:val="single" w:color="auto" w:sz="4" w:space="0"/>
            </w:tcBorders>
            <w:shd w:val="clear" w:color="auto" w:fill="auto"/>
            <w:vAlign w:val="center"/>
          </w:tcPr>
          <w:p>
            <w:pPr>
              <w:pStyle w:val="24"/>
            </w:pPr>
            <w:r>
              <w:t>/</w:t>
            </w:r>
          </w:p>
        </w:tc>
        <w:tc>
          <w:tcPr>
            <w:tcW w:w="1441" w:type="dxa"/>
            <w:tcBorders>
              <w:top w:val="single" w:color="000000" w:sz="4" w:space="0"/>
              <w:left w:val="single" w:color="auto" w:sz="4" w:space="0"/>
              <w:bottom w:val="single" w:color="000000" w:sz="4" w:space="0"/>
            </w:tcBorders>
            <w:shd w:val="clear" w:color="auto" w:fill="auto"/>
            <w:vAlign w:val="center"/>
          </w:tcPr>
          <w:p>
            <w:pPr>
              <w:pStyle w:val="24"/>
            </w:pPr>
            <w:r>
              <w:t>/</w:t>
            </w:r>
          </w:p>
        </w:tc>
      </w:tr>
    </w:tbl>
    <w:p>
      <w:pPr>
        <w:pStyle w:val="19"/>
        <w:spacing w:before="156" w:beforeLines="50"/>
        <w:ind w:firstLine="0" w:firstLineChars="0"/>
        <w:rPr>
          <w:color w:val="000000"/>
        </w:rPr>
        <w:sectPr>
          <w:pgSz w:w="16839" w:h="11907"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18"/>
      </w:pPr>
      <w:r>
        <w:t>9.2.2 污染物排放监测结果</w:t>
      </w:r>
    </w:p>
    <w:p>
      <w:pPr>
        <w:pStyle w:val="25"/>
      </w:pPr>
      <w:r>
        <w:t>9.</w:t>
      </w:r>
      <w:r>
        <w:rPr>
          <w:lang w:val="en-US"/>
        </w:rPr>
        <w:t>2.2</w:t>
      </w:r>
      <w:r>
        <w:t>.1 废水</w:t>
      </w:r>
    </w:p>
    <w:p>
      <w:pPr>
        <w:pStyle w:val="19"/>
        <w:ind w:firstLine="480"/>
        <w:rPr>
          <w:lang w:val="en-US"/>
        </w:rPr>
      </w:pPr>
      <w:r>
        <w:rPr>
          <w:rFonts w:hint="eastAsia"/>
          <w:lang w:val="en-US" w:eastAsia="zh-CN"/>
        </w:rPr>
        <w:t>验收监测期间</w:t>
      </w:r>
      <w:r>
        <w:t>，</w:t>
      </w:r>
      <w:r>
        <w:rPr>
          <w:lang w:val="en-US"/>
        </w:rPr>
        <w:t>对项目污水处理站</w:t>
      </w:r>
      <w:r>
        <w:rPr>
          <w:rFonts w:hint="eastAsia"/>
          <w:lang w:val="en-US" w:eastAsia="zh-CN"/>
        </w:rPr>
        <w:t>总</w:t>
      </w:r>
      <w:r>
        <w:rPr>
          <w:lang w:val="en-US"/>
        </w:rPr>
        <w:t>排口进行了</w:t>
      </w:r>
      <w:r>
        <w:rPr>
          <w:rFonts w:hint="eastAsia"/>
          <w:lang w:val="en-US" w:eastAsia="zh-CN"/>
        </w:rPr>
        <w:t>采样</w:t>
      </w:r>
      <w:r>
        <w:rPr>
          <w:lang w:val="en-US"/>
        </w:rPr>
        <w:t>监测</w:t>
      </w:r>
      <w:r>
        <w:t>，</w:t>
      </w:r>
      <w:r>
        <w:rPr>
          <w:lang w:val="en-US"/>
        </w:rPr>
        <w:t>监测统计结果如表</w:t>
      </w:r>
      <w:r>
        <w:t>9</w:t>
      </w:r>
      <w:r>
        <w:rPr>
          <w:lang w:val="en-US"/>
        </w:rPr>
        <w:t>.</w:t>
      </w:r>
      <w:r>
        <w:t>2</w:t>
      </w:r>
      <w:r>
        <w:rPr>
          <w:rFonts w:hint="eastAsia"/>
          <w:lang w:val="en-US"/>
        </w:rPr>
        <w:t>.6</w:t>
      </w:r>
      <w:r>
        <w:rPr>
          <w:lang w:val="en-US"/>
        </w:rPr>
        <w:t>所示</w:t>
      </w:r>
      <w:r>
        <w:t>。</w:t>
      </w:r>
      <w:r>
        <w:rPr>
          <w:rFonts w:hint="eastAsia"/>
          <w:lang w:val="en-US" w:eastAsia="zh-CN"/>
        </w:rPr>
        <w:t>3</w:t>
      </w:r>
      <w:r>
        <w:rPr>
          <w:lang w:val="en-US"/>
        </w:rPr>
        <w:t>月</w:t>
      </w:r>
      <w:r>
        <w:rPr>
          <w:rFonts w:hint="eastAsia"/>
          <w:lang w:val="en-US" w:eastAsia="zh-CN"/>
        </w:rPr>
        <w:t>23</w:t>
      </w:r>
      <w:r>
        <w:rPr>
          <w:lang w:val="en-US"/>
        </w:rPr>
        <w:t>日</w:t>
      </w:r>
      <w:r>
        <w:t>，</w:t>
      </w:r>
      <w:r>
        <w:rPr>
          <w:lang w:val="en-US"/>
        </w:rPr>
        <w:t>污水处理站</w:t>
      </w:r>
      <w:r>
        <w:rPr>
          <w:rFonts w:hint="eastAsia"/>
          <w:lang w:val="en-US"/>
        </w:rPr>
        <w:t>总</w:t>
      </w:r>
      <w:r>
        <w:rPr>
          <w:lang w:val="en-US"/>
        </w:rPr>
        <w:t>排口pH范围为</w:t>
      </w:r>
      <w:r>
        <w:rPr>
          <w:rFonts w:hint="eastAsia"/>
          <w:lang w:val="en-US" w:eastAsia="zh-CN"/>
        </w:rPr>
        <w:t>7.2</w:t>
      </w:r>
      <w:r>
        <w:rPr>
          <w:rFonts w:hint="eastAsia"/>
          <w:lang w:val="en-US"/>
        </w:rPr>
        <w:t>~7.</w:t>
      </w:r>
      <w:r>
        <w:rPr>
          <w:rFonts w:hint="eastAsia"/>
          <w:lang w:val="en-US" w:eastAsia="zh-CN"/>
        </w:rPr>
        <w:t>5</w:t>
      </w:r>
      <w:r>
        <w:rPr>
          <w:lang w:val="en-US"/>
        </w:rPr>
        <w:t>，SS浓度均值为</w:t>
      </w:r>
      <w:r>
        <w:rPr>
          <w:rFonts w:hint="eastAsia"/>
          <w:lang w:val="en-US" w:eastAsia="zh-CN"/>
        </w:rPr>
        <w:t>28</w:t>
      </w:r>
      <w:r>
        <w:rPr>
          <w:lang w:val="en-US"/>
        </w:rPr>
        <w:t>mg/L</w:t>
      </w:r>
      <w:r>
        <w:t>，NH</w:t>
      </w:r>
      <w:r>
        <w:rPr>
          <w:vertAlign w:val="subscript"/>
        </w:rPr>
        <w:t>3</w:t>
      </w:r>
      <w:r>
        <w:t>-N</w:t>
      </w:r>
      <w:r>
        <w:rPr>
          <w:lang w:val="en-US"/>
        </w:rPr>
        <w:t>浓度均值为</w:t>
      </w:r>
      <w:r>
        <w:rPr>
          <w:rFonts w:hint="eastAsia"/>
          <w:lang w:val="en-US" w:eastAsia="zh-CN"/>
        </w:rPr>
        <w:t>0.216</w:t>
      </w:r>
      <w:r>
        <w:rPr>
          <w:lang w:val="en-US"/>
        </w:rPr>
        <w:t>mg/L</w:t>
      </w:r>
      <w:r>
        <w:t>，</w:t>
      </w:r>
      <w:r>
        <w:rPr>
          <w:lang w:val="en-US"/>
        </w:rPr>
        <w:t>CODcr浓度均值为</w:t>
      </w:r>
      <w:r>
        <w:rPr>
          <w:rFonts w:hint="eastAsia"/>
          <w:lang w:val="en-US" w:eastAsia="zh-CN"/>
        </w:rPr>
        <w:t>23</w:t>
      </w:r>
      <w:r>
        <w:rPr>
          <w:lang w:val="en-US"/>
        </w:rPr>
        <w:t>mg/L</w:t>
      </w:r>
      <w:r>
        <w:t>，</w:t>
      </w:r>
      <w:r>
        <w:rPr>
          <w:lang w:val="en-US"/>
        </w:rPr>
        <w:t>BOD</w:t>
      </w:r>
      <w:r>
        <w:rPr>
          <w:vertAlign w:val="subscript"/>
          <w:lang w:val="en-US"/>
        </w:rPr>
        <w:t>5</w:t>
      </w:r>
      <w:r>
        <w:rPr>
          <w:lang w:val="en-US"/>
        </w:rPr>
        <w:t>浓度均值为</w:t>
      </w:r>
      <w:r>
        <w:rPr>
          <w:rFonts w:hint="eastAsia"/>
          <w:lang w:val="en-US" w:eastAsia="zh-CN"/>
        </w:rPr>
        <w:t>1.5</w:t>
      </w:r>
      <w:r>
        <w:rPr>
          <w:lang w:val="en-US"/>
        </w:rPr>
        <w:t>mg/L</w:t>
      </w:r>
      <w:r>
        <w:t>，</w:t>
      </w:r>
      <w:r>
        <w:rPr>
          <w:rFonts w:hint="eastAsia"/>
          <w:lang w:val="en-US"/>
        </w:rPr>
        <w:t>石油类浓度均值为</w:t>
      </w:r>
      <w:r>
        <w:rPr>
          <w:rFonts w:hint="eastAsia"/>
          <w:lang w:val="en-US" w:eastAsia="zh-CN"/>
        </w:rPr>
        <w:t>0.38</w:t>
      </w:r>
      <w:r>
        <w:rPr>
          <w:lang w:val="en-US"/>
        </w:rPr>
        <w:t>mg/L</w:t>
      </w:r>
      <w:r>
        <w:rPr>
          <w:rFonts w:hint="eastAsia"/>
          <w:lang w:val="en-US" w:eastAsia="zh-CN"/>
        </w:rPr>
        <w:t>，苯</w:t>
      </w:r>
      <w:r>
        <w:rPr>
          <w:lang w:val="en-US"/>
        </w:rPr>
        <w:t>浓度均值为</w:t>
      </w:r>
      <w:r>
        <w:rPr>
          <w:rFonts w:hint="eastAsia"/>
          <w:lang w:val="en-US" w:eastAsia="zh-CN"/>
        </w:rPr>
        <w:t>0.07mg/L，甲苯和二甲苯</w:t>
      </w:r>
      <w:r>
        <w:rPr>
          <w:rFonts w:hint="eastAsia"/>
          <w:lang w:val="en-US"/>
        </w:rPr>
        <w:t>未检出</w:t>
      </w:r>
      <w:r>
        <w:t>；</w:t>
      </w:r>
      <w:r>
        <w:rPr>
          <w:rFonts w:hint="eastAsia"/>
          <w:lang w:val="en-US" w:eastAsia="zh-CN"/>
        </w:rPr>
        <w:t>3</w:t>
      </w:r>
      <w:r>
        <w:rPr>
          <w:lang w:val="en-US"/>
        </w:rPr>
        <w:t>月</w:t>
      </w:r>
      <w:r>
        <w:rPr>
          <w:rFonts w:hint="eastAsia"/>
          <w:lang w:val="en-US" w:eastAsia="zh-CN"/>
        </w:rPr>
        <w:t>24</w:t>
      </w:r>
      <w:r>
        <w:rPr>
          <w:lang w:val="en-US"/>
        </w:rPr>
        <w:t>日</w:t>
      </w:r>
      <w:r>
        <w:t>，</w:t>
      </w:r>
      <w:r>
        <w:rPr>
          <w:lang w:val="en-US"/>
        </w:rPr>
        <w:t>污水处理站</w:t>
      </w:r>
      <w:r>
        <w:rPr>
          <w:rFonts w:hint="eastAsia"/>
          <w:lang w:val="en-US"/>
        </w:rPr>
        <w:t>总</w:t>
      </w:r>
      <w:r>
        <w:rPr>
          <w:lang w:val="en-US"/>
        </w:rPr>
        <w:t>排口pH范围为</w:t>
      </w:r>
      <w:r>
        <w:rPr>
          <w:rFonts w:hint="eastAsia"/>
          <w:lang w:val="en-US" w:eastAsia="zh-CN"/>
        </w:rPr>
        <w:t>7.2</w:t>
      </w:r>
      <w:r>
        <w:rPr>
          <w:rFonts w:hint="eastAsia"/>
          <w:lang w:val="en-US"/>
        </w:rPr>
        <w:t>~7.</w:t>
      </w:r>
      <w:r>
        <w:rPr>
          <w:rFonts w:hint="eastAsia"/>
          <w:lang w:val="en-US" w:eastAsia="zh-CN"/>
        </w:rPr>
        <w:t>6</w:t>
      </w:r>
      <w:r>
        <w:rPr>
          <w:lang w:val="en-US"/>
        </w:rPr>
        <w:t>，SS浓度均值为</w:t>
      </w:r>
      <w:r>
        <w:rPr>
          <w:rFonts w:hint="eastAsia"/>
          <w:lang w:val="en-US" w:eastAsia="zh-CN"/>
        </w:rPr>
        <w:t>27</w:t>
      </w:r>
      <w:r>
        <w:rPr>
          <w:lang w:val="en-US"/>
        </w:rPr>
        <w:t>mg/L</w:t>
      </w:r>
      <w:r>
        <w:t>，NH</w:t>
      </w:r>
      <w:r>
        <w:rPr>
          <w:vertAlign w:val="subscript"/>
        </w:rPr>
        <w:t>3</w:t>
      </w:r>
      <w:r>
        <w:t>-N</w:t>
      </w:r>
      <w:r>
        <w:rPr>
          <w:lang w:val="en-US"/>
        </w:rPr>
        <w:t>浓度均值为</w:t>
      </w:r>
      <w:r>
        <w:rPr>
          <w:rFonts w:hint="eastAsia"/>
          <w:lang w:val="en-US" w:eastAsia="zh-CN"/>
        </w:rPr>
        <w:t>0.211</w:t>
      </w:r>
      <w:r>
        <w:rPr>
          <w:lang w:val="en-US"/>
        </w:rPr>
        <w:t>mg/L</w:t>
      </w:r>
      <w:r>
        <w:t>，</w:t>
      </w:r>
      <w:r>
        <w:rPr>
          <w:lang w:val="en-US"/>
        </w:rPr>
        <w:t>CODcr浓度均值为</w:t>
      </w:r>
      <w:r>
        <w:rPr>
          <w:rFonts w:hint="eastAsia"/>
          <w:lang w:val="en-US" w:eastAsia="zh-CN"/>
        </w:rPr>
        <w:t>28</w:t>
      </w:r>
      <w:r>
        <w:rPr>
          <w:lang w:val="en-US"/>
        </w:rPr>
        <w:t>mg/L</w:t>
      </w:r>
      <w:r>
        <w:t>，</w:t>
      </w:r>
      <w:r>
        <w:rPr>
          <w:lang w:val="en-US"/>
        </w:rPr>
        <w:t>BOD</w:t>
      </w:r>
      <w:r>
        <w:rPr>
          <w:vertAlign w:val="subscript"/>
          <w:lang w:val="en-US"/>
        </w:rPr>
        <w:t>5</w:t>
      </w:r>
      <w:r>
        <w:rPr>
          <w:lang w:val="en-US"/>
        </w:rPr>
        <w:t>浓度均值为</w:t>
      </w:r>
      <w:r>
        <w:rPr>
          <w:rFonts w:hint="eastAsia"/>
          <w:lang w:val="en-US" w:eastAsia="zh-CN"/>
        </w:rPr>
        <w:t>1.8</w:t>
      </w:r>
      <w:r>
        <w:rPr>
          <w:lang w:val="en-US"/>
        </w:rPr>
        <w:t>mg/L</w:t>
      </w:r>
      <w:r>
        <w:t>，</w:t>
      </w:r>
      <w:r>
        <w:rPr>
          <w:rFonts w:hint="eastAsia"/>
          <w:lang w:val="en-US"/>
        </w:rPr>
        <w:t>石油类浓度均值为</w:t>
      </w:r>
      <w:r>
        <w:rPr>
          <w:rFonts w:hint="eastAsia"/>
          <w:lang w:val="en-US" w:eastAsia="zh-CN"/>
        </w:rPr>
        <w:t>0.40</w:t>
      </w:r>
      <w:r>
        <w:rPr>
          <w:lang w:val="en-US"/>
        </w:rPr>
        <w:t>mg/L</w:t>
      </w:r>
      <w:r>
        <w:rPr>
          <w:rFonts w:hint="eastAsia"/>
          <w:lang w:val="en-US" w:eastAsia="zh-CN"/>
        </w:rPr>
        <w:t>，苯</w:t>
      </w:r>
      <w:r>
        <w:rPr>
          <w:lang w:val="en-US"/>
        </w:rPr>
        <w:t>浓度均值为</w:t>
      </w:r>
      <w:r>
        <w:rPr>
          <w:rFonts w:hint="eastAsia"/>
          <w:lang w:val="en-US" w:eastAsia="zh-CN"/>
        </w:rPr>
        <w:t>0.07mg/L，甲苯和二甲苯</w:t>
      </w:r>
      <w:r>
        <w:rPr>
          <w:rFonts w:hint="eastAsia"/>
          <w:lang w:val="en-US"/>
        </w:rPr>
        <w:t>未检出</w:t>
      </w:r>
      <w:r>
        <w:t>。</w:t>
      </w:r>
      <w:r>
        <w:rPr>
          <w:lang w:val="en-US"/>
        </w:rPr>
        <w:t>上述监测</w:t>
      </w:r>
      <w:r>
        <w:rPr>
          <w:rFonts w:hint="eastAsia"/>
          <w:lang w:val="en-US" w:eastAsia="zh-CN"/>
        </w:rPr>
        <w:t>结果</w:t>
      </w:r>
      <w:r>
        <w:rPr>
          <w:lang w:val="en-US"/>
        </w:rPr>
        <w:t>均符合</w:t>
      </w:r>
      <w:r>
        <w:rPr>
          <w:color w:val="000000" w:themeColor="text1"/>
          <w:szCs w:val="21"/>
          <w:lang w:val="en-GB"/>
          <w14:textFill>
            <w14:solidFill>
              <w14:schemeClr w14:val="tx1"/>
            </w14:solidFill>
          </w14:textFill>
        </w:rPr>
        <w:t>《石油化学工业污染物排放标准》（GB31571-2015）</w:t>
      </w:r>
      <w:r>
        <w:rPr>
          <w:color w:val="000000" w:themeColor="text1"/>
          <w:szCs w:val="21"/>
          <w14:textFill>
            <w14:solidFill>
              <w14:schemeClr w14:val="tx1"/>
            </w14:solidFill>
          </w14:textFill>
        </w:rPr>
        <w:t>表1（直接排放标准）和表3废水中有机特征污染物排放限值</w:t>
      </w:r>
      <w:r>
        <w:rPr>
          <w:lang w:val="en-US"/>
        </w:rPr>
        <w:t>。</w:t>
      </w:r>
    </w:p>
    <w:p>
      <w:pPr>
        <w:pStyle w:val="19"/>
        <w:ind w:left="0" w:leftChars="0" w:firstLine="0" w:firstLineChars="0"/>
        <w:rPr>
          <w:lang w:val="en-US"/>
        </w:rPr>
      </w:pPr>
    </w:p>
    <w:p>
      <w:pPr>
        <w:pStyle w:val="19"/>
        <w:ind w:left="0" w:leftChars="0" w:firstLine="0" w:firstLineChars="0"/>
        <w:rPr>
          <w:lang w:val="en-US"/>
        </w:rPr>
        <w:sectPr>
          <w:pgSz w:w="11907" w:h="16839"/>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3"/>
        <w:bidi w:val="0"/>
      </w:pPr>
      <w:r>
        <w:t>表9.2.</w:t>
      </w:r>
      <w:r>
        <w:rPr>
          <w:rFonts w:hint="eastAsia"/>
        </w:rPr>
        <w:t>6</w:t>
      </w:r>
      <w:r>
        <w:t xml:space="preserve"> 污水处理站</w:t>
      </w:r>
      <w:r>
        <w:rPr>
          <w:rFonts w:hint="eastAsia"/>
        </w:rPr>
        <w:t>总</w:t>
      </w:r>
      <w:r>
        <w:t>排口监测数据统计表   单位：pH无量纲，其余mg/L</w:t>
      </w:r>
    </w:p>
    <w:tbl>
      <w:tblPr>
        <w:tblStyle w:val="14"/>
        <w:tblW w:w="13975" w:type="dxa"/>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1290"/>
        <w:gridCol w:w="1173"/>
        <w:gridCol w:w="1033"/>
        <w:gridCol w:w="1019"/>
        <w:gridCol w:w="1069"/>
        <w:gridCol w:w="1058"/>
        <w:gridCol w:w="1052"/>
        <w:gridCol w:w="1064"/>
        <w:gridCol w:w="1052"/>
        <w:gridCol w:w="1041"/>
        <w:gridCol w:w="1041"/>
        <w:gridCol w:w="1041"/>
        <w:gridCol w:w="104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blHeader/>
        </w:trPr>
        <w:tc>
          <w:tcPr>
            <w:tcW w:w="1290" w:type="dxa"/>
            <w:tcBorders>
              <w:top w:val="single" w:color="000000" w:sz="4" w:space="0"/>
              <w:bottom w:val="single" w:color="000000" w:sz="4" w:space="0"/>
              <w:right w:val="single" w:color="000000" w:sz="4" w:space="0"/>
            </w:tcBorders>
            <w:shd w:val="clear" w:color="auto" w:fill="auto"/>
            <w:vAlign w:val="center"/>
          </w:tcPr>
          <w:p>
            <w:pPr>
              <w:pStyle w:val="24"/>
            </w:pPr>
            <w:r>
              <w:t>监测日期</w:t>
            </w: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样品编号</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pH</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SS</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NH</w:t>
            </w:r>
            <w:r>
              <w:rPr>
                <w:vertAlign w:val="subscript"/>
              </w:rPr>
              <w:t>3</w:t>
            </w:r>
            <w:r>
              <w:t>-N</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COD</w:t>
            </w:r>
            <w:r>
              <w:rPr>
                <w:vertAlign w:val="subscript"/>
              </w:rPr>
              <w:t>Cr</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BOD</w:t>
            </w:r>
            <w:r>
              <w:rPr>
                <w:vertAlign w:val="subscript"/>
              </w:rPr>
              <w:t>5</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石油类</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eastAsia" w:eastAsia="宋体"/>
                <w:lang w:eastAsia="zh-CN"/>
              </w:rPr>
            </w:pPr>
            <w:r>
              <w:rPr>
                <w:rFonts w:hint="eastAsia"/>
                <w:lang w:val="en-US" w:eastAsia="zh-CN"/>
              </w:rPr>
              <w:t>苯</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rPr>
                <w:rFonts w:hint="eastAsia" w:eastAsia="宋体"/>
                <w:lang w:val="en-US" w:eastAsia="zh-CN"/>
              </w:rPr>
            </w:pPr>
            <w:r>
              <w:rPr>
                <w:rFonts w:hint="eastAsia"/>
                <w:lang w:val="en-US" w:eastAsia="zh-CN"/>
              </w:rPr>
              <w:t>甲苯</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rPr>
                <w:rFonts w:hint="default"/>
                <w:lang w:val="en-US" w:eastAsia="zh-CN"/>
              </w:rPr>
            </w:pPr>
            <w:r>
              <w:rPr>
                <w:rFonts w:hint="eastAsia"/>
                <w:lang w:val="en-US" w:eastAsia="zh-CN"/>
              </w:rPr>
              <w:t>邻二甲苯</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rPr>
                <w:rFonts w:hint="default"/>
                <w:lang w:val="en-US" w:eastAsia="zh-CN"/>
              </w:rPr>
            </w:pPr>
            <w:r>
              <w:rPr>
                <w:rFonts w:hint="eastAsia"/>
                <w:lang w:val="en-US" w:eastAsia="zh-CN"/>
              </w:rPr>
              <w:t>间二甲苯</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rPr>
                <w:rFonts w:hint="default"/>
                <w:lang w:val="en-US" w:eastAsia="zh-CN"/>
              </w:rPr>
            </w:pPr>
            <w:r>
              <w:rPr>
                <w:rFonts w:hint="eastAsia"/>
                <w:lang w:val="en-US" w:eastAsia="zh-CN"/>
              </w:rPr>
              <w:t>对二甲苯</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restart"/>
            <w:tcBorders>
              <w:top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2023.3.23</w:t>
            </w: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口1</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7.5</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28</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0.235</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23</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1.4</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0.41</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rPr>
                <w:rFonts w:hint="default"/>
                <w:lang w:val="en-US" w:eastAsia="zh-CN"/>
              </w:rPr>
            </w:pPr>
            <w:r>
              <w:rPr>
                <w:rFonts w:hint="eastAsia"/>
                <w:lang w:val="en-US" w:eastAsia="zh-CN"/>
              </w:rPr>
              <w:t>0.07</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口2</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7.2</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32</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0.224</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23</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1.5</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0.38</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0.07</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口3</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7.4</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26</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0.203</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22</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1.5</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0.37</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0.06</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口4</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7.2</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24</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0.203</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24</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1.5</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0.37</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0.06</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口范围或均值</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rPr>
                <w:rFonts w:hint="default" w:eastAsia="宋体"/>
                <w:lang w:val="en-US" w:eastAsia="zh-CN"/>
              </w:rPr>
            </w:pPr>
            <w:r>
              <w:rPr>
                <w:rFonts w:hint="eastAsia"/>
                <w:lang w:val="en-US" w:eastAsia="zh-CN"/>
              </w:rPr>
              <w:t>7.2~7.5</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rPr>
                <w:rFonts w:hint="default" w:eastAsia="宋体"/>
                <w:lang w:val="en-US" w:eastAsia="zh-CN"/>
              </w:rPr>
            </w:pPr>
            <w:r>
              <w:rPr>
                <w:rFonts w:hint="eastAsia"/>
                <w:lang w:val="en-US" w:eastAsia="zh-CN"/>
              </w:rPr>
              <w:t>28</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rPr>
                <w:rFonts w:hint="default" w:eastAsia="宋体"/>
                <w:lang w:val="en-US" w:eastAsia="zh-CN"/>
              </w:rPr>
            </w:pPr>
            <w:r>
              <w:rPr>
                <w:rFonts w:hint="eastAsia"/>
                <w:lang w:val="en-US" w:eastAsia="zh-CN"/>
              </w:rPr>
              <w:t>0.216</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rPr>
                <w:rFonts w:hint="default" w:eastAsia="宋体"/>
                <w:lang w:val="en-US" w:eastAsia="zh-CN"/>
              </w:rPr>
            </w:pPr>
            <w:r>
              <w:rPr>
                <w:rFonts w:hint="eastAsia"/>
                <w:lang w:val="en-US" w:eastAsia="zh-CN"/>
              </w:rPr>
              <w:t>23</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rPr>
                <w:rFonts w:hint="default" w:eastAsia="宋体"/>
                <w:lang w:val="en-US" w:eastAsia="zh-CN"/>
              </w:rPr>
            </w:pPr>
            <w:r>
              <w:rPr>
                <w:rFonts w:hint="eastAsia"/>
                <w:lang w:val="en-US" w:eastAsia="zh-CN"/>
              </w:rPr>
              <w:t>1.5</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rPr>
                <w:rFonts w:hint="default" w:eastAsia="宋体"/>
                <w:lang w:val="en-US" w:eastAsia="zh-CN"/>
              </w:rPr>
            </w:pPr>
            <w:r>
              <w:rPr>
                <w:rFonts w:hint="eastAsia"/>
                <w:lang w:val="en-US" w:eastAsia="zh-CN"/>
              </w:rPr>
              <w:t>0.38</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0.07</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标准值</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6~9</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70</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8</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60</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20</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5</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t>0.1</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rPr>
                <w:rFonts w:hint="default"/>
                <w:lang w:val="en-US" w:eastAsia="zh-CN"/>
              </w:rPr>
            </w:pPr>
            <w:r>
              <w:rPr>
                <w:rFonts w:hint="eastAsia"/>
                <w:lang w:val="en-US" w:eastAsia="zh-CN"/>
              </w:rPr>
              <w:t>0.1</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rPr>
                <w:rFonts w:hint="default"/>
                <w:lang w:val="en-US" w:eastAsia="zh-CN"/>
              </w:rPr>
            </w:pPr>
            <w:r>
              <w:rPr>
                <w:rFonts w:hint="eastAsia"/>
                <w:lang w:val="en-US" w:eastAsia="zh-CN"/>
              </w:rPr>
              <w:t>0.4</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rPr>
                <w:rFonts w:hint="default"/>
                <w:lang w:val="en-US" w:eastAsia="zh-CN"/>
              </w:rPr>
            </w:pPr>
            <w:r>
              <w:rPr>
                <w:rFonts w:hint="eastAsia"/>
                <w:lang w:val="en-US" w:eastAsia="zh-CN"/>
              </w:rPr>
              <w:t>0.4</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rPr>
                <w:rFonts w:hint="default"/>
                <w:lang w:val="en-US" w:eastAsia="zh-CN"/>
              </w:rPr>
            </w:pPr>
            <w:r>
              <w:rPr>
                <w:rFonts w:hint="eastAsia"/>
                <w:lang w:val="en-US" w:eastAsia="zh-CN"/>
              </w:rPr>
              <w:t>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达标情况</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达标</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达标</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达标</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达标</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达标</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t>达标</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t>达标</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t>达标</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t>达标</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t>达标</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t>达标</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restart"/>
            <w:tcBorders>
              <w:top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2023.3.24</w:t>
            </w: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口1</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7.5</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24</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0.230</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27</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1.6</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0.37</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0.07</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口2</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7.2</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28</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0.186</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29</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1.8</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0.39</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0.06</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口3</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7.6</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31</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0.214</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30</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1.9</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0.45</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0.06</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口4</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7.4</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24</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0.214</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27</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1.7</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jc w:val="center"/>
            </w:pPr>
            <w:r>
              <w:rPr>
                <w:rFonts w:hint="eastAsia"/>
                <w:lang w:val="en-US" w:eastAsia="zh-CN"/>
              </w:rPr>
              <w:t>0.38</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0.06</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rPr>
              <w:t>总排</w:t>
            </w:r>
            <w:r>
              <w:t>口范围或均值</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7.2~7.6</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27</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0.211</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28</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1.8</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0.40</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bidi w:val="0"/>
            </w:pPr>
            <w:r>
              <w:rPr>
                <w:rFonts w:hint="eastAsia"/>
                <w:lang w:val="en-US" w:eastAsia="zh-CN"/>
              </w:rPr>
              <w:t>0.07</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bidi w:val="0"/>
            </w:pPr>
            <w:r>
              <w:rPr>
                <w:rFonts w:hint="eastAsia"/>
                <w:lang w:val="en-US" w:eastAsia="zh-CN"/>
              </w:rPr>
              <w:t>0.05L</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标准值</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6~9</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70</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8</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60</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20</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5</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0.1</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pPr>
            <w:r>
              <w:rPr>
                <w:rFonts w:hint="eastAsia"/>
                <w:lang w:val="en-US" w:eastAsia="zh-CN"/>
              </w:rPr>
              <w:t>0.1</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pPr>
            <w:r>
              <w:rPr>
                <w:rFonts w:hint="eastAsia"/>
                <w:lang w:val="en-US" w:eastAsia="zh-CN"/>
              </w:rPr>
              <w:t>0.4</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pPr>
            <w:r>
              <w:rPr>
                <w:rFonts w:hint="eastAsia"/>
                <w:lang w:val="en-US" w:eastAsia="zh-CN"/>
              </w:rPr>
              <w:t>0.4</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pPr>
            <w:r>
              <w:rPr>
                <w:rFonts w:hint="eastAsia"/>
                <w:lang w:val="en-US" w:eastAsia="zh-CN"/>
              </w:rPr>
              <w:t>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54" w:hRule="atLeast"/>
        </w:trPr>
        <w:tc>
          <w:tcPr>
            <w:tcW w:w="1290" w:type="dxa"/>
            <w:vMerge w:val="continue"/>
            <w:tcBorders>
              <w:top w:val="single" w:color="000000" w:sz="4" w:space="0"/>
              <w:bottom w:val="single" w:color="000000" w:sz="4" w:space="0"/>
              <w:right w:val="single" w:color="000000" w:sz="4" w:space="0"/>
            </w:tcBorders>
            <w:shd w:val="clear" w:color="auto" w:fill="auto"/>
            <w:vAlign w:val="center"/>
          </w:tcPr>
          <w:p>
            <w:pPr>
              <w:pStyle w:val="24"/>
            </w:pPr>
          </w:p>
        </w:tc>
        <w:tc>
          <w:tcPr>
            <w:tcW w:w="117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达标情况</w:t>
            </w:r>
          </w:p>
        </w:tc>
        <w:tc>
          <w:tcPr>
            <w:tcW w:w="103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06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05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0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达标</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pPr>
            <w:r>
              <w:t>达标</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pPr>
            <w:r>
              <w:t>达标</w:t>
            </w:r>
          </w:p>
        </w:tc>
        <w:tc>
          <w:tcPr>
            <w:tcW w:w="1041" w:type="dxa"/>
            <w:tcBorders>
              <w:top w:val="single" w:color="000000" w:sz="4" w:space="0"/>
              <w:left w:val="single" w:color="000000" w:sz="4" w:space="0"/>
              <w:bottom w:val="single" w:color="000000" w:sz="4" w:space="0"/>
            </w:tcBorders>
            <w:shd w:val="clear" w:color="auto" w:fill="auto"/>
            <w:vAlign w:val="center"/>
          </w:tcPr>
          <w:p>
            <w:pPr>
              <w:pStyle w:val="24"/>
            </w:pPr>
            <w:r>
              <w:t>达标</w:t>
            </w:r>
          </w:p>
        </w:tc>
        <w:tc>
          <w:tcPr>
            <w:tcW w:w="1042" w:type="dxa"/>
            <w:tcBorders>
              <w:top w:val="single" w:color="000000" w:sz="4" w:space="0"/>
              <w:left w:val="single" w:color="000000" w:sz="4" w:space="0"/>
              <w:bottom w:val="single" w:color="000000" w:sz="4" w:space="0"/>
            </w:tcBorders>
            <w:shd w:val="clear" w:color="auto" w:fill="auto"/>
            <w:vAlign w:val="center"/>
          </w:tcPr>
          <w:p>
            <w:pPr>
              <w:pStyle w:val="24"/>
            </w:pPr>
            <w:r>
              <w:t>达标</w:t>
            </w:r>
          </w:p>
        </w:tc>
      </w:tr>
    </w:tbl>
    <w:p>
      <w:pPr>
        <w:pStyle w:val="25"/>
        <w:spacing w:before="156" w:beforeLines="50"/>
        <w:sectPr>
          <w:pgSz w:w="16839" w:h="11907"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pPr>
        <w:pStyle w:val="25"/>
        <w:spacing w:before="156" w:beforeLines="50"/>
      </w:pPr>
      <w:r>
        <w:t>9.</w:t>
      </w:r>
      <w:r>
        <w:rPr>
          <w:lang w:val="en-US"/>
        </w:rPr>
        <w:t>2.2</w:t>
      </w:r>
      <w:r>
        <w:t>.2 废气</w:t>
      </w:r>
    </w:p>
    <w:p>
      <w:pPr>
        <w:pStyle w:val="19"/>
        <w:ind w:firstLine="480"/>
      </w:pPr>
      <w:r>
        <w:t>（一）有组织排放</w:t>
      </w:r>
    </w:p>
    <w:p>
      <w:pPr>
        <w:pStyle w:val="19"/>
        <w:ind w:firstLine="480"/>
      </w:pPr>
      <w:r>
        <w:rPr>
          <w:rFonts w:hint="eastAsia"/>
          <w:lang w:val="en-US" w:eastAsia="zh-CN"/>
        </w:rPr>
        <w:t>验收监测期间</w:t>
      </w:r>
      <w:r>
        <w:t>，固定污染源废气监测包括</w:t>
      </w:r>
      <w:r>
        <w:rPr>
          <w:rFonts w:hint="eastAsia"/>
          <w:lang w:val="en-US"/>
        </w:rPr>
        <w:t>油气回收装置1废气</w:t>
      </w:r>
      <w:r>
        <w:rPr>
          <w:lang w:val="en-US"/>
        </w:rPr>
        <w:t>排气筒</w:t>
      </w:r>
      <w:r>
        <w:rPr>
          <w:rFonts w:hint="eastAsia"/>
          <w:lang w:val="en-US"/>
        </w:rPr>
        <w:t>、废气净化装置2废气</w:t>
      </w:r>
      <w:r>
        <w:rPr>
          <w:lang w:val="en-US"/>
        </w:rPr>
        <w:t>排气筒</w:t>
      </w:r>
      <w:r>
        <w:rPr>
          <w:rFonts w:hint="eastAsia"/>
          <w:lang w:val="en-US"/>
        </w:rPr>
        <w:t>、水喷淋装置废气</w:t>
      </w:r>
      <w:r>
        <w:rPr>
          <w:lang w:val="en-US"/>
        </w:rPr>
        <w:t>排气筒、污水站和危废间废气排气筒</w:t>
      </w:r>
      <w:r>
        <w:t>，其监测结果见</w:t>
      </w:r>
      <w:r>
        <w:rPr>
          <w:lang w:val="en-US"/>
        </w:rPr>
        <w:t>表9.</w:t>
      </w:r>
      <w:r>
        <w:t>2</w:t>
      </w:r>
      <w:r>
        <w:rPr>
          <w:lang w:val="en-US"/>
        </w:rPr>
        <w:t>.3</w:t>
      </w:r>
      <w:r>
        <w:t>～9</w:t>
      </w:r>
      <w:r>
        <w:rPr>
          <w:lang w:val="en-US"/>
        </w:rPr>
        <w:t>.</w:t>
      </w:r>
      <w:r>
        <w:t>2</w:t>
      </w:r>
      <w:r>
        <w:rPr>
          <w:lang w:val="en-US"/>
        </w:rPr>
        <w:t>.</w:t>
      </w:r>
      <w:r>
        <w:rPr>
          <w:rFonts w:hint="eastAsia"/>
          <w:lang w:val="en-US"/>
        </w:rPr>
        <w:t>5</w:t>
      </w:r>
      <w:r>
        <w:rPr>
          <w:lang w:val="en-US"/>
        </w:rPr>
        <w:t>、表9.2.</w:t>
      </w:r>
      <w:r>
        <w:rPr>
          <w:rFonts w:hint="eastAsia"/>
          <w:lang w:val="en-US"/>
        </w:rPr>
        <w:t>7</w:t>
      </w:r>
      <w:r>
        <w:t>～9</w:t>
      </w:r>
      <w:r>
        <w:rPr>
          <w:lang w:val="en-US"/>
        </w:rPr>
        <w:t>.</w:t>
      </w:r>
      <w:r>
        <w:t>2</w:t>
      </w:r>
      <w:r>
        <w:rPr>
          <w:lang w:val="en-US"/>
        </w:rPr>
        <w:t>.</w:t>
      </w:r>
      <w:r>
        <w:rPr>
          <w:rFonts w:hint="eastAsia"/>
          <w:lang w:val="en-US"/>
        </w:rPr>
        <w:t>1</w:t>
      </w:r>
      <w:r>
        <w:rPr>
          <w:rFonts w:hint="eastAsia"/>
          <w:lang w:val="en-US" w:eastAsia="zh-CN"/>
        </w:rPr>
        <w:t>3</w:t>
      </w:r>
      <w:r>
        <w:t>。</w:t>
      </w:r>
    </w:p>
    <w:p>
      <w:pPr>
        <w:pStyle w:val="19"/>
        <w:ind w:firstLine="480"/>
      </w:pPr>
      <w:r>
        <w:t>（</w:t>
      </w:r>
      <w:r>
        <w:rPr>
          <w:lang w:val="en-US"/>
        </w:rPr>
        <w:t>1</w:t>
      </w:r>
      <w:r>
        <w:t>）</w:t>
      </w:r>
      <w:r>
        <w:rPr>
          <w:rFonts w:hint="eastAsia"/>
          <w:lang w:val="en-US"/>
        </w:rPr>
        <w:t>油气回收装置1废气</w:t>
      </w:r>
      <w:r>
        <w:rPr>
          <w:lang w:val="en-US"/>
        </w:rPr>
        <w:t>排气筒</w:t>
      </w:r>
    </w:p>
    <w:p>
      <w:pPr>
        <w:pStyle w:val="19"/>
        <w:ind w:firstLine="480"/>
        <w:rPr>
          <w:lang w:val="en-US"/>
        </w:rPr>
      </w:pPr>
      <w:r>
        <w:rPr>
          <w:lang w:val="en-US"/>
        </w:rPr>
        <w:t>由表9.</w:t>
      </w:r>
      <w:r>
        <w:t>2</w:t>
      </w:r>
      <w:r>
        <w:rPr>
          <w:lang w:val="en-US"/>
        </w:rPr>
        <w:t>.3可知，验收监测期间，</w:t>
      </w:r>
      <w:r>
        <w:rPr>
          <w:rFonts w:hint="eastAsia"/>
          <w:lang w:val="en-US" w:eastAsia="zh-CN"/>
        </w:rPr>
        <w:t>3</w:t>
      </w:r>
      <w:r>
        <w:rPr>
          <w:lang w:val="en-US"/>
        </w:rPr>
        <w:t>月</w:t>
      </w:r>
      <w:r>
        <w:rPr>
          <w:rFonts w:hint="eastAsia"/>
          <w:lang w:val="en-US" w:eastAsia="zh-CN"/>
        </w:rPr>
        <w:t>25</w:t>
      </w:r>
      <w:r>
        <w:rPr>
          <w:lang w:val="en-US"/>
        </w:rPr>
        <w:t>日</w:t>
      </w:r>
      <w:r>
        <w:t>，</w:t>
      </w:r>
      <w:r>
        <w:rPr>
          <w:rFonts w:hint="eastAsia"/>
          <w:lang w:val="en-US"/>
        </w:rPr>
        <w:t>油气回收装置1</w:t>
      </w:r>
      <w:r>
        <w:rPr>
          <w:lang w:val="en-US"/>
        </w:rPr>
        <w:t>对非甲烷总烃的去除率范围在</w:t>
      </w:r>
      <w:r>
        <w:rPr>
          <w:rFonts w:hint="default"/>
        </w:rPr>
        <w:t>9</w:t>
      </w:r>
      <w:r>
        <w:rPr>
          <w:rFonts w:hint="eastAsia"/>
          <w:lang w:val="en-US" w:eastAsia="zh-CN"/>
        </w:rPr>
        <w:t>5.4</w:t>
      </w:r>
      <w:r>
        <w:rPr>
          <w:lang w:val="en-US"/>
        </w:rPr>
        <w:t>%~</w:t>
      </w:r>
      <w:r>
        <w:rPr>
          <w:rFonts w:hint="eastAsia"/>
          <w:lang w:val="en-US"/>
        </w:rPr>
        <w:t>9</w:t>
      </w:r>
      <w:r>
        <w:rPr>
          <w:rFonts w:hint="eastAsia"/>
          <w:lang w:val="en-US" w:eastAsia="zh-CN"/>
        </w:rPr>
        <w:t>5.5</w:t>
      </w:r>
      <w:r>
        <w:rPr>
          <w:lang w:val="en-US"/>
        </w:rPr>
        <w:t>%</w:t>
      </w:r>
      <w:r>
        <w:t>；</w:t>
      </w:r>
      <w:r>
        <w:rPr>
          <w:rFonts w:hint="eastAsia"/>
          <w:lang w:val="en-US" w:eastAsia="zh-CN"/>
        </w:rPr>
        <w:t>3</w:t>
      </w:r>
      <w:r>
        <w:rPr>
          <w:lang w:val="en-US"/>
        </w:rPr>
        <w:t>月</w:t>
      </w:r>
      <w:r>
        <w:rPr>
          <w:rFonts w:hint="eastAsia"/>
          <w:lang w:val="en-US" w:eastAsia="zh-CN"/>
        </w:rPr>
        <w:t>26</w:t>
      </w:r>
      <w:r>
        <w:rPr>
          <w:lang w:val="en-US"/>
        </w:rPr>
        <w:t>日，油气回收装置1对非甲烷总烃的去除率范围在9</w:t>
      </w:r>
      <w:r>
        <w:rPr>
          <w:rFonts w:hint="eastAsia"/>
          <w:lang w:val="en-US" w:eastAsia="zh-CN"/>
        </w:rPr>
        <w:t>5.7</w:t>
      </w:r>
      <w:r>
        <w:rPr>
          <w:lang w:val="en-US"/>
        </w:rPr>
        <w:t>%~9</w:t>
      </w:r>
      <w:r>
        <w:rPr>
          <w:rFonts w:hint="eastAsia"/>
          <w:lang w:val="en-US" w:eastAsia="zh-CN"/>
        </w:rPr>
        <w:t>5.9</w:t>
      </w:r>
      <w:r>
        <w:rPr>
          <w:lang w:val="en-US"/>
        </w:rPr>
        <w:t>%，均符合</w:t>
      </w:r>
      <w:r>
        <w:rPr>
          <w:szCs w:val="21"/>
        </w:rPr>
        <w:t>《储油库大气污染物排放标准》</w:t>
      </w:r>
      <w:r>
        <w:rPr>
          <w:rFonts w:hint="eastAsia"/>
          <w:szCs w:val="21"/>
          <w:lang w:eastAsia="zh-CN"/>
        </w:rPr>
        <w:t>（</w:t>
      </w:r>
      <w:r>
        <w:rPr>
          <w:szCs w:val="21"/>
        </w:rPr>
        <w:t>GB20950-2</w:t>
      </w:r>
      <w:r>
        <w:rPr>
          <w:szCs w:val="21"/>
          <w:lang w:val="en-US"/>
        </w:rPr>
        <w:t>020</w:t>
      </w:r>
      <w:r>
        <w:rPr>
          <w:rFonts w:hint="eastAsia"/>
          <w:szCs w:val="21"/>
          <w:lang w:eastAsia="zh-CN"/>
        </w:rPr>
        <w:t>）</w:t>
      </w:r>
      <w:r>
        <w:rPr>
          <w:szCs w:val="21"/>
        </w:rPr>
        <w:t>的排放控制和排放限值</w:t>
      </w:r>
      <w:r>
        <w:rPr>
          <w:lang w:val="en-US"/>
        </w:rPr>
        <w:t>。</w:t>
      </w:r>
    </w:p>
    <w:p>
      <w:pPr>
        <w:pStyle w:val="19"/>
        <w:ind w:firstLine="480"/>
      </w:pPr>
      <w:r>
        <w:t>（</w:t>
      </w:r>
      <w:r>
        <w:rPr>
          <w:rFonts w:hint="eastAsia"/>
          <w:lang w:val="en-US"/>
        </w:rPr>
        <w:t>2</w:t>
      </w:r>
      <w:r>
        <w:t>）</w:t>
      </w:r>
      <w:r>
        <w:rPr>
          <w:rFonts w:hint="eastAsia"/>
          <w:lang w:val="en-US"/>
        </w:rPr>
        <w:t>废气净化装置2废气</w:t>
      </w:r>
      <w:r>
        <w:rPr>
          <w:lang w:val="en-US"/>
        </w:rPr>
        <w:t>排气筒</w:t>
      </w:r>
    </w:p>
    <w:p>
      <w:pPr>
        <w:pStyle w:val="19"/>
        <w:ind w:firstLine="480"/>
        <w:rPr>
          <w:lang w:val="en-US"/>
        </w:rPr>
      </w:pPr>
      <w:r>
        <w:rPr>
          <w:lang w:val="en-US"/>
        </w:rPr>
        <w:t>由表9.</w:t>
      </w:r>
      <w:r>
        <w:t>2</w:t>
      </w:r>
      <w:r>
        <w:rPr>
          <w:lang w:val="en-US"/>
        </w:rPr>
        <w:t>.</w:t>
      </w:r>
      <w:r>
        <w:rPr>
          <w:rFonts w:hint="eastAsia"/>
          <w:lang w:val="en-US"/>
        </w:rPr>
        <w:t>4</w:t>
      </w:r>
      <w:r>
        <w:rPr>
          <w:lang w:val="en-US"/>
        </w:rPr>
        <w:t>可知，验收监测期间，</w:t>
      </w:r>
      <w:r>
        <w:rPr>
          <w:rFonts w:hint="eastAsia"/>
          <w:lang w:val="en-US" w:eastAsia="zh-CN"/>
        </w:rPr>
        <w:t>3</w:t>
      </w:r>
      <w:r>
        <w:rPr>
          <w:lang w:val="en-US"/>
        </w:rPr>
        <w:t>月</w:t>
      </w:r>
      <w:r>
        <w:rPr>
          <w:rFonts w:hint="eastAsia"/>
          <w:lang w:val="en-US"/>
        </w:rPr>
        <w:t>2</w:t>
      </w:r>
      <w:r>
        <w:rPr>
          <w:rFonts w:hint="eastAsia"/>
          <w:lang w:val="en-US" w:eastAsia="zh-CN"/>
        </w:rPr>
        <w:t>3</w:t>
      </w:r>
      <w:r>
        <w:rPr>
          <w:lang w:val="en-US"/>
        </w:rPr>
        <w:t>日</w:t>
      </w:r>
      <w:r>
        <w:t>，</w:t>
      </w:r>
      <w:r>
        <w:rPr>
          <w:rFonts w:hint="eastAsia"/>
          <w:lang w:val="en-US"/>
        </w:rPr>
        <w:t>废气净化装置2</w:t>
      </w:r>
      <w:r>
        <w:rPr>
          <w:lang w:val="en-US"/>
        </w:rPr>
        <w:t>对非甲烷总烃的去除率范围在</w:t>
      </w:r>
      <w:r>
        <w:rPr>
          <w:rFonts w:hint="eastAsia"/>
          <w:lang w:val="en-US" w:eastAsia="zh-CN"/>
        </w:rPr>
        <w:t>91.4</w:t>
      </w:r>
      <w:r>
        <w:rPr>
          <w:lang w:val="en-US"/>
        </w:rPr>
        <w:t>%~9</w:t>
      </w:r>
      <w:r>
        <w:rPr>
          <w:rFonts w:hint="eastAsia"/>
          <w:lang w:val="en-US" w:eastAsia="zh-CN"/>
        </w:rPr>
        <w:t>3.0</w:t>
      </w:r>
      <w:r>
        <w:rPr>
          <w:lang w:val="en-US"/>
        </w:rPr>
        <w:t>%</w:t>
      </w:r>
      <w:r>
        <w:rPr>
          <w:rFonts w:hint="eastAsia"/>
          <w:lang w:val="en-US" w:eastAsia="zh-CN"/>
        </w:rPr>
        <w:t>；3</w:t>
      </w:r>
      <w:r>
        <w:rPr>
          <w:lang w:val="en-US"/>
        </w:rPr>
        <w:t>月</w:t>
      </w:r>
      <w:r>
        <w:rPr>
          <w:rFonts w:hint="eastAsia"/>
          <w:lang w:val="en-US" w:eastAsia="zh-CN"/>
        </w:rPr>
        <w:t>24</w:t>
      </w:r>
      <w:r>
        <w:rPr>
          <w:lang w:val="en-US"/>
        </w:rPr>
        <w:t>日，</w:t>
      </w:r>
      <w:r>
        <w:rPr>
          <w:rFonts w:hint="eastAsia"/>
          <w:lang w:val="en-US"/>
        </w:rPr>
        <w:t>废气净化装置2</w:t>
      </w:r>
      <w:r>
        <w:rPr>
          <w:lang w:val="en-US"/>
        </w:rPr>
        <w:t>对非甲烷总烃的去除率范围在9</w:t>
      </w:r>
      <w:r>
        <w:rPr>
          <w:rFonts w:hint="eastAsia"/>
          <w:lang w:val="en-US" w:eastAsia="zh-CN"/>
        </w:rPr>
        <w:t>2.7</w:t>
      </w:r>
      <w:r>
        <w:rPr>
          <w:lang w:val="en-US"/>
        </w:rPr>
        <w:t>%~9</w:t>
      </w:r>
      <w:r>
        <w:rPr>
          <w:rFonts w:hint="eastAsia"/>
          <w:lang w:val="en-US" w:eastAsia="zh-CN"/>
        </w:rPr>
        <w:t>3.4</w:t>
      </w:r>
      <w:r>
        <w:rPr>
          <w:lang w:val="en-US"/>
        </w:rPr>
        <w:t>%</w:t>
      </w:r>
      <w:r>
        <w:rPr>
          <w:rFonts w:hint="eastAsia"/>
          <w:lang w:val="en-US" w:eastAsia="zh-CN"/>
        </w:rPr>
        <w:t>，对苯的去除率范围在95.0%~95.4%</w:t>
      </w:r>
      <w:r>
        <w:rPr>
          <w:lang w:val="en-US"/>
        </w:rPr>
        <w:t>，均符合《挥发性有机物无组织排放控制标准》（GB37822-2019）中</w:t>
      </w:r>
      <w:r>
        <w:rPr>
          <w:rFonts w:hint="eastAsia"/>
          <w:lang w:val="en-US" w:eastAsia="zh-Hans"/>
        </w:rPr>
        <w:t>“</w:t>
      </w:r>
      <w:r>
        <w:rPr>
          <w:lang w:val="en-US"/>
        </w:rPr>
        <w:t>5.2.2储罐特别控制要求：采用固定顶罐，排放的废气应收集处理并满足相关行业标准，或者处理效率不低于90%。6.2.3装载特别控制要求：排放的废气应收集处理并满足相关行业排放标准要求，或者处理效率不低于90%</w:t>
      </w:r>
      <w:r>
        <w:rPr>
          <w:rFonts w:hint="eastAsia"/>
          <w:lang w:val="en-US" w:eastAsia="zh-Hans"/>
        </w:rPr>
        <w:t>”</w:t>
      </w:r>
      <w:r>
        <w:rPr>
          <w:lang w:val="en-US"/>
        </w:rPr>
        <w:t>。</w:t>
      </w:r>
    </w:p>
    <w:p>
      <w:pPr>
        <w:pStyle w:val="19"/>
        <w:ind w:firstLine="480"/>
      </w:pPr>
      <w:r>
        <w:t>（</w:t>
      </w:r>
      <w:r>
        <w:rPr>
          <w:rFonts w:hint="eastAsia"/>
          <w:lang w:val="en-US"/>
        </w:rPr>
        <w:t>3</w:t>
      </w:r>
      <w:r>
        <w:t>）</w:t>
      </w:r>
      <w:r>
        <w:rPr>
          <w:rFonts w:hint="eastAsia"/>
          <w:lang w:val="en-US"/>
        </w:rPr>
        <w:t>水喷淋装置废气</w:t>
      </w:r>
      <w:r>
        <w:rPr>
          <w:lang w:val="en-US"/>
        </w:rPr>
        <w:t>排气筒</w:t>
      </w:r>
    </w:p>
    <w:p>
      <w:pPr>
        <w:pStyle w:val="19"/>
        <w:ind w:firstLine="480"/>
        <w:rPr>
          <w:lang w:val="en-US"/>
        </w:rPr>
      </w:pPr>
      <w:r>
        <w:rPr>
          <w:lang w:val="en-US"/>
        </w:rPr>
        <w:t>由表9.</w:t>
      </w:r>
      <w:r>
        <w:t>2</w:t>
      </w:r>
      <w:r>
        <w:rPr>
          <w:lang w:val="en-US"/>
        </w:rPr>
        <w:t>.</w:t>
      </w:r>
      <w:r>
        <w:rPr>
          <w:rFonts w:hint="eastAsia"/>
          <w:lang w:val="en-US"/>
        </w:rPr>
        <w:t>5</w:t>
      </w:r>
      <w:r>
        <w:rPr>
          <w:lang w:val="en-US"/>
        </w:rPr>
        <w:t>可知，验收监测期间，</w:t>
      </w:r>
      <w:r>
        <w:rPr>
          <w:rFonts w:hint="eastAsia"/>
          <w:lang w:val="en-US"/>
        </w:rPr>
        <w:t>9</w:t>
      </w:r>
      <w:r>
        <w:rPr>
          <w:lang w:val="en-US"/>
        </w:rPr>
        <w:t>月</w:t>
      </w:r>
      <w:r>
        <w:rPr>
          <w:rFonts w:hint="eastAsia"/>
          <w:lang w:val="en-US"/>
        </w:rPr>
        <w:t>27</w:t>
      </w:r>
      <w:r>
        <w:rPr>
          <w:lang w:val="en-US"/>
        </w:rPr>
        <w:t>日</w:t>
      </w:r>
      <w:r>
        <w:t>，</w:t>
      </w:r>
      <w:r>
        <w:rPr>
          <w:rFonts w:hint="eastAsia"/>
          <w:lang w:val="en-US"/>
        </w:rPr>
        <w:t>水喷淋装置</w:t>
      </w:r>
      <w:r>
        <w:rPr>
          <w:lang w:val="en-US"/>
        </w:rPr>
        <w:t>对非甲烷总烃的去除率范围在</w:t>
      </w:r>
      <w:r>
        <w:rPr>
          <w:rFonts w:hint="eastAsia"/>
          <w:lang w:val="en-US"/>
        </w:rPr>
        <w:t>9</w:t>
      </w:r>
      <w:r>
        <w:rPr>
          <w:rFonts w:hint="eastAsia"/>
          <w:lang w:val="en-US" w:eastAsia="zh-CN"/>
        </w:rPr>
        <w:t>9.1</w:t>
      </w:r>
      <w:r>
        <w:rPr>
          <w:lang w:val="en-US"/>
        </w:rPr>
        <w:t>%~9</w:t>
      </w:r>
      <w:r>
        <w:rPr>
          <w:rFonts w:hint="eastAsia"/>
          <w:lang w:val="en-US" w:eastAsia="zh-CN"/>
        </w:rPr>
        <w:t>9.2</w:t>
      </w:r>
      <w:r>
        <w:rPr>
          <w:lang w:val="en-US"/>
        </w:rPr>
        <w:t>%</w:t>
      </w:r>
      <w:r>
        <w:t>；</w:t>
      </w:r>
      <w:r>
        <w:rPr>
          <w:rFonts w:hint="eastAsia"/>
          <w:lang w:val="en-US"/>
        </w:rPr>
        <w:t>9</w:t>
      </w:r>
      <w:r>
        <w:rPr>
          <w:lang w:val="en-US"/>
        </w:rPr>
        <w:t>月</w:t>
      </w:r>
      <w:r>
        <w:rPr>
          <w:rFonts w:hint="eastAsia"/>
          <w:lang w:val="en-US"/>
        </w:rPr>
        <w:t>28</w:t>
      </w:r>
      <w:r>
        <w:rPr>
          <w:lang w:val="en-US"/>
        </w:rPr>
        <w:t>日，</w:t>
      </w:r>
      <w:r>
        <w:rPr>
          <w:rFonts w:hint="eastAsia"/>
          <w:lang w:val="en-US"/>
        </w:rPr>
        <w:t>水喷淋装置</w:t>
      </w:r>
      <w:r>
        <w:rPr>
          <w:lang w:val="en-US"/>
        </w:rPr>
        <w:t>对非甲烷总烃的去除率范围在</w:t>
      </w:r>
      <w:r>
        <w:rPr>
          <w:rFonts w:hint="eastAsia"/>
          <w:lang w:val="en-US" w:eastAsia="zh-CN"/>
        </w:rPr>
        <w:t>99.3</w:t>
      </w:r>
      <w:r>
        <w:rPr>
          <w:lang w:val="en-US"/>
        </w:rPr>
        <w:t>%~</w:t>
      </w:r>
      <w:r>
        <w:rPr>
          <w:rFonts w:hint="eastAsia"/>
          <w:lang w:val="en-US" w:eastAsia="zh-CN"/>
        </w:rPr>
        <w:t>99.4</w:t>
      </w:r>
      <w:r>
        <w:rPr>
          <w:lang w:val="en-US"/>
        </w:rPr>
        <w:t>%，均符合《挥发性有机物无组织排放控制标准》（GB37822-2019）中</w:t>
      </w:r>
      <w:r>
        <w:rPr>
          <w:rFonts w:hint="eastAsia"/>
          <w:lang w:val="en-US" w:eastAsia="zh-Hans"/>
        </w:rPr>
        <w:t>“</w:t>
      </w:r>
      <w:r>
        <w:rPr>
          <w:lang w:val="en-US"/>
        </w:rPr>
        <w:t>5.2.2储罐特别控制要求：采用固定顶罐，排放的废气应收集处理并满足相关行业标准，或者处理效率不低于90%。6.2.3装载特别控制要求：排放的废气应收集处理并满足相关行业排放标准要求，或者处理效率不低于90%</w:t>
      </w:r>
      <w:r>
        <w:rPr>
          <w:rFonts w:hint="eastAsia"/>
          <w:lang w:val="en-US" w:eastAsia="zh-Hans"/>
        </w:rPr>
        <w:t>”</w:t>
      </w:r>
      <w:r>
        <w:rPr>
          <w:lang w:val="en-US"/>
        </w:rPr>
        <w:t>。</w:t>
      </w:r>
    </w:p>
    <w:p>
      <w:pPr>
        <w:pStyle w:val="19"/>
        <w:ind w:firstLine="480"/>
      </w:pPr>
      <w:r>
        <w:t>（</w:t>
      </w:r>
      <w:r>
        <w:rPr>
          <w:rFonts w:hint="eastAsia"/>
          <w:lang w:val="en-US"/>
        </w:rPr>
        <w:t>4</w:t>
      </w:r>
      <w:r>
        <w:t>）污水站和危废间废气排气筒</w:t>
      </w:r>
    </w:p>
    <w:p>
      <w:pPr>
        <w:pStyle w:val="19"/>
        <w:ind w:firstLine="480"/>
      </w:pPr>
      <w:r>
        <w:rPr>
          <w:lang w:val="en-US"/>
        </w:rPr>
        <w:t>由表9.</w:t>
      </w:r>
      <w:r>
        <w:t>2</w:t>
      </w:r>
      <w:r>
        <w:rPr>
          <w:lang w:val="en-US"/>
        </w:rPr>
        <w:t>.</w:t>
      </w:r>
      <w:r>
        <w:rPr>
          <w:rFonts w:hint="eastAsia"/>
          <w:lang w:val="en-US"/>
        </w:rPr>
        <w:t>7</w:t>
      </w:r>
      <w:r>
        <w:rPr>
          <w:lang w:val="en-US"/>
        </w:rPr>
        <w:t>可知，</w:t>
      </w:r>
      <w:r>
        <w:rPr>
          <w:rFonts w:hint="eastAsia"/>
          <w:lang w:val="en-US" w:eastAsia="zh-CN"/>
        </w:rPr>
        <w:t>3</w:t>
      </w:r>
      <w:r>
        <w:rPr>
          <w:lang w:val="en-US"/>
        </w:rPr>
        <w:t>月</w:t>
      </w:r>
      <w:r>
        <w:rPr>
          <w:rFonts w:hint="eastAsia"/>
          <w:lang w:val="en-US" w:eastAsia="zh-CN"/>
        </w:rPr>
        <w:t>23</w:t>
      </w:r>
      <w:r>
        <w:rPr>
          <w:lang w:val="en-US"/>
        </w:rPr>
        <w:t>日</w:t>
      </w:r>
      <w:r>
        <w:rPr>
          <w:rFonts w:hint="eastAsia"/>
          <w:lang w:val="en-US"/>
        </w:rPr>
        <w:t>~</w:t>
      </w:r>
      <w:r>
        <w:rPr>
          <w:rFonts w:hint="eastAsia"/>
          <w:lang w:val="en-US" w:eastAsia="zh-CN"/>
        </w:rPr>
        <w:t>3</w:t>
      </w:r>
      <w:r>
        <w:rPr>
          <w:lang w:val="en-US"/>
        </w:rPr>
        <w:t>月</w:t>
      </w:r>
      <w:r>
        <w:rPr>
          <w:rFonts w:hint="eastAsia"/>
          <w:lang w:val="en-US" w:eastAsia="zh-CN"/>
        </w:rPr>
        <w:t>24</w:t>
      </w:r>
      <w:r>
        <w:rPr>
          <w:lang w:val="en-US"/>
        </w:rPr>
        <w:t>日</w:t>
      </w:r>
      <w:r>
        <w:t>，</w:t>
      </w:r>
      <w:r>
        <w:rPr>
          <w:lang w:val="en-US"/>
        </w:rPr>
        <w:t>污水站和危废间废气排放口硫化氢排放速率最大值分别为</w:t>
      </w:r>
      <w:r>
        <w:rPr>
          <w:rFonts w:hint="eastAsia"/>
          <w:lang w:val="en-US" w:eastAsia="zh-CN"/>
        </w:rPr>
        <w:t>3.90</w:t>
      </w:r>
      <w:r>
        <w:rPr>
          <w:rFonts w:hint="eastAsia"/>
          <w:lang w:val="en-US"/>
        </w:rPr>
        <w:t>×10</w:t>
      </w:r>
      <w:r>
        <w:rPr>
          <w:rFonts w:hint="eastAsia"/>
          <w:vertAlign w:val="superscript"/>
          <w:lang w:val="en-US"/>
        </w:rPr>
        <w:t>-</w:t>
      </w:r>
      <w:r>
        <w:rPr>
          <w:rFonts w:hint="eastAsia"/>
          <w:vertAlign w:val="superscript"/>
          <w:lang w:val="en-US" w:eastAsia="zh-CN"/>
        </w:rPr>
        <w:t>4</w:t>
      </w:r>
      <w:r>
        <w:t>kg/h、</w:t>
      </w:r>
      <w:r>
        <w:rPr>
          <w:rFonts w:hint="eastAsia"/>
          <w:lang w:val="en-US" w:eastAsia="zh-CN"/>
        </w:rPr>
        <w:t>3.81</w:t>
      </w:r>
      <w:r>
        <w:rPr>
          <w:rFonts w:hint="eastAsia"/>
          <w:lang w:val="en-US"/>
        </w:rPr>
        <w:t>×10</w:t>
      </w:r>
      <w:r>
        <w:rPr>
          <w:rFonts w:hint="eastAsia"/>
          <w:vertAlign w:val="superscript"/>
          <w:lang w:val="en-US"/>
        </w:rPr>
        <w:t>-</w:t>
      </w:r>
      <w:r>
        <w:rPr>
          <w:rFonts w:hint="eastAsia"/>
          <w:vertAlign w:val="superscript"/>
          <w:lang w:val="en-US" w:eastAsia="zh-CN"/>
        </w:rPr>
        <w:t>4</w:t>
      </w:r>
      <w:r>
        <w:t>kg/h，</w:t>
      </w:r>
      <w:r>
        <w:rPr>
          <w:lang w:val="en-US"/>
        </w:rPr>
        <w:t>低于0.33kg/h排放限值；氨排放速率最大值分别为</w:t>
      </w:r>
      <w:r>
        <w:rPr>
          <w:rFonts w:hint="eastAsia"/>
          <w:lang w:val="en-US" w:eastAsia="zh-CN"/>
        </w:rPr>
        <w:t>0.010</w:t>
      </w:r>
      <w:r>
        <w:t>kg/h</w:t>
      </w:r>
      <w:r>
        <w:rPr>
          <w:rFonts w:hint="eastAsia" w:ascii="Times New Roman" w:hAnsi="Times New Roman" w:eastAsia="宋体" w:cs="Times New Roman"/>
          <w:lang w:val="en-US" w:eastAsia="zh-CN"/>
        </w:rPr>
        <w:t>、9.09×10</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kg/h，</w:t>
      </w:r>
      <w:r>
        <w:rPr>
          <w:lang w:val="en-US"/>
        </w:rPr>
        <w:t>低于4.9kg/h排放限值；臭气浓度最大值分别为</w:t>
      </w:r>
      <w:r>
        <w:rPr>
          <w:rFonts w:hint="eastAsia"/>
          <w:lang w:val="en-US" w:eastAsia="zh-CN"/>
        </w:rPr>
        <w:t>1122、1318</w:t>
      </w:r>
      <w:r>
        <w:rPr>
          <w:lang w:val="en-US"/>
        </w:rPr>
        <w:t>，低于2000浓度限值</w:t>
      </w:r>
      <w:r>
        <w:t>，</w:t>
      </w:r>
      <w:r>
        <w:rPr>
          <w:lang w:val="en-US"/>
        </w:rPr>
        <w:t>上述指标均符合</w:t>
      </w:r>
      <w:r>
        <w:rPr>
          <w:szCs w:val="21"/>
        </w:rPr>
        <w:t>《恶臭污染物排放标准》（GB14554-</w:t>
      </w:r>
      <w:r>
        <w:rPr>
          <w:rFonts w:hint="eastAsia"/>
          <w:szCs w:val="21"/>
          <w:lang w:val="en-US" w:eastAsia="zh-CN"/>
        </w:rPr>
        <w:t>19</w:t>
      </w:r>
      <w:r>
        <w:rPr>
          <w:szCs w:val="21"/>
        </w:rPr>
        <w:t>93）中表2</w:t>
      </w:r>
      <w:r>
        <w:rPr>
          <w:szCs w:val="21"/>
          <w:lang w:val="en-US"/>
        </w:rPr>
        <w:t>限值要求。非甲烷总烃</w:t>
      </w:r>
      <w:r>
        <w:rPr>
          <w:lang w:val="en-US"/>
        </w:rPr>
        <w:t>浓度最大值分别为</w:t>
      </w:r>
      <w:r>
        <w:rPr>
          <w:rFonts w:hint="eastAsia"/>
          <w:lang w:val="en-US" w:eastAsia="zh-CN"/>
        </w:rPr>
        <w:t>16.5</w:t>
      </w:r>
      <w:r>
        <w:t>mg/m</w:t>
      </w:r>
      <w:r>
        <w:rPr>
          <w:vertAlign w:val="superscript"/>
        </w:rPr>
        <w:t>3</w:t>
      </w:r>
      <w:r>
        <w:t>、</w:t>
      </w:r>
      <w:r>
        <w:rPr>
          <w:rFonts w:hint="eastAsia"/>
          <w:lang w:val="en-US"/>
        </w:rPr>
        <w:t>1</w:t>
      </w:r>
      <w:r>
        <w:rPr>
          <w:rFonts w:hint="eastAsia"/>
          <w:lang w:val="en-US" w:eastAsia="zh-CN"/>
        </w:rPr>
        <w:t>3.4</w:t>
      </w:r>
      <w:r>
        <w:t>mg/m</w:t>
      </w:r>
      <w:r>
        <w:rPr>
          <w:vertAlign w:val="superscript"/>
        </w:rPr>
        <w:t>3</w:t>
      </w:r>
      <w:r>
        <w:t>，符合《石油化学工业污染物排放标准》（GB31571-2015）表4限值要求。</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（二）无组织排放</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验收监测期间，</w:t>
      </w:r>
      <w:r>
        <w:rPr>
          <w:color w:val="000000" w:themeColor="text1"/>
          <w:lang w:val="en-US"/>
          <w14:textFill>
            <w14:solidFill>
              <w14:schemeClr w14:val="tx1"/>
            </w14:solidFill>
          </w14:textFill>
        </w:rPr>
        <w:t>于202</w:t>
      </w:r>
      <w:r>
        <w:rPr>
          <w:rFonts w:hint="eastAsia"/>
          <w:color w:val="000000" w:themeColor="text1"/>
          <w:lang w:val="en-US" w:eastAsia="zh-CN"/>
          <w14:textFill>
            <w14:solidFill>
              <w14:schemeClr w14:val="tx1"/>
            </w14:solidFill>
          </w14:textFill>
        </w:rPr>
        <w:t>3</w:t>
      </w:r>
      <w:r>
        <w:rPr>
          <w:color w:val="000000" w:themeColor="text1"/>
          <w:lang w:val="en-US"/>
          <w14:textFill>
            <w14:solidFill>
              <w14:schemeClr w14:val="tx1"/>
            </w14:solidFill>
          </w14:textFill>
        </w:rPr>
        <w:t>年</w:t>
      </w:r>
      <w:r>
        <w:rPr>
          <w:rFonts w:hint="eastAsia"/>
          <w:color w:val="000000" w:themeColor="text1"/>
          <w:lang w:val="en-US" w:eastAsia="zh-CN"/>
          <w14:textFill>
            <w14:solidFill>
              <w14:schemeClr w14:val="tx1"/>
            </w14:solidFill>
          </w14:textFill>
        </w:rPr>
        <w:t>3</w:t>
      </w:r>
      <w:r>
        <w:rPr>
          <w:color w:val="000000" w:themeColor="text1"/>
          <w:lang w:val="en-US"/>
          <w14:textFill>
            <w14:solidFill>
              <w14:schemeClr w14:val="tx1"/>
            </w14:solidFill>
          </w14:textFill>
        </w:rPr>
        <w:t>月</w:t>
      </w:r>
      <w:r>
        <w:rPr>
          <w:rFonts w:hint="eastAsia"/>
          <w:color w:val="000000" w:themeColor="text1"/>
          <w:lang w:val="en-US" w:eastAsia="zh-CN"/>
          <w14:textFill>
            <w14:solidFill>
              <w14:schemeClr w14:val="tx1"/>
            </w14:solidFill>
          </w14:textFill>
        </w:rPr>
        <w:t>23</w:t>
      </w:r>
      <w:r>
        <w:rPr>
          <w:color w:val="000000" w:themeColor="text1"/>
          <w:lang w:val="en-US"/>
          <w14:textFill>
            <w14:solidFill>
              <w14:schemeClr w14:val="tx1"/>
            </w14:solidFill>
          </w14:textFill>
        </w:rPr>
        <w:t>日</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color w:val="000000" w:themeColor="text1"/>
          <w:lang w:val="en-US"/>
          <w14:textFill>
            <w14:solidFill>
              <w14:schemeClr w14:val="tx1"/>
            </w14:solidFill>
          </w14:textFill>
        </w:rPr>
        <w:t>月</w:t>
      </w:r>
      <w:r>
        <w:rPr>
          <w:rFonts w:hint="eastAsia"/>
          <w:color w:val="000000" w:themeColor="text1"/>
          <w:lang w:val="en-US" w:eastAsia="zh-CN"/>
          <w14:textFill>
            <w14:solidFill>
              <w14:schemeClr w14:val="tx1"/>
            </w14:solidFill>
          </w14:textFill>
        </w:rPr>
        <w:t>24</w:t>
      </w:r>
      <w:r>
        <w:rPr>
          <w:color w:val="000000" w:themeColor="text1"/>
          <w:lang w:val="en-US"/>
          <w14:textFill>
            <w14:solidFill>
              <w14:schemeClr w14:val="tx1"/>
            </w14:solidFill>
          </w14:textFill>
        </w:rPr>
        <w:t>日</w:t>
      </w:r>
      <w:r>
        <w:rPr>
          <w:color w:val="000000" w:themeColor="text1"/>
          <w14:textFill>
            <w14:solidFill>
              <w14:schemeClr w14:val="tx1"/>
            </w14:solidFill>
          </w14:textFill>
        </w:rPr>
        <w:t>对本项目</w:t>
      </w:r>
      <w:r>
        <w:rPr>
          <w:rFonts w:hint="eastAsia"/>
          <w:color w:val="000000" w:themeColor="text1"/>
          <w:lang w:val="en-US" w:eastAsia="zh-CN"/>
          <w14:textFill>
            <w14:solidFill>
              <w14:schemeClr w14:val="tx1"/>
            </w14:solidFill>
          </w14:textFill>
        </w:rPr>
        <w:t>库区及码头</w:t>
      </w:r>
      <w:r>
        <w:rPr>
          <w:color w:val="000000" w:themeColor="text1"/>
          <w14:textFill>
            <w14:solidFill>
              <w14:schemeClr w14:val="tx1"/>
            </w14:solidFill>
          </w14:textFill>
        </w:rPr>
        <w:t>厂界无组织</w:t>
      </w:r>
      <w:r>
        <w:rPr>
          <w:color w:val="000000" w:themeColor="text1"/>
          <w:lang w:val="en-US"/>
          <w14:textFill>
            <w14:solidFill>
              <w14:schemeClr w14:val="tx1"/>
            </w14:solidFill>
          </w14:textFill>
        </w:rPr>
        <w:t>和厂内无组织</w:t>
      </w:r>
      <w:r>
        <w:rPr>
          <w:color w:val="000000" w:themeColor="text1"/>
          <w14:textFill>
            <w14:solidFill>
              <w14:schemeClr w14:val="tx1"/>
            </w14:solidFill>
          </w14:textFill>
        </w:rPr>
        <w:t>进行了监测，</w:t>
      </w:r>
      <w:r>
        <w:rPr>
          <w:rFonts w:hint="eastAsia"/>
          <w:color w:val="000000" w:themeColor="text1"/>
          <w:lang w:eastAsia="zh-CN"/>
          <w14:textFill>
            <w14:solidFill>
              <w14:schemeClr w14:val="tx1"/>
            </w14:solidFill>
          </w14:textFill>
        </w:rPr>
        <w:t>库区和码头</w:t>
      </w:r>
      <w:r>
        <w:rPr>
          <w:color w:val="000000" w:themeColor="text1"/>
          <w:lang w:val="en-US"/>
          <w14:textFill>
            <w14:solidFill>
              <w14:schemeClr w14:val="tx1"/>
            </w14:solidFill>
          </w14:textFill>
        </w:rPr>
        <w:t>厂界无组织</w:t>
      </w:r>
      <w:r>
        <w:rPr>
          <w:rFonts w:hint="eastAsia"/>
          <w:color w:val="000000" w:themeColor="text1"/>
          <w:lang w:val="en-US" w:eastAsia="zh-CN"/>
          <w14:textFill>
            <w14:solidFill>
              <w14:schemeClr w14:val="tx1"/>
            </w14:solidFill>
          </w14:textFill>
        </w:rPr>
        <w:t>分别</w:t>
      </w:r>
      <w:r>
        <w:rPr>
          <w:color w:val="000000" w:themeColor="text1"/>
          <w14:textFill>
            <w14:solidFill>
              <w14:schemeClr w14:val="tx1"/>
            </w14:solidFill>
          </w14:textFill>
        </w:rPr>
        <w:t>布设4个监测点位，其中上风向1个监测点，下风向3个监测点，</w:t>
      </w:r>
      <w:r>
        <w:rPr>
          <w:rFonts w:hint="eastAsia"/>
          <w:color w:val="000000" w:themeColor="text1"/>
          <w:lang w:eastAsia="zh-CN"/>
          <w14:textFill>
            <w14:solidFill>
              <w14:schemeClr w14:val="tx1"/>
            </w14:solidFill>
          </w14:textFill>
        </w:rPr>
        <w:t>库区</w:t>
      </w:r>
      <w:r>
        <w:rPr>
          <w:color w:val="000000" w:themeColor="text1"/>
          <w14:textFill>
            <w14:solidFill>
              <w14:schemeClr w14:val="tx1"/>
            </w14:solidFill>
          </w14:textFill>
        </w:rPr>
        <w:t>厂界无组织排放</w:t>
      </w:r>
      <w:r>
        <w:rPr>
          <w:color w:val="000000" w:themeColor="text1"/>
          <w:lang w:val="en-US"/>
          <w14:textFill>
            <w14:solidFill>
              <w14:schemeClr w14:val="tx1"/>
            </w14:solidFill>
          </w14:textFill>
        </w:rPr>
        <w:t>硫化氢</w:t>
      </w:r>
      <w:r>
        <w:rPr>
          <w:color w:val="000000" w:themeColor="text1"/>
          <w14:textFill>
            <w14:solidFill>
              <w14:schemeClr w14:val="tx1"/>
            </w14:solidFill>
          </w14:textFill>
        </w:rPr>
        <w:t>、氨、NMHC、</w:t>
      </w:r>
      <w:r>
        <w:rPr>
          <w:rFonts w:hint="eastAsia"/>
          <w:color w:val="000000" w:themeColor="text1"/>
          <w:lang w:val="en-US" w:eastAsia="zh-CN"/>
          <w14:textFill>
            <w14:solidFill>
              <w14:schemeClr w14:val="tx1"/>
            </w14:solidFill>
          </w14:textFill>
        </w:rPr>
        <w:t>苯、甲苯、二甲苯</w:t>
      </w:r>
      <w:r>
        <w:rPr>
          <w:color w:val="000000" w:themeColor="text1"/>
          <w14:textFill>
            <w14:solidFill>
              <w14:schemeClr w14:val="tx1"/>
            </w14:solidFill>
          </w14:textFill>
        </w:rPr>
        <w:t>、</w:t>
      </w:r>
      <w:r>
        <w:rPr>
          <w:color w:val="000000" w:themeColor="text1"/>
          <w:lang w:val="en-US"/>
          <w14:textFill>
            <w14:solidFill>
              <w14:schemeClr w14:val="tx1"/>
            </w14:solidFill>
          </w14:textFill>
        </w:rPr>
        <w:t>臭气浓度</w:t>
      </w:r>
      <w:r>
        <w:rPr>
          <w:color w:val="000000" w:themeColor="text1"/>
          <w14:textFill>
            <w14:solidFill>
              <w14:schemeClr w14:val="tx1"/>
            </w14:solidFill>
          </w14:textFill>
        </w:rPr>
        <w:t>数据详见表9.2</w:t>
      </w:r>
      <w:r>
        <w:rPr>
          <w:color w:val="000000" w:themeColor="text1"/>
          <w:lang w:val="en-US"/>
          <w14:textFill>
            <w14:solidFill>
              <w14:schemeClr w14:val="tx1"/>
            </w14:solidFill>
          </w14:textFill>
        </w:rPr>
        <w:t>.</w:t>
      </w:r>
      <w:r>
        <w:rPr>
          <w:color w:val="000000" w:themeColor="text1"/>
          <w14:textFill>
            <w14:solidFill>
              <w14:schemeClr w14:val="tx1"/>
            </w14:solidFill>
          </w14:textFill>
        </w:rPr>
        <w:t>8~9.2</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1</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r>
        <w:rPr>
          <w:color w:val="000000" w:themeColor="text1"/>
          <w:lang w:val="en-US"/>
          <w14:textFill>
            <w14:solidFill>
              <w14:schemeClr w14:val="tx1"/>
            </w14:solidFill>
          </w14:textFill>
        </w:rPr>
        <w:t>厂内无组织监控点分别设置装车区下风向</w:t>
      </w:r>
      <w:r>
        <w:rPr>
          <w:rFonts w:hint="eastAsia"/>
          <w:color w:val="000000" w:themeColor="text1"/>
          <w:lang w:val="en-US" w:eastAsia="zh-CN"/>
          <w14:textFill>
            <w14:solidFill>
              <w14:schemeClr w14:val="tx1"/>
            </w14:solidFill>
          </w14:textFill>
        </w:rPr>
        <w:t>、码头装卸区下风向</w:t>
      </w:r>
      <w:r>
        <w:rPr>
          <w:color w:val="000000" w:themeColor="text1"/>
          <w:lang w:val="en-US"/>
          <w14:textFill>
            <w14:solidFill>
              <w14:schemeClr w14:val="tx1"/>
            </w14:solidFill>
          </w14:textFill>
        </w:rPr>
        <w:t>。厂内无组织排放NMHC数据详见表9.</w:t>
      </w:r>
      <w:r>
        <w:rPr>
          <w:color w:val="000000" w:themeColor="text1"/>
          <w14:textFill>
            <w14:solidFill>
              <w14:schemeClr w14:val="tx1"/>
            </w14:solidFill>
          </w14:textFill>
        </w:rPr>
        <w:t>2</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1</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监测结果表明：</w:t>
      </w:r>
      <w:r>
        <w:rPr>
          <w:rFonts w:hint="eastAsia"/>
          <w:color w:val="000000" w:themeColor="text1"/>
          <w:lang w:val="en-US" w:eastAsia="zh-CN"/>
          <w14:textFill>
            <w14:solidFill>
              <w14:schemeClr w14:val="tx1"/>
            </w14:solidFill>
          </w14:textFill>
        </w:rPr>
        <w:t>库区</w:t>
      </w:r>
      <w:r>
        <w:rPr>
          <w:color w:val="000000" w:themeColor="text1"/>
          <w:lang w:val="en-US"/>
          <w14:textFill>
            <w14:solidFill>
              <w14:schemeClr w14:val="tx1"/>
            </w14:solidFill>
          </w14:textFill>
        </w:rPr>
        <w:t>厂界无组织硫化氢</w:t>
      </w:r>
      <w:r>
        <w:rPr>
          <w:color w:val="000000" w:themeColor="text1"/>
          <w14:textFill>
            <w14:solidFill>
              <w14:schemeClr w14:val="tx1"/>
            </w14:solidFill>
          </w14:textFill>
        </w:rPr>
        <w:t>的小时</w:t>
      </w:r>
      <w:r>
        <w:rPr>
          <w:rFonts w:hint="eastAsia"/>
          <w:color w:val="000000" w:themeColor="text1"/>
          <w:lang w:val="en-US" w:eastAsia="zh-CN"/>
          <w14:textFill>
            <w14:solidFill>
              <w14:schemeClr w14:val="tx1"/>
            </w14:solidFill>
          </w14:textFill>
        </w:rPr>
        <w:t>浓度最大值为0.003</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，低于</w:t>
      </w:r>
      <w:r>
        <w:rPr>
          <w:color w:val="000000" w:themeColor="text1"/>
          <w:lang w:val="en-US"/>
          <w14:textFill>
            <w14:solidFill>
              <w14:schemeClr w14:val="tx1"/>
            </w14:solidFill>
          </w14:textFill>
        </w:rPr>
        <w:t>0.06</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lang w:val="en-US"/>
          <w14:textFill>
            <w14:solidFill>
              <w14:schemeClr w14:val="tx1"/>
            </w14:solidFill>
          </w14:textFill>
        </w:rPr>
        <w:t>排放限值</w:t>
      </w:r>
      <w:r>
        <w:rPr>
          <w:color w:val="000000" w:themeColor="text1"/>
          <w14:textFill>
            <w14:solidFill>
              <w14:schemeClr w14:val="tx1"/>
            </w14:solidFill>
          </w14:textFill>
        </w:rPr>
        <w:t>；</w:t>
      </w:r>
      <w:r>
        <w:rPr>
          <w:color w:val="000000" w:themeColor="text1"/>
          <w:lang w:val="en-US"/>
          <w14:textFill>
            <w14:solidFill>
              <w14:schemeClr w14:val="tx1"/>
            </w14:solidFill>
          </w14:textFill>
        </w:rPr>
        <w:t>氨</w:t>
      </w:r>
      <w:r>
        <w:rPr>
          <w:color w:val="000000" w:themeColor="text1"/>
          <w14:textFill>
            <w14:solidFill>
              <w14:schemeClr w14:val="tx1"/>
            </w14:solidFill>
          </w14:textFill>
        </w:rPr>
        <w:t>的小时浓度最大值为</w:t>
      </w:r>
      <w:r>
        <w:rPr>
          <w:color w:val="000000" w:themeColor="text1"/>
          <w:lang w:val="en-US"/>
          <w14:textFill>
            <w14:solidFill>
              <w14:schemeClr w14:val="tx1"/>
            </w14:solidFill>
          </w14:textFill>
        </w:rPr>
        <w:t>0.0</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，低于</w:t>
      </w:r>
      <w:r>
        <w:rPr>
          <w:color w:val="000000" w:themeColor="text1"/>
          <w:lang w:val="en-US"/>
          <w14:textFill>
            <w14:solidFill>
              <w14:schemeClr w14:val="tx1"/>
            </w14:solidFill>
          </w14:textFill>
        </w:rPr>
        <w:t>1.5</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lang w:val="en-US"/>
          <w14:textFill>
            <w14:solidFill>
              <w14:schemeClr w14:val="tx1"/>
            </w14:solidFill>
          </w14:textFill>
        </w:rPr>
        <w:t>排放限值</w:t>
      </w:r>
      <w:r>
        <w:rPr>
          <w:color w:val="000000" w:themeColor="text1"/>
          <w14:textFill>
            <w14:solidFill>
              <w14:schemeClr w14:val="tx1"/>
            </w14:solidFill>
          </w14:textFill>
        </w:rPr>
        <w:t>；</w:t>
      </w:r>
      <w:r>
        <w:rPr>
          <w:color w:val="000000" w:themeColor="text1"/>
          <w:lang w:val="en-US"/>
          <w14:textFill>
            <w14:solidFill>
              <w14:schemeClr w14:val="tx1"/>
            </w14:solidFill>
          </w14:textFill>
        </w:rPr>
        <w:t>臭气浓度</w:t>
      </w:r>
      <w:r>
        <w:rPr>
          <w:rFonts w:hint="eastAsia"/>
          <w:color w:val="000000" w:themeColor="text1"/>
          <w:lang w:val="en-US" w:eastAsia="zh-CN"/>
          <w14:textFill>
            <w14:solidFill>
              <w14:schemeClr w14:val="tx1"/>
            </w14:solidFill>
          </w14:textFill>
        </w:rPr>
        <w:t>均未检出</w:t>
      </w:r>
      <w:r>
        <w:rPr>
          <w:color w:val="000000" w:themeColor="text1"/>
          <w:lang w:val="en-US"/>
          <w14:textFill>
            <w14:solidFill>
              <w14:schemeClr w14:val="tx1"/>
            </w14:solidFill>
          </w14:textFill>
        </w:rPr>
        <w:t>，低于20排放限值</w:t>
      </w:r>
      <w:r>
        <w:rPr>
          <w:color w:val="000000" w:themeColor="text1"/>
          <w14:textFill>
            <w14:solidFill>
              <w14:schemeClr w14:val="tx1"/>
            </w14:solidFill>
          </w14:textFill>
        </w:rPr>
        <w:t>。上述各项指标均符合</w:t>
      </w:r>
      <w:r>
        <w:rPr>
          <w:color w:val="000000" w:themeColor="text1"/>
          <w:szCs w:val="21"/>
          <w:lang w:val="en-GB"/>
          <w14:textFill>
            <w14:solidFill>
              <w14:schemeClr w14:val="tx1"/>
            </w14:solidFill>
          </w14:textFill>
        </w:rPr>
        <w:t>《恶臭污染物排放标准》（GB14554-93）中表1二级新扩改建厂界标准</w:t>
      </w:r>
      <w:r>
        <w:rPr>
          <w:color w:val="000000" w:themeColor="text1"/>
          <w14:textFill>
            <w14:solidFill>
              <w14:schemeClr w14:val="tx1"/>
            </w14:solidFill>
          </w14:textFill>
        </w:rPr>
        <w:t>。</w:t>
      </w:r>
    </w:p>
    <w:p>
      <w:pPr>
        <w:pStyle w:val="19"/>
        <w:ind w:firstLine="480"/>
        <w:rPr>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库区</w:t>
      </w:r>
      <w:r>
        <w:rPr>
          <w:color w:val="000000" w:themeColor="text1"/>
          <w:lang w:val="en-US"/>
          <w14:textFill>
            <w14:solidFill>
              <w14:schemeClr w14:val="tx1"/>
            </w14:solidFill>
          </w14:textFill>
        </w:rPr>
        <w:t>厂界无组织排放中</w:t>
      </w:r>
      <w:r>
        <w:rPr>
          <w:rFonts w:hint="eastAsia"/>
          <w:color w:val="000000" w:themeColor="text1"/>
          <w:lang w:val="en-US" w:eastAsia="zh-CN"/>
          <w14:textFill>
            <w14:solidFill>
              <w14:schemeClr w14:val="tx1"/>
            </w14:solidFill>
          </w14:textFill>
        </w:rPr>
        <w:t>苯的</w:t>
      </w:r>
      <w:r>
        <w:rPr>
          <w:color w:val="000000" w:themeColor="text1"/>
          <w14:textFill>
            <w14:solidFill>
              <w14:schemeClr w14:val="tx1"/>
            </w14:solidFill>
          </w14:textFill>
        </w:rPr>
        <w:t>小时浓度</w:t>
      </w:r>
      <w:r>
        <w:rPr>
          <w:rFonts w:hint="eastAsia"/>
          <w:color w:val="000000" w:themeColor="text1"/>
          <w:lang w:val="en-US" w:eastAsia="zh-Hans"/>
          <w14:textFill>
            <w14:solidFill>
              <w14:schemeClr w14:val="tx1"/>
            </w14:solidFill>
          </w14:textFill>
        </w:rPr>
        <w:t>均为未检出</w:t>
      </w:r>
      <w:r>
        <w:rPr>
          <w:color w:val="000000" w:themeColor="text1"/>
          <w14:textFill>
            <w14:solidFill>
              <w14:schemeClr w14:val="tx1"/>
            </w14:solidFill>
          </w14:textFill>
        </w:rPr>
        <w:t>，低于</w:t>
      </w:r>
      <w:r>
        <w:rPr>
          <w:color w:val="000000" w:themeColor="text1"/>
          <w:lang w:val="en-US"/>
          <w14:textFill>
            <w14:solidFill>
              <w14:schemeClr w14:val="tx1"/>
            </w14:solidFill>
          </w14:textFill>
        </w:rPr>
        <w:t>0.</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排放限值；</w:t>
      </w:r>
      <w:r>
        <w:rPr>
          <w:rFonts w:hint="eastAsia"/>
          <w:color w:val="000000" w:themeColor="text1"/>
          <w:lang w:val="en-US" w:eastAsia="zh-CN"/>
          <w14:textFill>
            <w14:solidFill>
              <w14:schemeClr w14:val="tx1"/>
            </w14:solidFill>
          </w14:textFill>
        </w:rPr>
        <w:t>库区</w:t>
      </w:r>
      <w:r>
        <w:rPr>
          <w:color w:val="000000" w:themeColor="text1"/>
          <w:lang w:val="en-US"/>
          <w14:textFill>
            <w14:solidFill>
              <w14:schemeClr w14:val="tx1"/>
            </w14:solidFill>
          </w14:textFill>
        </w:rPr>
        <w:t>厂界无组织排放中甲苯</w:t>
      </w:r>
      <w:r>
        <w:rPr>
          <w:rFonts w:hint="eastAsia"/>
          <w:color w:val="000000" w:themeColor="text1"/>
          <w:lang w:val="en-US" w:eastAsia="zh-CN"/>
          <w14:textFill>
            <w14:solidFill>
              <w14:schemeClr w14:val="tx1"/>
            </w14:solidFill>
          </w14:textFill>
        </w:rPr>
        <w:t>、二甲苯</w:t>
      </w:r>
      <w:r>
        <w:rPr>
          <w:color w:val="000000" w:themeColor="text1"/>
          <w14:textFill>
            <w14:solidFill>
              <w14:schemeClr w14:val="tx1"/>
            </w14:solidFill>
          </w14:textFill>
        </w:rPr>
        <w:t>的小时浓度</w:t>
      </w:r>
      <w:r>
        <w:rPr>
          <w:rFonts w:hint="eastAsia"/>
          <w:color w:val="000000" w:themeColor="text1"/>
          <w:lang w:val="en-US" w:eastAsia="zh-Hans"/>
          <w14:textFill>
            <w14:solidFill>
              <w14:schemeClr w14:val="tx1"/>
            </w14:solidFill>
          </w14:textFill>
        </w:rPr>
        <w:t>均为未检出</w:t>
      </w:r>
      <w:r>
        <w:rPr>
          <w:color w:val="000000" w:themeColor="text1"/>
          <w14:textFill>
            <w14:solidFill>
              <w14:schemeClr w14:val="tx1"/>
            </w14:solidFill>
          </w14:textFill>
        </w:rPr>
        <w:t>，低于</w:t>
      </w:r>
      <w:r>
        <w:rPr>
          <w:color w:val="000000" w:themeColor="text1"/>
          <w:lang w:val="en-US"/>
          <w14:textFill>
            <w14:solidFill>
              <w14:schemeClr w14:val="tx1"/>
            </w14:solidFill>
          </w14:textFill>
        </w:rPr>
        <w:t>0.</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排放限值；NMHC的小时浓度最大值为</w:t>
      </w:r>
      <w:r>
        <w:rPr>
          <w:rFonts w:hint="eastAsia"/>
          <w:color w:val="000000" w:themeColor="text1"/>
          <w:lang w:val="en-US" w:eastAsia="zh-CN"/>
          <w14:textFill>
            <w14:solidFill>
              <w14:schemeClr w14:val="tx1"/>
            </w14:solidFill>
          </w14:textFill>
        </w:rPr>
        <w:t>1.00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码头厂界无组织排放中NMHC的小时浓度最大值为</w:t>
      </w:r>
      <w:r>
        <w:rPr>
          <w:rFonts w:hint="eastAsia"/>
          <w:color w:val="000000" w:themeColor="text1"/>
          <w:lang w:val="en-US" w:eastAsia="zh-CN"/>
          <w14:textFill>
            <w14:solidFill>
              <w14:schemeClr w14:val="tx1"/>
            </w14:solidFill>
          </w14:textFill>
        </w:rPr>
        <w:t>0.98</w:t>
      </w:r>
      <w:r>
        <w:rPr>
          <w:rFonts w:hint="eastAsia"/>
          <w:color w:val="000000" w:themeColor="text1"/>
          <w:lang w:eastAsia="zh-CN"/>
          <w14:textFill>
            <w14:solidFill>
              <w14:schemeClr w14:val="tx1"/>
            </w14:solidFill>
          </w14:textFill>
        </w:rPr>
        <w:t>mg/m</w:t>
      </w:r>
      <w:r>
        <w:rPr>
          <w:rFonts w:hint="eastAsia"/>
          <w:color w:val="000000" w:themeColor="text1"/>
          <w:vertAlign w:val="superscript"/>
          <w:lang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低于</w:t>
      </w:r>
      <w:r>
        <w:rPr>
          <w:color w:val="000000" w:themeColor="text1"/>
          <w:lang w:val="en-US"/>
          <w14:textFill>
            <w14:solidFill>
              <w14:schemeClr w14:val="tx1"/>
            </w14:solidFill>
          </w14:textFill>
        </w:rPr>
        <w:t>4</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排放限值，</w:t>
      </w:r>
      <w:r>
        <w:rPr>
          <w:color w:val="000000" w:themeColor="text1"/>
          <w:lang w:val="en-US"/>
          <w14:textFill>
            <w14:solidFill>
              <w14:schemeClr w14:val="tx1"/>
            </w14:solidFill>
          </w14:textFill>
        </w:rPr>
        <w:t>符合</w:t>
      </w:r>
      <w:r>
        <w:rPr>
          <w:color w:val="000000" w:themeColor="text1"/>
          <w:szCs w:val="21"/>
          <w:lang w:val="en-GB"/>
          <w14:textFill>
            <w14:solidFill>
              <w14:schemeClr w14:val="tx1"/>
            </w14:solidFill>
          </w14:textFill>
        </w:rPr>
        <w:t>《石油化学工业污染物排放标准》（</w:t>
      </w:r>
      <w:r>
        <w:rPr>
          <w:color w:val="000000" w:themeColor="text1"/>
          <w:szCs w:val="21"/>
          <w14:textFill>
            <w14:solidFill>
              <w14:schemeClr w14:val="tx1"/>
            </w14:solidFill>
          </w14:textFill>
        </w:rPr>
        <w:t>GB31571-2015</w:t>
      </w:r>
      <w:r>
        <w:rPr>
          <w:color w:val="000000" w:themeColor="text1"/>
          <w:szCs w:val="21"/>
          <w:lang w:val="en-GB"/>
          <w14:textFill>
            <w14:solidFill>
              <w14:schemeClr w14:val="tx1"/>
            </w14:solidFill>
          </w14:textFill>
        </w:rPr>
        <w:t>）</w:t>
      </w:r>
      <w:r>
        <w:rPr>
          <w:color w:val="000000" w:themeColor="text1"/>
          <w:szCs w:val="21"/>
          <w14:textFill>
            <w14:solidFill>
              <w14:schemeClr w14:val="tx1"/>
            </w14:solidFill>
          </w14:textFill>
        </w:rPr>
        <w:t>表7标准</w:t>
      </w:r>
      <w:r>
        <w:rPr>
          <w:color w:val="000000" w:themeColor="text1"/>
          <w:lang w:val="en-US"/>
          <w14:textFill>
            <w14:solidFill>
              <w14:schemeClr w14:val="tx1"/>
            </w14:solidFill>
          </w14:textFill>
        </w:rPr>
        <w:t>。</w:t>
      </w:r>
    </w:p>
    <w:p>
      <w:pPr>
        <w:pStyle w:val="19"/>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库区</w:t>
      </w:r>
      <w:r>
        <w:rPr>
          <w:color w:val="000000" w:themeColor="text1"/>
          <w:lang w:val="en-US"/>
          <w14:textFill>
            <w14:solidFill>
              <w14:schemeClr w14:val="tx1"/>
            </w14:solidFill>
          </w14:textFill>
        </w:rPr>
        <w:t>装车</w:t>
      </w:r>
      <w:r>
        <w:rPr>
          <w:rFonts w:hint="eastAsia"/>
          <w:color w:val="000000" w:themeColor="text1"/>
          <w:lang w:val="en-US" w:eastAsia="zh-CN"/>
          <w14:textFill>
            <w14:solidFill>
              <w14:schemeClr w14:val="tx1"/>
            </w14:solidFill>
          </w14:textFill>
        </w:rPr>
        <w:t>台</w:t>
      </w:r>
      <w:r>
        <w:rPr>
          <w:color w:val="000000" w:themeColor="text1"/>
          <w:lang w:val="en-US"/>
          <w14:textFill>
            <w14:solidFill>
              <w14:schemeClr w14:val="tx1"/>
            </w14:solidFill>
          </w14:textFill>
        </w:rPr>
        <w:t>下风向中NMHC任意一次浓度的最大值为</w:t>
      </w:r>
      <w:r>
        <w:rPr>
          <w:rFonts w:hint="eastAsia"/>
          <w:lang w:val="en-US" w:eastAsia="zh-CN"/>
        </w:rPr>
        <w:t>3.06</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，低于</w:t>
      </w:r>
      <w:r>
        <w:rPr>
          <w:color w:val="000000" w:themeColor="text1"/>
          <w:lang w:val="en-US"/>
          <w14:textFill>
            <w14:solidFill>
              <w14:schemeClr w14:val="tx1"/>
            </w14:solidFill>
          </w14:textFill>
        </w:rPr>
        <w:t>30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排放限值，</w:t>
      </w:r>
      <w:r>
        <w:rPr>
          <w:color w:val="000000" w:themeColor="text1"/>
          <w:lang w:val="en-US"/>
          <w14:textFill>
            <w14:solidFill>
              <w14:schemeClr w14:val="tx1"/>
            </w14:solidFill>
          </w14:textFill>
        </w:rPr>
        <w:t>1h均值中的最大浓度为</w:t>
      </w:r>
      <w:r>
        <w:rPr>
          <w:rFonts w:hint="eastAsia"/>
          <w:lang w:val="en-US" w:eastAsia="zh-CN"/>
        </w:rPr>
        <w:t>2.85</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，低于</w:t>
      </w:r>
      <w:r>
        <w:rPr>
          <w:color w:val="000000" w:themeColor="text1"/>
          <w:lang w:val="en-US"/>
          <w14:textFill>
            <w14:solidFill>
              <w14:schemeClr w14:val="tx1"/>
            </w14:solidFill>
          </w14:textFill>
        </w:rPr>
        <w:t>10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排放限值</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码头装卸区</w:t>
      </w:r>
      <w:r>
        <w:rPr>
          <w:color w:val="000000" w:themeColor="text1"/>
          <w:lang w:val="en-US"/>
          <w14:textFill>
            <w14:solidFill>
              <w14:schemeClr w14:val="tx1"/>
            </w14:solidFill>
          </w14:textFill>
        </w:rPr>
        <w:t>下风向中NMHC任意一次浓度的最大值为</w:t>
      </w:r>
      <w:r>
        <w:rPr>
          <w:rFonts w:hint="eastAsia"/>
          <w:lang w:val="en-US" w:eastAsia="zh-CN"/>
        </w:rPr>
        <w:t>1.87</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，低于</w:t>
      </w:r>
      <w:r>
        <w:rPr>
          <w:color w:val="000000" w:themeColor="text1"/>
          <w:lang w:val="en-US"/>
          <w14:textFill>
            <w14:solidFill>
              <w14:schemeClr w14:val="tx1"/>
            </w14:solidFill>
          </w14:textFill>
        </w:rPr>
        <w:t>30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排放限值，</w:t>
      </w:r>
      <w:r>
        <w:rPr>
          <w:color w:val="000000" w:themeColor="text1"/>
          <w:lang w:val="en-US"/>
          <w14:textFill>
            <w14:solidFill>
              <w14:schemeClr w14:val="tx1"/>
            </w14:solidFill>
          </w14:textFill>
        </w:rPr>
        <w:t>1h均值中的最大浓度为</w:t>
      </w:r>
      <w:r>
        <w:rPr>
          <w:rFonts w:hint="eastAsia"/>
          <w:color w:val="000000" w:themeColor="text1"/>
          <w:lang w:val="en-US" w:eastAsia="zh-CN"/>
          <w14:textFill>
            <w14:solidFill>
              <w14:schemeClr w14:val="tx1"/>
            </w14:solidFill>
          </w14:textFill>
        </w:rPr>
        <w:t>1.65</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，低于</w:t>
      </w:r>
      <w:r>
        <w:rPr>
          <w:color w:val="000000" w:themeColor="text1"/>
          <w:lang w:val="en-US"/>
          <w14:textFill>
            <w14:solidFill>
              <w14:schemeClr w14:val="tx1"/>
            </w14:solidFill>
          </w14:textFill>
        </w:rPr>
        <w:t>10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排放限值；</w:t>
      </w:r>
      <w:r>
        <w:rPr>
          <w:color w:val="000000" w:themeColor="text1"/>
          <w:lang w:val="en-US"/>
          <w14:textFill>
            <w14:solidFill>
              <w14:schemeClr w14:val="tx1"/>
            </w14:solidFill>
          </w14:textFill>
        </w:rPr>
        <w:t>符合</w:t>
      </w:r>
      <w:r>
        <w:rPr>
          <w:color w:val="000000" w:themeColor="text1"/>
          <w14:textFill>
            <w14:solidFill>
              <w14:schemeClr w14:val="tx1"/>
            </w14:solidFill>
          </w14:textFill>
        </w:rPr>
        <w:t>《挥发性有机物无组织排放控制标</w:t>
      </w:r>
      <w:r>
        <w:rPr>
          <w:color w:val="000000" w:themeColor="text1"/>
          <w:lang w:val="en-US"/>
          <w14:textFill>
            <w14:solidFill>
              <w14:schemeClr w14:val="tx1"/>
            </w14:solidFill>
          </w14:textFill>
        </w:rPr>
        <w:t>准》（GB37822-2019）表</w:t>
      </w:r>
      <w:r>
        <w:rPr>
          <w:color w:val="000000" w:themeColor="text1"/>
          <w14:textFill>
            <w14:solidFill>
              <w14:schemeClr w14:val="tx1"/>
            </w14:solidFill>
          </w14:textFill>
        </w:rPr>
        <w:t>A.1</w:t>
      </w:r>
      <w:r>
        <w:rPr>
          <w:color w:val="000000" w:themeColor="text1"/>
          <w:lang w:val="en-US"/>
          <w14:textFill>
            <w14:solidFill>
              <w14:schemeClr w14:val="tx1"/>
            </w14:solidFill>
          </w14:textFill>
        </w:rPr>
        <w:t>中限值要求。</w:t>
      </w:r>
    </w:p>
    <w:p>
      <w:pPr>
        <w:pStyle w:val="19"/>
        <w:ind w:firstLine="0" w:firstLineChars="0"/>
        <w:rPr>
          <w:color w:val="FF0000"/>
          <w:lang w:val="en-US"/>
        </w:rPr>
        <w:sectPr>
          <w:pgSz w:w="11907" w:h="16839"/>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3"/>
      </w:pPr>
      <w:r>
        <w:t>表9.2.</w:t>
      </w:r>
      <w:r>
        <w:rPr>
          <w:rFonts w:hint="eastAsia"/>
        </w:rPr>
        <w:t>7</w:t>
      </w:r>
      <w:r>
        <w:t xml:space="preserve"> 污水站和危废间废气排放口硫化氢、氨</w:t>
      </w:r>
      <w:r>
        <w:rPr>
          <w:rFonts w:hint="eastAsia"/>
        </w:rPr>
        <w:t>、</w:t>
      </w:r>
      <w:r>
        <w:t>非甲烷总烃、臭气</w:t>
      </w:r>
      <w:r>
        <w:rPr>
          <w:rFonts w:hint="eastAsia"/>
          <w:lang w:val="en-US" w:eastAsia="zh-CN"/>
        </w:rPr>
        <w:t>浓度</w:t>
      </w:r>
      <w:r>
        <w:t>监测结果统计表</w:t>
      </w:r>
    </w:p>
    <w:tbl>
      <w:tblPr>
        <w:tblStyle w:val="14"/>
        <w:tblW w:w="1329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07"/>
        <w:gridCol w:w="1059"/>
        <w:gridCol w:w="1186"/>
        <w:gridCol w:w="1434"/>
        <w:gridCol w:w="1434"/>
        <w:gridCol w:w="1434"/>
        <w:gridCol w:w="1434"/>
        <w:gridCol w:w="1434"/>
        <w:gridCol w:w="1434"/>
        <w:gridCol w:w="14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383" w:hRule="atLeast"/>
          <w:tblHeader/>
          <w:jc w:val="center"/>
        </w:trPr>
        <w:tc>
          <w:tcPr>
            <w:tcW w:w="1007" w:type="dxa"/>
            <w:vMerge w:val="restart"/>
            <w:tcBorders>
              <w:left w:val="nil"/>
            </w:tcBorders>
            <w:vAlign w:val="center"/>
          </w:tcPr>
          <w:p>
            <w:pPr>
              <w:pStyle w:val="24"/>
              <w:tabs>
                <w:tab w:val="left" w:pos="0"/>
              </w:tabs>
            </w:pPr>
            <w:r>
              <w:t>监测日期</w:t>
            </w:r>
          </w:p>
        </w:tc>
        <w:tc>
          <w:tcPr>
            <w:tcW w:w="1059" w:type="dxa"/>
            <w:vMerge w:val="restart"/>
            <w:vAlign w:val="center"/>
          </w:tcPr>
          <w:p>
            <w:pPr>
              <w:pStyle w:val="24"/>
              <w:tabs>
                <w:tab w:val="left" w:pos="0"/>
              </w:tabs>
            </w:pPr>
            <w:r>
              <w:t>监测频次</w:t>
            </w:r>
          </w:p>
        </w:tc>
        <w:tc>
          <w:tcPr>
            <w:tcW w:w="1186" w:type="dxa"/>
            <w:vMerge w:val="restart"/>
            <w:vAlign w:val="center"/>
          </w:tcPr>
          <w:p>
            <w:pPr>
              <w:pStyle w:val="24"/>
              <w:tabs>
                <w:tab w:val="left" w:pos="0"/>
              </w:tabs>
            </w:pPr>
            <w:r>
              <w:t>标干流量</w:t>
            </w:r>
          </w:p>
          <w:p>
            <w:pPr>
              <w:pStyle w:val="24"/>
              <w:tabs>
                <w:tab w:val="left" w:pos="0"/>
              </w:tabs>
            </w:pPr>
            <w:r>
              <w:t>（m</w:t>
            </w:r>
            <w:r>
              <w:rPr>
                <w:vertAlign w:val="superscript"/>
              </w:rPr>
              <w:t>3</w:t>
            </w:r>
            <w:r>
              <w:t>/h）</w:t>
            </w:r>
          </w:p>
        </w:tc>
        <w:tc>
          <w:tcPr>
            <w:tcW w:w="2868" w:type="dxa"/>
            <w:gridSpan w:val="2"/>
            <w:vAlign w:val="center"/>
          </w:tcPr>
          <w:p>
            <w:pPr>
              <w:pStyle w:val="24"/>
              <w:tabs>
                <w:tab w:val="left" w:pos="0"/>
              </w:tabs>
            </w:pPr>
            <w:r>
              <w:t>硫化氢</w:t>
            </w:r>
          </w:p>
        </w:tc>
        <w:tc>
          <w:tcPr>
            <w:tcW w:w="2868" w:type="dxa"/>
            <w:gridSpan w:val="2"/>
            <w:vAlign w:val="center"/>
          </w:tcPr>
          <w:p>
            <w:pPr>
              <w:pStyle w:val="24"/>
              <w:tabs>
                <w:tab w:val="left" w:pos="0"/>
              </w:tabs>
            </w:pPr>
            <w:r>
              <w:t>氨</w:t>
            </w:r>
          </w:p>
        </w:tc>
        <w:tc>
          <w:tcPr>
            <w:tcW w:w="2868" w:type="dxa"/>
            <w:gridSpan w:val="2"/>
            <w:vAlign w:val="center"/>
          </w:tcPr>
          <w:p>
            <w:pPr>
              <w:pStyle w:val="24"/>
              <w:tabs>
                <w:tab w:val="left" w:pos="0"/>
              </w:tabs>
            </w:pPr>
            <w:r>
              <w:t>非甲烷总烃</w:t>
            </w:r>
          </w:p>
        </w:tc>
        <w:tc>
          <w:tcPr>
            <w:tcW w:w="1434" w:type="dxa"/>
            <w:tcBorders>
              <w:right w:val="nil"/>
            </w:tcBorders>
            <w:vAlign w:val="center"/>
          </w:tcPr>
          <w:p>
            <w:pPr>
              <w:pStyle w:val="24"/>
              <w:tabs>
                <w:tab w:val="left" w:pos="0"/>
              </w:tabs>
            </w:pPr>
            <w:r>
              <w:t>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575" w:hRule="atLeast"/>
          <w:tblHeader/>
          <w:jc w:val="center"/>
        </w:trPr>
        <w:tc>
          <w:tcPr>
            <w:tcW w:w="1007" w:type="dxa"/>
            <w:vMerge w:val="continue"/>
            <w:tcBorders>
              <w:left w:val="nil"/>
            </w:tcBorders>
            <w:vAlign w:val="center"/>
          </w:tcPr>
          <w:p>
            <w:pPr>
              <w:pStyle w:val="24"/>
              <w:tabs>
                <w:tab w:val="left" w:pos="0"/>
              </w:tabs>
            </w:pPr>
          </w:p>
        </w:tc>
        <w:tc>
          <w:tcPr>
            <w:tcW w:w="1059" w:type="dxa"/>
            <w:vMerge w:val="continue"/>
            <w:vAlign w:val="center"/>
          </w:tcPr>
          <w:p>
            <w:pPr>
              <w:pStyle w:val="24"/>
              <w:tabs>
                <w:tab w:val="left" w:pos="0"/>
              </w:tabs>
            </w:pPr>
          </w:p>
        </w:tc>
        <w:tc>
          <w:tcPr>
            <w:tcW w:w="1186" w:type="dxa"/>
            <w:vMerge w:val="continue"/>
            <w:vAlign w:val="center"/>
          </w:tcPr>
          <w:p>
            <w:pPr>
              <w:pStyle w:val="24"/>
              <w:tabs>
                <w:tab w:val="left" w:pos="0"/>
              </w:tabs>
            </w:pPr>
          </w:p>
        </w:tc>
        <w:tc>
          <w:tcPr>
            <w:tcW w:w="1434" w:type="dxa"/>
            <w:vAlign w:val="center"/>
          </w:tcPr>
          <w:p>
            <w:pPr>
              <w:pStyle w:val="24"/>
              <w:tabs>
                <w:tab w:val="left" w:pos="0"/>
              </w:tabs>
            </w:pPr>
            <w:r>
              <w:t>实测浓度(mg/m</w:t>
            </w:r>
            <w:r>
              <w:rPr>
                <w:vertAlign w:val="superscript"/>
              </w:rPr>
              <w:t>3</w:t>
            </w:r>
            <w:r>
              <w:t>)</w:t>
            </w:r>
          </w:p>
        </w:tc>
        <w:tc>
          <w:tcPr>
            <w:tcW w:w="1434" w:type="dxa"/>
            <w:vAlign w:val="center"/>
          </w:tcPr>
          <w:p>
            <w:pPr>
              <w:pStyle w:val="24"/>
              <w:tabs>
                <w:tab w:val="left" w:pos="0"/>
              </w:tabs>
            </w:pPr>
            <w:r>
              <w:t>排放速率</w:t>
            </w:r>
          </w:p>
          <w:p>
            <w:pPr>
              <w:pStyle w:val="24"/>
              <w:tabs>
                <w:tab w:val="left" w:pos="0"/>
              </w:tabs>
            </w:pPr>
            <w:r>
              <w:t>（kg/h）</w:t>
            </w:r>
          </w:p>
        </w:tc>
        <w:tc>
          <w:tcPr>
            <w:tcW w:w="1434" w:type="dxa"/>
            <w:vAlign w:val="center"/>
          </w:tcPr>
          <w:p>
            <w:pPr>
              <w:pStyle w:val="24"/>
              <w:tabs>
                <w:tab w:val="left" w:pos="0"/>
              </w:tabs>
            </w:pPr>
            <w:r>
              <w:t>实测浓度(mg/m</w:t>
            </w:r>
            <w:r>
              <w:rPr>
                <w:vertAlign w:val="superscript"/>
              </w:rPr>
              <w:t>3</w:t>
            </w:r>
            <w:r>
              <w:t>)</w:t>
            </w:r>
          </w:p>
        </w:tc>
        <w:tc>
          <w:tcPr>
            <w:tcW w:w="1434" w:type="dxa"/>
            <w:vAlign w:val="center"/>
          </w:tcPr>
          <w:p>
            <w:pPr>
              <w:pStyle w:val="24"/>
              <w:tabs>
                <w:tab w:val="left" w:pos="0"/>
              </w:tabs>
            </w:pPr>
            <w:r>
              <w:t>排放速率</w:t>
            </w:r>
          </w:p>
          <w:p>
            <w:pPr>
              <w:pStyle w:val="24"/>
              <w:tabs>
                <w:tab w:val="left" w:pos="0"/>
              </w:tabs>
            </w:pPr>
            <w:r>
              <w:t>(kg/h)</w:t>
            </w:r>
          </w:p>
        </w:tc>
        <w:tc>
          <w:tcPr>
            <w:tcW w:w="1434" w:type="dxa"/>
            <w:tcBorders>
              <w:right w:val="single" w:color="000000" w:sz="4" w:space="0"/>
            </w:tcBorders>
            <w:vAlign w:val="center"/>
          </w:tcPr>
          <w:p>
            <w:pPr>
              <w:pStyle w:val="24"/>
              <w:tabs>
                <w:tab w:val="left" w:pos="0"/>
              </w:tabs>
            </w:pPr>
            <w:r>
              <w:t>实测浓度(mg/m</w:t>
            </w:r>
            <w:r>
              <w:rPr>
                <w:vertAlign w:val="superscript"/>
              </w:rPr>
              <w:t>3</w:t>
            </w:r>
            <w:r>
              <w:t>)</w:t>
            </w:r>
          </w:p>
        </w:tc>
        <w:tc>
          <w:tcPr>
            <w:tcW w:w="1434" w:type="dxa"/>
            <w:tcBorders>
              <w:left w:val="single" w:color="000000" w:sz="4" w:space="0"/>
            </w:tcBorders>
            <w:vAlign w:val="center"/>
          </w:tcPr>
          <w:p>
            <w:pPr>
              <w:pStyle w:val="24"/>
              <w:tabs>
                <w:tab w:val="left" w:pos="0"/>
              </w:tabs>
            </w:pPr>
            <w:r>
              <w:t>排放速率</w:t>
            </w:r>
          </w:p>
          <w:p>
            <w:pPr>
              <w:pStyle w:val="24"/>
              <w:tabs>
                <w:tab w:val="left" w:pos="0"/>
              </w:tabs>
            </w:pPr>
            <w:r>
              <w:t>(kg/h)</w:t>
            </w:r>
          </w:p>
        </w:tc>
        <w:tc>
          <w:tcPr>
            <w:tcW w:w="1434" w:type="dxa"/>
            <w:tcBorders>
              <w:right w:val="nil"/>
            </w:tcBorders>
            <w:vAlign w:val="center"/>
          </w:tcPr>
          <w:p>
            <w:pPr>
              <w:pStyle w:val="24"/>
              <w:tabs>
                <w:tab w:val="left" w:pos="0"/>
              </w:tabs>
            </w:pPr>
            <w:r>
              <w:t>实测浓度</w:t>
            </w:r>
          </w:p>
          <w:p>
            <w:pPr>
              <w:pStyle w:val="24"/>
              <w:tabs>
                <w:tab w:val="left" w:pos="0"/>
              </w:tabs>
            </w:pPr>
            <w: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restart"/>
            <w:tcBorders>
              <w:left w:val="nil"/>
            </w:tcBorders>
            <w:vAlign w:val="center"/>
          </w:tcPr>
          <w:p>
            <w:pPr>
              <w:pStyle w:val="24"/>
              <w:rPr>
                <w:rFonts w:hint="default" w:eastAsia="宋体"/>
                <w:lang w:val="en-US" w:eastAsia="zh-CN"/>
              </w:rPr>
            </w:pPr>
            <w:r>
              <w:rPr>
                <w:rFonts w:hint="eastAsia"/>
                <w:lang w:val="en-US" w:eastAsia="zh-CN"/>
              </w:rPr>
              <w:t>2023.3.23</w:t>
            </w:r>
          </w:p>
        </w:tc>
        <w:tc>
          <w:tcPr>
            <w:tcW w:w="1059" w:type="dxa"/>
            <w:vAlign w:val="center"/>
          </w:tcPr>
          <w:p>
            <w:pPr>
              <w:pStyle w:val="24"/>
            </w:pPr>
            <w:r>
              <w:t>第一次</w:t>
            </w:r>
          </w:p>
        </w:tc>
        <w:tc>
          <w:tcPr>
            <w:tcW w:w="1186" w:type="dxa"/>
            <w:vAlign w:val="center"/>
          </w:tcPr>
          <w:p>
            <w:pPr>
              <w:pStyle w:val="24"/>
              <w:rPr>
                <w:rFonts w:hint="default" w:eastAsia="宋体"/>
                <w:lang w:val="en-US" w:eastAsia="zh-CN"/>
              </w:rPr>
            </w:pPr>
            <w:r>
              <w:rPr>
                <w:rFonts w:hint="eastAsia"/>
                <w:lang w:val="en-US" w:eastAsia="zh-CN"/>
              </w:rPr>
              <w:t>6337</w:t>
            </w:r>
          </w:p>
        </w:tc>
        <w:tc>
          <w:tcPr>
            <w:tcW w:w="1434" w:type="dxa"/>
            <w:vAlign w:val="center"/>
          </w:tcPr>
          <w:p>
            <w:pPr>
              <w:pStyle w:val="24"/>
              <w:rPr>
                <w:rFonts w:hint="default" w:eastAsia="宋体"/>
                <w:lang w:val="en-US" w:eastAsia="zh-CN"/>
              </w:rPr>
            </w:pPr>
            <w:r>
              <w:rPr>
                <w:rFonts w:hint="eastAsia"/>
                <w:lang w:val="en-US" w:eastAsia="zh-CN"/>
              </w:rPr>
              <w:t>0.070</w:t>
            </w:r>
          </w:p>
        </w:tc>
        <w:tc>
          <w:tcPr>
            <w:tcW w:w="1434" w:type="dxa"/>
            <w:vAlign w:val="center"/>
          </w:tcPr>
          <w:p>
            <w:pPr>
              <w:pStyle w:val="24"/>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4.44×10</w:t>
            </w:r>
            <w:r>
              <w:rPr>
                <w:rFonts w:hint="eastAsia" w:ascii="Times New Roman" w:hAnsi="Times New Roman" w:eastAsia="宋体" w:cs="Times New Roman"/>
                <w:vertAlign w:val="superscript"/>
                <w:lang w:val="en-US" w:eastAsia="zh-CN"/>
              </w:rPr>
              <w:t>-4</w:t>
            </w:r>
          </w:p>
        </w:tc>
        <w:tc>
          <w:tcPr>
            <w:tcW w:w="143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1.58</w:t>
            </w:r>
          </w:p>
        </w:tc>
        <w:tc>
          <w:tcPr>
            <w:tcW w:w="1434" w:type="dxa"/>
            <w:vAlign w:val="center"/>
          </w:tcPr>
          <w:p>
            <w:pPr>
              <w:pStyle w:val="24"/>
              <w:rPr>
                <w:rFonts w:hint="default" w:eastAsia="宋体"/>
                <w:lang w:val="en-US" w:eastAsia="zh-CN"/>
              </w:rPr>
            </w:pPr>
            <w:r>
              <w:rPr>
                <w:rFonts w:hint="eastAsia"/>
                <w:lang w:val="en-US" w:eastAsia="zh-CN"/>
              </w:rPr>
              <w:t>0.010</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16.0</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0.101</w:t>
            </w:r>
          </w:p>
        </w:tc>
        <w:tc>
          <w:tcPr>
            <w:tcW w:w="1434" w:type="dxa"/>
            <w:tcBorders>
              <w:right w:val="nil"/>
            </w:tcBorders>
            <w:vAlign w:val="center"/>
          </w:tcPr>
          <w:p>
            <w:pPr>
              <w:pStyle w:val="24"/>
              <w:rPr>
                <w:rFonts w:hint="default" w:eastAsia="宋体"/>
                <w:lang w:val="en-US" w:eastAsia="zh-CN"/>
              </w:rPr>
            </w:pPr>
            <w:r>
              <w:rPr>
                <w:rFonts w:hint="eastAsia"/>
                <w:lang w:val="en-US" w:eastAsia="zh-CN"/>
              </w:rPr>
              <w:t>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continue"/>
            <w:tcBorders>
              <w:left w:val="nil"/>
            </w:tcBorders>
            <w:vAlign w:val="center"/>
          </w:tcPr>
          <w:p>
            <w:pPr>
              <w:pStyle w:val="24"/>
            </w:pPr>
          </w:p>
        </w:tc>
        <w:tc>
          <w:tcPr>
            <w:tcW w:w="1059" w:type="dxa"/>
            <w:vAlign w:val="center"/>
          </w:tcPr>
          <w:p>
            <w:pPr>
              <w:pStyle w:val="24"/>
            </w:pPr>
            <w:r>
              <w:t>第二次</w:t>
            </w:r>
          </w:p>
        </w:tc>
        <w:tc>
          <w:tcPr>
            <w:tcW w:w="1186" w:type="dxa"/>
            <w:vAlign w:val="center"/>
          </w:tcPr>
          <w:p>
            <w:pPr>
              <w:pStyle w:val="24"/>
              <w:rPr>
                <w:rFonts w:hint="default" w:eastAsia="宋体"/>
                <w:lang w:val="en-US" w:eastAsia="zh-CN"/>
              </w:rPr>
            </w:pPr>
            <w:r>
              <w:rPr>
                <w:rFonts w:hint="eastAsia"/>
                <w:lang w:val="en-US" w:eastAsia="zh-CN"/>
              </w:rPr>
              <w:t>6436</w:t>
            </w:r>
          </w:p>
        </w:tc>
        <w:tc>
          <w:tcPr>
            <w:tcW w:w="1434" w:type="dxa"/>
            <w:vAlign w:val="center"/>
          </w:tcPr>
          <w:p>
            <w:pPr>
              <w:pStyle w:val="24"/>
              <w:rPr>
                <w:rFonts w:hint="default" w:eastAsia="宋体"/>
                <w:lang w:val="en-US" w:eastAsia="zh-CN"/>
              </w:rPr>
            </w:pPr>
            <w:r>
              <w:rPr>
                <w:rFonts w:hint="eastAsia"/>
                <w:lang w:val="en-US" w:eastAsia="zh-CN"/>
              </w:rPr>
              <w:t>0.054</w:t>
            </w:r>
          </w:p>
        </w:tc>
        <w:tc>
          <w:tcPr>
            <w:tcW w:w="1434" w:type="dxa"/>
            <w:vAlign w:val="center"/>
          </w:tcPr>
          <w:p>
            <w:pPr>
              <w:pStyle w:val="24"/>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3.51×10</w:t>
            </w:r>
            <w:r>
              <w:rPr>
                <w:rFonts w:hint="eastAsia" w:ascii="Times New Roman" w:hAnsi="Times New Roman" w:eastAsia="宋体" w:cs="Times New Roman"/>
                <w:vertAlign w:val="superscript"/>
                <w:lang w:val="en-US" w:eastAsia="zh-CN"/>
              </w:rPr>
              <w:t>-4</w:t>
            </w:r>
          </w:p>
        </w:tc>
        <w:tc>
          <w:tcPr>
            <w:tcW w:w="143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1.63</w:t>
            </w:r>
          </w:p>
        </w:tc>
        <w:tc>
          <w:tcPr>
            <w:tcW w:w="1434" w:type="dxa"/>
            <w:vAlign w:val="center"/>
          </w:tcPr>
          <w:p>
            <w:pPr>
              <w:pStyle w:val="24"/>
              <w:rPr>
                <w:rFonts w:hint="default" w:eastAsia="宋体"/>
                <w:lang w:val="en-US" w:eastAsia="zh-CN"/>
              </w:rPr>
            </w:pPr>
            <w:r>
              <w:rPr>
                <w:rFonts w:hint="eastAsia"/>
                <w:lang w:val="en-US" w:eastAsia="zh-CN"/>
              </w:rPr>
              <w:t>0.010</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15.9</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0.102</w:t>
            </w:r>
          </w:p>
        </w:tc>
        <w:tc>
          <w:tcPr>
            <w:tcW w:w="1434" w:type="dxa"/>
            <w:tcBorders>
              <w:right w:val="nil"/>
            </w:tcBorders>
            <w:vAlign w:val="center"/>
          </w:tcPr>
          <w:p>
            <w:pPr>
              <w:pStyle w:val="24"/>
              <w:rPr>
                <w:rFonts w:hint="default" w:eastAsia="宋体"/>
                <w:lang w:val="en-US" w:eastAsia="zh-CN"/>
              </w:rPr>
            </w:pPr>
            <w:r>
              <w:rPr>
                <w:rFonts w:hint="eastAsia"/>
                <w:lang w:val="en-US" w:eastAsia="zh-CN"/>
              </w:rPr>
              <w:t>1122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continue"/>
            <w:tcBorders>
              <w:left w:val="nil"/>
            </w:tcBorders>
            <w:vAlign w:val="center"/>
          </w:tcPr>
          <w:p>
            <w:pPr>
              <w:pStyle w:val="24"/>
            </w:pPr>
          </w:p>
        </w:tc>
        <w:tc>
          <w:tcPr>
            <w:tcW w:w="1059" w:type="dxa"/>
            <w:vAlign w:val="center"/>
          </w:tcPr>
          <w:p>
            <w:pPr>
              <w:pStyle w:val="24"/>
            </w:pPr>
            <w:r>
              <w:t>第三次</w:t>
            </w:r>
          </w:p>
        </w:tc>
        <w:tc>
          <w:tcPr>
            <w:tcW w:w="1186" w:type="dxa"/>
            <w:vAlign w:val="center"/>
          </w:tcPr>
          <w:p>
            <w:pPr>
              <w:pStyle w:val="24"/>
              <w:rPr>
                <w:rFonts w:hint="default" w:eastAsia="宋体"/>
                <w:lang w:val="en-US" w:eastAsia="zh-CN"/>
              </w:rPr>
            </w:pPr>
            <w:r>
              <w:rPr>
                <w:rFonts w:hint="eastAsia"/>
                <w:lang w:val="en-US" w:eastAsia="zh-CN"/>
              </w:rPr>
              <w:t>6114</w:t>
            </w:r>
          </w:p>
        </w:tc>
        <w:tc>
          <w:tcPr>
            <w:tcW w:w="1434" w:type="dxa"/>
            <w:vAlign w:val="center"/>
          </w:tcPr>
          <w:p>
            <w:pPr>
              <w:pStyle w:val="24"/>
              <w:rPr>
                <w:rFonts w:hint="default" w:eastAsia="宋体"/>
                <w:lang w:val="en-US" w:eastAsia="zh-CN"/>
              </w:rPr>
            </w:pPr>
            <w:r>
              <w:rPr>
                <w:rFonts w:hint="eastAsia"/>
                <w:lang w:val="en-US" w:eastAsia="zh-CN"/>
              </w:rPr>
              <w:t>0.061</w:t>
            </w:r>
          </w:p>
        </w:tc>
        <w:tc>
          <w:tcPr>
            <w:tcW w:w="1434" w:type="dxa"/>
            <w:vAlign w:val="center"/>
          </w:tcPr>
          <w:p>
            <w:pPr>
              <w:pStyle w:val="24"/>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3.76×10</w:t>
            </w:r>
            <w:r>
              <w:rPr>
                <w:rFonts w:hint="eastAsia" w:ascii="Times New Roman" w:hAnsi="Times New Roman" w:eastAsia="宋体" w:cs="Times New Roman"/>
                <w:vertAlign w:val="superscript"/>
                <w:lang w:val="en-US" w:eastAsia="zh-CN"/>
              </w:rPr>
              <w:t>-4</w:t>
            </w:r>
          </w:p>
        </w:tc>
        <w:tc>
          <w:tcPr>
            <w:tcW w:w="143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1.77</w:t>
            </w:r>
          </w:p>
        </w:tc>
        <w:tc>
          <w:tcPr>
            <w:tcW w:w="1434" w:type="dxa"/>
            <w:vAlign w:val="center"/>
          </w:tcPr>
          <w:p>
            <w:pPr>
              <w:pStyle w:val="24"/>
              <w:rPr>
                <w:rFonts w:hint="default" w:eastAsia="宋体"/>
                <w:lang w:val="en-US" w:eastAsia="zh-CN"/>
              </w:rPr>
            </w:pPr>
            <w:r>
              <w:rPr>
                <w:rFonts w:hint="eastAsia"/>
                <w:lang w:val="en-US" w:eastAsia="zh-CN"/>
              </w:rPr>
              <w:t>0.011</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17.6</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0.108</w:t>
            </w:r>
          </w:p>
        </w:tc>
        <w:tc>
          <w:tcPr>
            <w:tcW w:w="1434" w:type="dxa"/>
            <w:tcBorders>
              <w:right w:val="nil"/>
            </w:tcBorders>
            <w:vAlign w:val="center"/>
          </w:tcPr>
          <w:p>
            <w:pPr>
              <w:pStyle w:val="24"/>
              <w:rPr>
                <w:rFonts w:hint="default" w:eastAsia="宋体"/>
                <w:lang w:val="en-US" w:eastAsia="zh-CN"/>
              </w:rPr>
            </w:pPr>
            <w:r>
              <w:rPr>
                <w:rFonts w:hint="eastAsia"/>
                <w:lang w:val="en-US" w:eastAsia="zh-CN"/>
              </w:rPr>
              <w:t>851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continue"/>
            <w:tcBorders>
              <w:left w:val="nil"/>
            </w:tcBorders>
            <w:vAlign w:val="center"/>
          </w:tcPr>
          <w:p>
            <w:pPr>
              <w:pStyle w:val="24"/>
            </w:pPr>
          </w:p>
        </w:tc>
        <w:tc>
          <w:tcPr>
            <w:tcW w:w="1059" w:type="dxa"/>
            <w:vAlign w:val="center"/>
          </w:tcPr>
          <w:p>
            <w:pPr>
              <w:pStyle w:val="24"/>
              <w:rPr>
                <w:rFonts w:hint="default" w:eastAsia="宋体"/>
                <w:lang w:val="en-US" w:eastAsia="zh-CN"/>
              </w:rPr>
            </w:pPr>
            <w:r>
              <w:rPr>
                <w:rFonts w:hint="eastAsia"/>
                <w:lang w:val="en-US" w:eastAsia="zh-CN"/>
              </w:rPr>
              <w:t>最大值</w:t>
            </w:r>
          </w:p>
        </w:tc>
        <w:tc>
          <w:tcPr>
            <w:tcW w:w="1186" w:type="dxa"/>
            <w:vAlign w:val="center"/>
          </w:tcPr>
          <w:p>
            <w:pPr>
              <w:pStyle w:val="24"/>
            </w:pPr>
            <w:r>
              <w:t>/</w:t>
            </w:r>
          </w:p>
        </w:tc>
        <w:tc>
          <w:tcPr>
            <w:tcW w:w="1434" w:type="dxa"/>
            <w:vAlign w:val="center"/>
          </w:tcPr>
          <w:p>
            <w:pPr>
              <w:pStyle w:val="24"/>
            </w:pPr>
            <w:r>
              <w:rPr>
                <w:rFonts w:hint="eastAsia"/>
              </w:rPr>
              <w:t>/</w:t>
            </w:r>
          </w:p>
        </w:tc>
        <w:tc>
          <w:tcPr>
            <w:tcW w:w="1434" w:type="dxa"/>
            <w:vAlign w:val="center"/>
          </w:tcPr>
          <w:p>
            <w:pPr>
              <w:pStyle w:val="24"/>
            </w:pPr>
            <w:r>
              <w:rPr>
                <w:rFonts w:hint="eastAsia" w:cs="Times New Roman"/>
                <w:lang w:val="en-US" w:eastAsia="zh-CN"/>
              </w:rPr>
              <w:t>4.44</w:t>
            </w:r>
            <w:r>
              <w:rPr>
                <w:rFonts w:hint="eastAsia" w:ascii="Times New Roman" w:hAnsi="Times New Roman" w:eastAsia="宋体" w:cs="Times New Roman"/>
                <w:lang w:val="en-US" w:eastAsia="zh-CN"/>
              </w:rPr>
              <w:t>×10</w:t>
            </w:r>
            <w:r>
              <w:rPr>
                <w:rFonts w:hint="eastAsia" w:ascii="Times New Roman" w:hAnsi="Times New Roman" w:eastAsia="宋体" w:cs="Times New Roman"/>
                <w:vertAlign w:val="superscript"/>
                <w:lang w:val="en-US" w:eastAsia="zh-CN"/>
              </w:rPr>
              <w:t>-4</w:t>
            </w:r>
          </w:p>
        </w:tc>
        <w:tc>
          <w:tcPr>
            <w:tcW w:w="1434" w:type="dxa"/>
            <w:vAlign w:val="center"/>
          </w:tcPr>
          <w:p>
            <w:pPr>
              <w:pStyle w:val="24"/>
              <w:rPr>
                <w:rFonts w:hint="eastAsia" w:eastAsia="宋体"/>
                <w:lang w:val="en-US" w:eastAsia="zh-CN"/>
              </w:rPr>
            </w:pPr>
            <w:r>
              <w:rPr>
                <w:rFonts w:hint="eastAsia"/>
                <w:lang w:val="en-US" w:eastAsia="zh-CN"/>
              </w:rPr>
              <w:t>/</w:t>
            </w:r>
          </w:p>
        </w:tc>
        <w:tc>
          <w:tcPr>
            <w:tcW w:w="1434" w:type="dxa"/>
            <w:vAlign w:val="center"/>
          </w:tcPr>
          <w:p>
            <w:pPr>
              <w:pStyle w:val="24"/>
              <w:rPr>
                <w:rFonts w:hint="default" w:eastAsia="宋体"/>
                <w:lang w:val="en-US" w:eastAsia="zh-CN"/>
              </w:rPr>
            </w:pPr>
            <w:r>
              <w:rPr>
                <w:rFonts w:hint="eastAsia"/>
                <w:lang w:val="en-US" w:eastAsia="zh-CN"/>
              </w:rPr>
              <w:t>0.011</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17.6</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0.108</w:t>
            </w:r>
          </w:p>
        </w:tc>
        <w:tc>
          <w:tcPr>
            <w:tcW w:w="1434" w:type="dxa"/>
            <w:tcBorders>
              <w:right w:val="nil"/>
            </w:tcBorders>
            <w:vAlign w:val="center"/>
          </w:tcPr>
          <w:p>
            <w:pPr>
              <w:pStyle w:val="24"/>
              <w:rPr>
                <w:rFonts w:hint="default" w:eastAsia="宋体"/>
                <w:lang w:val="en-US" w:eastAsia="zh-CN"/>
              </w:rPr>
            </w:pPr>
            <w:r>
              <w:rPr>
                <w:rFonts w:hint="eastAsia"/>
                <w:lang w:val="en-US" w:eastAsia="zh-CN"/>
              </w:rPr>
              <w:t>1122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2066" w:type="dxa"/>
            <w:gridSpan w:val="2"/>
            <w:tcBorders>
              <w:left w:val="nil"/>
            </w:tcBorders>
            <w:vAlign w:val="center"/>
          </w:tcPr>
          <w:p>
            <w:pPr>
              <w:pStyle w:val="24"/>
            </w:pPr>
            <w:r>
              <w:t>验收标准</w:t>
            </w:r>
          </w:p>
        </w:tc>
        <w:tc>
          <w:tcPr>
            <w:tcW w:w="1186" w:type="dxa"/>
            <w:vAlign w:val="center"/>
          </w:tcPr>
          <w:p>
            <w:pPr>
              <w:pStyle w:val="24"/>
            </w:pPr>
            <w:r>
              <w:t>/</w:t>
            </w:r>
          </w:p>
        </w:tc>
        <w:tc>
          <w:tcPr>
            <w:tcW w:w="1434" w:type="dxa"/>
            <w:vAlign w:val="center"/>
          </w:tcPr>
          <w:p>
            <w:pPr>
              <w:pStyle w:val="24"/>
            </w:pPr>
            <w:r>
              <w:t>/</w:t>
            </w:r>
          </w:p>
        </w:tc>
        <w:tc>
          <w:tcPr>
            <w:tcW w:w="1434" w:type="dxa"/>
            <w:vAlign w:val="center"/>
          </w:tcPr>
          <w:p>
            <w:pPr>
              <w:pStyle w:val="24"/>
            </w:pPr>
            <w:r>
              <w:t>0.33</w:t>
            </w:r>
          </w:p>
        </w:tc>
        <w:tc>
          <w:tcPr>
            <w:tcW w:w="1434" w:type="dxa"/>
            <w:vAlign w:val="center"/>
          </w:tcPr>
          <w:p>
            <w:pPr>
              <w:pStyle w:val="24"/>
            </w:pPr>
            <w:r>
              <w:t>/</w:t>
            </w:r>
          </w:p>
        </w:tc>
        <w:tc>
          <w:tcPr>
            <w:tcW w:w="1434" w:type="dxa"/>
            <w:vAlign w:val="center"/>
          </w:tcPr>
          <w:p>
            <w:pPr>
              <w:pStyle w:val="24"/>
            </w:pPr>
            <w:r>
              <w:t>4.9</w:t>
            </w:r>
          </w:p>
        </w:tc>
        <w:tc>
          <w:tcPr>
            <w:tcW w:w="1434" w:type="dxa"/>
            <w:tcBorders>
              <w:right w:val="single" w:color="000000" w:sz="4" w:space="0"/>
            </w:tcBorders>
            <w:vAlign w:val="center"/>
          </w:tcPr>
          <w:p>
            <w:pPr>
              <w:pStyle w:val="24"/>
            </w:pPr>
            <w:r>
              <w:t>120</w:t>
            </w:r>
          </w:p>
        </w:tc>
        <w:tc>
          <w:tcPr>
            <w:tcW w:w="1434" w:type="dxa"/>
            <w:tcBorders>
              <w:left w:val="single" w:color="000000" w:sz="4" w:space="0"/>
            </w:tcBorders>
            <w:vAlign w:val="center"/>
          </w:tcPr>
          <w:p>
            <w:pPr>
              <w:pStyle w:val="24"/>
            </w:pPr>
            <w:r>
              <w:t>/</w:t>
            </w:r>
          </w:p>
        </w:tc>
        <w:tc>
          <w:tcPr>
            <w:tcW w:w="1434" w:type="dxa"/>
            <w:tcBorders>
              <w:right w:val="nil"/>
            </w:tcBorders>
            <w:vAlign w:val="center"/>
          </w:tcPr>
          <w:p>
            <w:pPr>
              <w:pStyle w:val="24"/>
            </w:pPr>
            <w: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2066" w:type="dxa"/>
            <w:gridSpan w:val="2"/>
            <w:tcBorders>
              <w:left w:val="nil"/>
            </w:tcBorders>
            <w:vAlign w:val="center"/>
          </w:tcPr>
          <w:p>
            <w:pPr>
              <w:pStyle w:val="24"/>
            </w:pPr>
            <w:r>
              <w:t>达标情况</w:t>
            </w:r>
          </w:p>
        </w:tc>
        <w:tc>
          <w:tcPr>
            <w:tcW w:w="1186" w:type="dxa"/>
            <w:vAlign w:val="center"/>
          </w:tcPr>
          <w:p>
            <w:pPr>
              <w:pStyle w:val="24"/>
            </w:pPr>
            <w:r>
              <w:t>/</w:t>
            </w:r>
          </w:p>
        </w:tc>
        <w:tc>
          <w:tcPr>
            <w:tcW w:w="1434" w:type="dxa"/>
            <w:vAlign w:val="center"/>
          </w:tcPr>
          <w:p>
            <w:pPr>
              <w:pStyle w:val="24"/>
            </w:pPr>
            <w:r>
              <w:t>/</w:t>
            </w:r>
          </w:p>
        </w:tc>
        <w:tc>
          <w:tcPr>
            <w:tcW w:w="1434" w:type="dxa"/>
            <w:vAlign w:val="center"/>
          </w:tcPr>
          <w:p>
            <w:pPr>
              <w:pStyle w:val="24"/>
            </w:pPr>
            <w:r>
              <w:t>达标</w:t>
            </w:r>
          </w:p>
        </w:tc>
        <w:tc>
          <w:tcPr>
            <w:tcW w:w="1434" w:type="dxa"/>
            <w:vAlign w:val="center"/>
          </w:tcPr>
          <w:p>
            <w:pPr>
              <w:pStyle w:val="24"/>
            </w:pPr>
            <w:r>
              <w:t>/</w:t>
            </w:r>
          </w:p>
        </w:tc>
        <w:tc>
          <w:tcPr>
            <w:tcW w:w="1434" w:type="dxa"/>
            <w:vAlign w:val="center"/>
          </w:tcPr>
          <w:p>
            <w:pPr>
              <w:pStyle w:val="24"/>
            </w:pPr>
            <w:r>
              <w:t>达标</w:t>
            </w:r>
          </w:p>
        </w:tc>
        <w:tc>
          <w:tcPr>
            <w:tcW w:w="1434" w:type="dxa"/>
            <w:tcBorders>
              <w:right w:val="single" w:color="000000" w:sz="4" w:space="0"/>
            </w:tcBorders>
            <w:vAlign w:val="center"/>
          </w:tcPr>
          <w:p>
            <w:pPr>
              <w:pStyle w:val="24"/>
            </w:pPr>
            <w:r>
              <w:t>达标</w:t>
            </w:r>
          </w:p>
        </w:tc>
        <w:tc>
          <w:tcPr>
            <w:tcW w:w="1434" w:type="dxa"/>
            <w:tcBorders>
              <w:left w:val="single" w:color="000000" w:sz="4" w:space="0"/>
            </w:tcBorders>
            <w:vAlign w:val="center"/>
          </w:tcPr>
          <w:p>
            <w:pPr>
              <w:pStyle w:val="24"/>
            </w:pPr>
            <w:r>
              <w:t>/</w:t>
            </w:r>
          </w:p>
        </w:tc>
        <w:tc>
          <w:tcPr>
            <w:tcW w:w="1434" w:type="dxa"/>
            <w:tcBorders>
              <w:right w:val="nil"/>
            </w:tcBorders>
            <w:vAlign w:val="center"/>
          </w:tcPr>
          <w:p>
            <w:pPr>
              <w:pStyle w:val="24"/>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restart"/>
            <w:tcBorders>
              <w:left w:val="nil"/>
            </w:tcBorders>
            <w:vAlign w:val="center"/>
          </w:tcPr>
          <w:p>
            <w:pPr>
              <w:pStyle w:val="24"/>
              <w:rPr>
                <w:rFonts w:hint="default" w:eastAsia="宋体"/>
                <w:lang w:val="en-US" w:eastAsia="zh-CN"/>
              </w:rPr>
            </w:pPr>
            <w:r>
              <w:rPr>
                <w:rFonts w:hint="eastAsia"/>
                <w:lang w:val="en-US" w:eastAsia="zh-CN"/>
              </w:rPr>
              <w:t>2023.3.24</w:t>
            </w:r>
          </w:p>
        </w:tc>
        <w:tc>
          <w:tcPr>
            <w:tcW w:w="1059" w:type="dxa"/>
            <w:vAlign w:val="center"/>
          </w:tcPr>
          <w:p>
            <w:pPr>
              <w:pStyle w:val="24"/>
            </w:pPr>
            <w:r>
              <w:t>第一次</w:t>
            </w:r>
          </w:p>
        </w:tc>
        <w:tc>
          <w:tcPr>
            <w:tcW w:w="1186" w:type="dxa"/>
            <w:vAlign w:val="center"/>
          </w:tcPr>
          <w:p>
            <w:pPr>
              <w:pStyle w:val="24"/>
              <w:rPr>
                <w:rFonts w:hint="default" w:eastAsia="宋体"/>
                <w:lang w:val="en-US" w:eastAsia="zh-CN"/>
              </w:rPr>
            </w:pPr>
            <w:r>
              <w:rPr>
                <w:rFonts w:hint="eastAsia"/>
                <w:lang w:val="en-US" w:eastAsia="zh-CN"/>
              </w:rPr>
              <w:t>5863</w:t>
            </w:r>
          </w:p>
        </w:tc>
        <w:tc>
          <w:tcPr>
            <w:tcW w:w="1434" w:type="dxa"/>
            <w:vAlign w:val="center"/>
          </w:tcPr>
          <w:p>
            <w:pPr>
              <w:pStyle w:val="24"/>
              <w:rPr>
                <w:rFonts w:hint="default" w:eastAsia="宋体"/>
                <w:lang w:val="en-US" w:eastAsia="zh-CN"/>
              </w:rPr>
            </w:pPr>
            <w:r>
              <w:rPr>
                <w:rFonts w:hint="eastAsia"/>
                <w:lang w:val="en-US" w:eastAsia="zh-CN"/>
              </w:rPr>
              <w:t>0.077</w:t>
            </w:r>
          </w:p>
        </w:tc>
        <w:tc>
          <w:tcPr>
            <w:tcW w:w="1434" w:type="dxa"/>
            <w:vAlign w:val="center"/>
          </w:tcPr>
          <w:p>
            <w:pPr>
              <w:pStyle w:val="24"/>
            </w:pPr>
            <w:r>
              <w:rPr>
                <w:rFonts w:hint="eastAsia" w:ascii="Times New Roman" w:hAnsi="Times New Roman" w:eastAsia="宋体" w:cs="Times New Roman"/>
                <w:lang w:val="en-US" w:eastAsia="zh-CN"/>
              </w:rPr>
              <w:t>4.54×10</w:t>
            </w:r>
            <w:r>
              <w:rPr>
                <w:rFonts w:hint="eastAsia" w:ascii="Times New Roman" w:hAnsi="Times New Roman" w:eastAsia="宋体" w:cs="Times New Roman"/>
                <w:vertAlign w:val="superscript"/>
                <w:lang w:val="en-US" w:eastAsia="zh-CN"/>
              </w:rPr>
              <w:t>-4</w:t>
            </w:r>
          </w:p>
        </w:tc>
        <w:tc>
          <w:tcPr>
            <w:tcW w:w="1434" w:type="dxa"/>
            <w:vAlign w:val="center"/>
          </w:tcPr>
          <w:p>
            <w:pPr>
              <w:pStyle w:val="24"/>
              <w:rPr>
                <w:rFonts w:hint="default" w:eastAsia="宋体"/>
                <w:lang w:val="en-US" w:eastAsia="zh-CN"/>
              </w:rPr>
            </w:pPr>
            <w:r>
              <w:rPr>
                <w:rFonts w:hint="eastAsia"/>
                <w:lang w:val="en-US" w:eastAsia="zh-CN"/>
              </w:rPr>
              <w:t>1.47</w:t>
            </w:r>
          </w:p>
        </w:tc>
        <w:tc>
          <w:tcPr>
            <w:tcW w:w="1434" w:type="dxa"/>
            <w:vAlign w:val="center"/>
          </w:tcPr>
          <w:p>
            <w:pPr>
              <w:pStyle w:val="24"/>
            </w:pPr>
            <w:r>
              <w:rPr>
                <w:rFonts w:hint="eastAsia" w:ascii="Times New Roman" w:hAnsi="Times New Roman" w:eastAsia="宋体" w:cs="Times New Roman"/>
                <w:kern w:val="0"/>
                <w:sz w:val="18"/>
                <w:szCs w:val="18"/>
                <w:highlight w:val="none"/>
                <w:lang w:val="en-US" w:eastAsia="zh-CN"/>
              </w:rPr>
              <w:t>8.61×10</w:t>
            </w:r>
            <w:r>
              <w:rPr>
                <w:rFonts w:hint="eastAsia" w:ascii="Times New Roman" w:hAnsi="Times New Roman" w:eastAsia="宋体" w:cs="Times New Roman"/>
                <w:kern w:val="0"/>
                <w:sz w:val="18"/>
                <w:szCs w:val="18"/>
                <w:highlight w:val="none"/>
                <w:vertAlign w:val="superscript"/>
                <w:lang w:val="en-US" w:eastAsia="zh-CN"/>
              </w:rPr>
              <w:t>-3</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13.2</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0.077</w:t>
            </w:r>
          </w:p>
        </w:tc>
        <w:tc>
          <w:tcPr>
            <w:tcW w:w="1434" w:type="dxa"/>
            <w:tcBorders>
              <w:right w:val="nil"/>
            </w:tcBorders>
            <w:vAlign w:val="center"/>
          </w:tcPr>
          <w:p>
            <w:pPr>
              <w:pStyle w:val="24"/>
              <w:rPr>
                <w:rFonts w:hint="default" w:eastAsia="宋体"/>
                <w:lang w:val="en-US" w:eastAsia="zh-CN"/>
              </w:rPr>
            </w:pPr>
            <w:r>
              <w:rPr>
                <w:rFonts w:hint="eastAsia"/>
                <w:lang w:val="en-US" w:eastAsia="zh-CN"/>
              </w:rPr>
              <w:t>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continue"/>
            <w:tcBorders>
              <w:left w:val="nil"/>
            </w:tcBorders>
            <w:vAlign w:val="center"/>
          </w:tcPr>
          <w:p>
            <w:pPr>
              <w:pStyle w:val="24"/>
            </w:pPr>
          </w:p>
        </w:tc>
        <w:tc>
          <w:tcPr>
            <w:tcW w:w="1059" w:type="dxa"/>
            <w:vAlign w:val="center"/>
          </w:tcPr>
          <w:p>
            <w:pPr>
              <w:pStyle w:val="24"/>
            </w:pPr>
            <w:r>
              <w:t>第二次</w:t>
            </w:r>
          </w:p>
        </w:tc>
        <w:tc>
          <w:tcPr>
            <w:tcW w:w="1186" w:type="dxa"/>
            <w:vAlign w:val="center"/>
          </w:tcPr>
          <w:p>
            <w:pPr>
              <w:pStyle w:val="24"/>
              <w:rPr>
                <w:rFonts w:hint="default" w:eastAsia="宋体"/>
                <w:lang w:val="en-US" w:eastAsia="zh-CN"/>
              </w:rPr>
            </w:pPr>
            <w:r>
              <w:rPr>
                <w:rFonts w:hint="eastAsia"/>
                <w:lang w:val="en-US" w:eastAsia="zh-CN"/>
              </w:rPr>
              <w:t>6142</w:t>
            </w:r>
          </w:p>
        </w:tc>
        <w:tc>
          <w:tcPr>
            <w:tcW w:w="1434" w:type="dxa"/>
            <w:vAlign w:val="center"/>
          </w:tcPr>
          <w:p>
            <w:pPr>
              <w:pStyle w:val="24"/>
              <w:rPr>
                <w:rFonts w:hint="default" w:eastAsia="宋体"/>
                <w:lang w:val="en-US" w:eastAsia="zh-CN"/>
              </w:rPr>
            </w:pPr>
            <w:r>
              <w:rPr>
                <w:rFonts w:hint="eastAsia"/>
                <w:lang w:val="en-US" w:eastAsia="zh-CN"/>
              </w:rPr>
              <w:t>0.064</w:t>
            </w:r>
          </w:p>
        </w:tc>
        <w:tc>
          <w:tcPr>
            <w:tcW w:w="1434" w:type="dxa"/>
            <w:vAlign w:val="center"/>
          </w:tcPr>
          <w:p>
            <w:pPr>
              <w:pStyle w:val="24"/>
            </w:pPr>
            <w:r>
              <w:rPr>
                <w:rFonts w:hint="eastAsia" w:ascii="Times New Roman" w:hAnsi="Times New Roman" w:eastAsia="宋体" w:cs="Times New Roman"/>
                <w:lang w:val="en-US" w:eastAsia="zh-CN"/>
              </w:rPr>
              <w:t>3.91×10</w:t>
            </w:r>
            <w:r>
              <w:rPr>
                <w:rFonts w:hint="eastAsia" w:ascii="Times New Roman" w:hAnsi="Times New Roman" w:eastAsia="宋体" w:cs="Times New Roman"/>
                <w:vertAlign w:val="superscript"/>
                <w:lang w:val="en-US" w:eastAsia="zh-CN"/>
              </w:rPr>
              <w:t>-4</w:t>
            </w:r>
          </w:p>
        </w:tc>
        <w:tc>
          <w:tcPr>
            <w:tcW w:w="1434" w:type="dxa"/>
            <w:vAlign w:val="center"/>
          </w:tcPr>
          <w:p>
            <w:pPr>
              <w:pStyle w:val="24"/>
              <w:rPr>
                <w:rFonts w:hint="default" w:eastAsia="宋体"/>
                <w:lang w:val="en-US" w:eastAsia="zh-CN"/>
              </w:rPr>
            </w:pPr>
            <w:r>
              <w:rPr>
                <w:rFonts w:hint="eastAsia"/>
                <w:lang w:val="en-US" w:eastAsia="zh-CN"/>
              </w:rPr>
              <w:t>1.96</w:t>
            </w:r>
          </w:p>
        </w:tc>
        <w:tc>
          <w:tcPr>
            <w:tcW w:w="1434" w:type="dxa"/>
            <w:vAlign w:val="center"/>
          </w:tcPr>
          <w:p>
            <w:pPr>
              <w:pStyle w:val="24"/>
            </w:pPr>
            <w:r>
              <w:rPr>
                <w:rFonts w:hint="eastAsia" w:ascii="Times New Roman" w:hAnsi="Times New Roman" w:eastAsia="宋体" w:cs="Times New Roman"/>
                <w:kern w:val="0"/>
                <w:sz w:val="18"/>
                <w:szCs w:val="18"/>
                <w:highlight w:val="none"/>
                <w:lang w:val="en-US" w:eastAsia="zh-CN"/>
              </w:rPr>
              <w:t>0.012</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13.4</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0.082</w:t>
            </w:r>
          </w:p>
        </w:tc>
        <w:tc>
          <w:tcPr>
            <w:tcW w:w="1434" w:type="dxa"/>
            <w:tcBorders>
              <w:right w:val="nil"/>
            </w:tcBorders>
            <w:vAlign w:val="center"/>
          </w:tcPr>
          <w:p>
            <w:pPr>
              <w:pStyle w:val="24"/>
              <w:rPr>
                <w:rFonts w:hint="default" w:eastAsia="宋体"/>
                <w:lang w:val="en-US" w:eastAsia="zh-CN"/>
              </w:rPr>
            </w:pPr>
            <w:r>
              <w:rPr>
                <w:rFonts w:hint="eastAsia"/>
                <w:lang w:val="en-US" w:eastAsia="zh-CN"/>
              </w:rPr>
              <w:t>1318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continue"/>
            <w:tcBorders>
              <w:left w:val="nil"/>
            </w:tcBorders>
            <w:vAlign w:val="center"/>
          </w:tcPr>
          <w:p>
            <w:pPr>
              <w:pStyle w:val="24"/>
            </w:pPr>
          </w:p>
        </w:tc>
        <w:tc>
          <w:tcPr>
            <w:tcW w:w="1059" w:type="dxa"/>
            <w:vAlign w:val="center"/>
          </w:tcPr>
          <w:p>
            <w:pPr>
              <w:pStyle w:val="24"/>
            </w:pPr>
            <w:r>
              <w:t>第三次</w:t>
            </w:r>
          </w:p>
        </w:tc>
        <w:tc>
          <w:tcPr>
            <w:tcW w:w="1186" w:type="dxa"/>
            <w:vAlign w:val="center"/>
          </w:tcPr>
          <w:p>
            <w:pPr>
              <w:pStyle w:val="24"/>
              <w:rPr>
                <w:rFonts w:hint="default" w:eastAsia="宋体"/>
                <w:lang w:val="en-US" w:eastAsia="zh-CN"/>
              </w:rPr>
            </w:pPr>
            <w:r>
              <w:rPr>
                <w:rFonts w:hint="eastAsia"/>
                <w:lang w:val="en-US" w:eastAsia="zh-CN"/>
              </w:rPr>
              <w:t>5903</w:t>
            </w:r>
          </w:p>
        </w:tc>
        <w:tc>
          <w:tcPr>
            <w:tcW w:w="1434" w:type="dxa"/>
            <w:vAlign w:val="center"/>
          </w:tcPr>
          <w:p>
            <w:pPr>
              <w:pStyle w:val="24"/>
              <w:rPr>
                <w:rFonts w:hint="default" w:eastAsia="宋体"/>
                <w:lang w:val="en-US" w:eastAsia="zh-CN"/>
              </w:rPr>
            </w:pPr>
            <w:r>
              <w:rPr>
                <w:rFonts w:hint="eastAsia"/>
                <w:lang w:val="en-US" w:eastAsia="zh-CN"/>
              </w:rPr>
              <w:t>0.050</w:t>
            </w:r>
          </w:p>
        </w:tc>
        <w:tc>
          <w:tcPr>
            <w:tcW w:w="1434" w:type="dxa"/>
            <w:vAlign w:val="center"/>
          </w:tcPr>
          <w:p>
            <w:pPr>
              <w:pStyle w:val="24"/>
            </w:pPr>
            <w:r>
              <w:rPr>
                <w:rFonts w:hint="eastAsia" w:ascii="Times New Roman" w:hAnsi="Times New Roman" w:eastAsia="宋体" w:cs="Times New Roman"/>
                <w:lang w:val="en-US" w:eastAsia="zh-CN"/>
              </w:rPr>
              <w:t>2.97×10</w:t>
            </w:r>
            <w:r>
              <w:rPr>
                <w:rFonts w:hint="eastAsia" w:ascii="Times New Roman" w:hAnsi="Times New Roman" w:eastAsia="宋体" w:cs="Times New Roman"/>
                <w:vertAlign w:val="superscript"/>
                <w:lang w:val="en-US" w:eastAsia="zh-CN"/>
              </w:rPr>
              <w:t>-4</w:t>
            </w:r>
          </w:p>
        </w:tc>
        <w:tc>
          <w:tcPr>
            <w:tcW w:w="1434" w:type="dxa"/>
            <w:vAlign w:val="center"/>
          </w:tcPr>
          <w:p>
            <w:pPr>
              <w:pStyle w:val="24"/>
              <w:rPr>
                <w:rFonts w:hint="default" w:eastAsia="宋体"/>
                <w:lang w:val="en-US" w:eastAsia="zh-CN"/>
              </w:rPr>
            </w:pPr>
            <w:r>
              <w:rPr>
                <w:rFonts w:hint="eastAsia"/>
                <w:lang w:val="en-US" w:eastAsia="zh-CN"/>
              </w:rPr>
              <w:t>1.12</w:t>
            </w:r>
          </w:p>
        </w:tc>
        <w:tc>
          <w:tcPr>
            <w:tcW w:w="1434" w:type="dxa"/>
            <w:vAlign w:val="center"/>
          </w:tcPr>
          <w:p>
            <w:pPr>
              <w:pStyle w:val="24"/>
            </w:pPr>
            <w:r>
              <w:rPr>
                <w:rFonts w:hint="eastAsia" w:ascii="Times New Roman" w:hAnsi="Times New Roman" w:eastAsia="宋体" w:cs="Times New Roman"/>
                <w:kern w:val="0"/>
                <w:sz w:val="18"/>
                <w:szCs w:val="18"/>
                <w:highlight w:val="none"/>
                <w:lang w:val="en-US" w:eastAsia="zh-CN"/>
              </w:rPr>
              <w:t>6.62×10</w:t>
            </w:r>
            <w:r>
              <w:rPr>
                <w:rFonts w:hint="eastAsia" w:ascii="Times New Roman" w:hAnsi="Times New Roman" w:eastAsia="宋体" w:cs="Times New Roman"/>
                <w:kern w:val="0"/>
                <w:sz w:val="18"/>
                <w:szCs w:val="18"/>
                <w:highlight w:val="none"/>
                <w:vertAlign w:val="superscript"/>
                <w:lang w:val="en-US" w:eastAsia="zh-CN"/>
              </w:rPr>
              <w:t>-3</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12.9</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0.077</w:t>
            </w:r>
          </w:p>
        </w:tc>
        <w:tc>
          <w:tcPr>
            <w:tcW w:w="1434" w:type="dxa"/>
            <w:tcBorders>
              <w:right w:val="nil"/>
            </w:tcBorders>
            <w:vAlign w:val="center"/>
          </w:tcPr>
          <w:p>
            <w:pPr>
              <w:pStyle w:val="24"/>
              <w:rPr>
                <w:rFonts w:hint="default" w:eastAsia="宋体"/>
                <w:lang w:val="en-US" w:eastAsia="zh-CN"/>
              </w:rPr>
            </w:pPr>
            <w:r>
              <w:rPr>
                <w:rFonts w:hint="eastAsia"/>
                <w:lang w:val="en-US" w:eastAsia="zh-CN"/>
              </w:rPr>
              <w:t>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1007" w:type="dxa"/>
            <w:vMerge w:val="continue"/>
            <w:tcBorders>
              <w:left w:val="nil"/>
            </w:tcBorders>
            <w:vAlign w:val="center"/>
          </w:tcPr>
          <w:p>
            <w:pPr>
              <w:pStyle w:val="24"/>
            </w:pPr>
          </w:p>
        </w:tc>
        <w:tc>
          <w:tcPr>
            <w:tcW w:w="1059" w:type="dxa"/>
            <w:vAlign w:val="center"/>
          </w:tcPr>
          <w:p>
            <w:pPr>
              <w:pStyle w:val="24"/>
            </w:pPr>
            <w:r>
              <w:rPr>
                <w:rFonts w:hint="eastAsia"/>
                <w:lang w:val="en-US" w:eastAsia="zh-CN"/>
              </w:rPr>
              <w:t>最大值</w:t>
            </w:r>
          </w:p>
        </w:tc>
        <w:tc>
          <w:tcPr>
            <w:tcW w:w="1186" w:type="dxa"/>
            <w:vAlign w:val="center"/>
          </w:tcPr>
          <w:p>
            <w:pPr>
              <w:pStyle w:val="24"/>
            </w:pPr>
            <w:r>
              <w:t>/</w:t>
            </w:r>
          </w:p>
        </w:tc>
        <w:tc>
          <w:tcPr>
            <w:tcW w:w="1434" w:type="dxa"/>
            <w:vAlign w:val="center"/>
          </w:tcPr>
          <w:p>
            <w:pPr>
              <w:pStyle w:val="24"/>
            </w:pPr>
            <w:r>
              <w:rPr>
                <w:rFonts w:hint="eastAsia"/>
              </w:rPr>
              <w:t>/</w:t>
            </w:r>
          </w:p>
        </w:tc>
        <w:tc>
          <w:tcPr>
            <w:tcW w:w="1434" w:type="dxa"/>
            <w:vAlign w:val="center"/>
          </w:tcPr>
          <w:p>
            <w:pPr>
              <w:pStyle w:val="24"/>
            </w:pPr>
            <w:r>
              <w:rPr>
                <w:rFonts w:hint="eastAsia" w:cs="Times New Roman"/>
                <w:lang w:val="en-US" w:eastAsia="zh-CN"/>
              </w:rPr>
              <w:t>4.54</w:t>
            </w:r>
            <w:r>
              <w:rPr>
                <w:rFonts w:hint="eastAsia" w:ascii="Times New Roman" w:hAnsi="Times New Roman" w:eastAsia="宋体" w:cs="Times New Roman"/>
                <w:lang w:val="en-US" w:eastAsia="zh-CN"/>
              </w:rPr>
              <w:t>×10</w:t>
            </w:r>
            <w:r>
              <w:rPr>
                <w:rFonts w:hint="eastAsia" w:ascii="Times New Roman" w:hAnsi="Times New Roman" w:eastAsia="宋体" w:cs="Times New Roman"/>
                <w:vertAlign w:val="superscript"/>
                <w:lang w:val="en-US" w:eastAsia="zh-CN"/>
              </w:rPr>
              <w:t>-4</w:t>
            </w:r>
          </w:p>
        </w:tc>
        <w:tc>
          <w:tcPr>
            <w:tcW w:w="1434" w:type="dxa"/>
            <w:vAlign w:val="center"/>
          </w:tcPr>
          <w:p>
            <w:pPr>
              <w:pStyle w:val="24"/>
            </w:pPr>
            <w:r>
              <w:rPr>
                <w:rFonts w:hint="eastAsia"/>
              </w:rPr>
              <w:t>/</w:t>
            </w:r>
          </w:p>
        </w:tc>
        <w:tc>
          <w:tcPr>
            <w:tcW w:w="1434" w:type="dxa"/>
            <w:vAlign w:val="center"/>
          </w:tcPr>
          <w:p>
            <w:pPr>
              <w:pStyle w:val="24"/>
              <w:rPr>
                <w:rFonts w:hint="default"/>
                <w:lang w:val="en-US"/>
              </w:rPr>
            </w:pPr>
            <w:r>
              <w:rPr>
                <w:rFonts w:hint="eastAsia" w:cs="Times New Roman"/>
                <w:kern w:val="0"/>
                <w:sz w:val="18"/>
                <w:szCs w:val="18"/>
                <w:highlight w:val="none"/>
                <w:lang w:val="en-US" w:eastAsia="zh-CN"/>
              </w:rPr>
              <w:t>0.012</w:t>
            </w:r>
          </w:p>
        </w:tc>
        <w:tc>
          <w:tcPr>
            <w:tcW w:w="1434" w:type="dxa"/>
            <w:tcBorders>
              <w:right w:val="single" w:color="000000" w:sz="4" w:space="0"/>
            </w:tcBorders>
            <w:vAlign w:val="center"/>
          </w:tcPr>
          <w:p>
            <w:pPr>
              <w:pStyle w:val="24"/>
              <w:rPr>
                <w:rFonts w:hint="default" w:eastAsia="宋体"/>
                <w:lang w:val="en-US" w:eastAsia="zh-CN"/>
              </w:rPr>
            </w:pPr>
            <w:r>
              <w:rPr>
                <w:rFonts w:hint="eastAsia"/>
                <w:lang w:val="en-US" w:eastAsia="zh-CN"/>
              </w:rPr>
              <w:t>13.4</w:t>
            </w:r>
          </w:p>
        </w:tc>
        <w:tc>
          <w:tcPr>
            <w:tcW w:w="1434" w:type="dxa"/>
            <w:tcBorders>
              <w:left w:val="single" w:color="000000" w:sz="4" w:space="0"/>
            </w:tcBorders>
            <w:vAlign w:val="center"/>
          </w:tcPr>
          <w:p>
            <w:pPr>
              <w:pStyle w:val="24"/>
              <w:rPr>
                <w:rFonts w:hint="default" w:eastAsia="宋体"/>
                <w:lang w:val="en-US" w:eastAsia="zh-CN"/>
              </w:rPr>
            </w:pPr>
            <w:r>
              <w:rPr>
                <w:rFonts w:hint="eastAsia"/>
                <w:lang w:val="en-US" w:eastAsia="zh-CN"/>
              </w:rPr>
              <w:t>0.082</w:t>
            </w:r>
          </w:p>
        </w:tc>
        <w:tc>
          <w:tcPr>
            <w:tcW w:w="1434" w:type="dxa"/>
            <w:tcBorders>
              <w:right w:val="nil"/>
            </w:tcBorders>
            <w:vAlign w:val="center"/>
          </w:tcPr>
          <w:p>
            <w:pPr>
              <w:pStyle w:val="24"/>
              <w:rPr>
                <w:rFonts w:hint="default" w:eastAsia="宋体"/>
                <w:lang w:val="en-US" w:eastAsia="zh-CN"/>
              </w:rPr>
            </w:pPr>
            <w:r>
              <w:rPr>
                <w:rFonts w:hint="eastAsia"/>
                <w:lang w:val="en-US" w:eastAsia="zh-CN"/>
              </w:rPr>
              <w:t>1318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2066" w:type="dxa"/>
            <w:gridSpan w:val="2"/>
            <w:tcBorders>
              <w:left w:val="nil"/>
            </w:tcBorders>
            <w:vAlign w:val="center"/>
          </w:tcPr>
          <w:p>
            <w:pPr>
              <w:pStyle w:val="24"/>
            </w:pPr>
            <w:r>
              <w:t>验收标准</w:t>
            </w:r>
          </w:p>
        </w:tc>
        <w:tc>
          <w:tcPr>
            <w:tcW w:w="1186" w:type="dxa"/>
            <w:vAlign w:val="center"/>
          </w:tcPr>
          <w:p>
            <w:pPr>
              <w:pStyle w:val="24"/>
            </w:pPr>
            <w:r>
              <w:t>/</w:t>
            </w:r>
          </w:p>
        </w:tc>
        <w:tc>
          <w:tcPr>
            <w:tcW w:w="1434" w:type="dxa"/>
            <w:vAlign w:val="center"/>
          </w:tcPr>
          <w:p>
            <w:pPr>
              <w:pStyle w:val="24"/>
            </w:pPr>
            <w:r>
              <w:t>/</w:t>
            </w:r>
          </w:p>
        </w:tc>
        <w:tc>
          <w:tcPr>
            <w:tcW w:w="1434" w:type="dxa"/>
            <w:vAlign w:val="center"/>
          </w:tcPr>
          <w:p>
            <w:pPr>
              <w:pStyle w:val="24"/>
            </w:pPr>
            <w:r>
              <w:t>0.33</w:t>
            </w:r>
          </w:p>
        </w:tc>
        <w:tc>
          <w:tcPr>
            <w:tcW w:w="1434" w:type="dxa"/>
            <w:vAlign w:val="center"/>
          </w:tcPr>
          <w:p>
            <w:pPr>
              <w:pStyle w:val="24"/>
            </w:pPr>
            <w:r>
              <w:t>/</w:t>
            </w:r>
          </w:p>
        </w:tc>
        <w:tc>
          <w:tcPr>
            <w:tcW w:w="1434" w:type="dxa"/>
            <w:vAlign w:val="center"/>
          </w:tcPr>
          <w:p>
            <w:pPr>
              <w:pStyle w:val="24"/>
            </w:pPr>
            <w:r>
              <w:t>4.9</w:t>
            </w:r>
          </w:p>
        </w:tc>
        <w:tc>
          <w:tcPr>
            <w:tcW w:w="1434" w:type="dxa"/>
            <w:tcBorders>
              <w:right w:val="single" w:color="000000" w:sz="4" w:space="0"/>
            </w:tcBorders>
            <w:vAlign w:val="center"/>
          </w:tcPr>
          <w:p>
            <w:pPr>
              <w:pStyle w:val="24"/>
            </w:pPr>
            <w:r>
              <w:t>120</w:t>
            </w:r>
          </w:p>
        </w:tc>
        <w:tc>
          <w:tcPr>
            <w:tcW w:w="1434" w:type="dxa"/>
            <w:tcBorders>
              <w:left w:val="single" w:color="000000" w:sz="4" w:space="0"/>
            </w:tcBorders>
            <w:vAlign w:val="center"/>
          </w:tcPr>
          <w:p>
            <w:pPr>
              <w:pStyle w:val="24"/>
            </w:pPr>
            <w:r>
              <w:t>/</w:t>
            </w:r>
          </w:p>
        </w:tc>
        <w:tc>
          <w:tcPr>
            <w:tcW w:w="1434" w:type="dxa"/>
            <w:tcBorders>
              <w:right w:val="nil"/>
            </w:tcBorders>
            <w:vAlign w:val="center"/>
          </w:tcPr>
          <w:p>
            <w:pPr>
              <w:pStyle w:val="24"/>
            </w:pPr>
            <w: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454" w:hRule="atLeast"/>
          <w:jc w:val="center"/>
        </w:trPr>
        <w:tc>
          <w:tcPr>
            <w:tcW w:w="2066" w:type="dxa"/>
            <w:gridSpan w:val="2"/>
            <w:tcBorders>
              <w:left w:val="nil"/>
            </w:tcBorders>
            <w:vAlign w:val="center"/>
          </w:tcPr>
          <w:p>
            <w:pPr>
              <w:pStyle w:val="24"/>
            </w:pPr>
            <w:r>
              <w:t>达标情况</w:t>
            </w:r>
          </w:p>
        </w:tc>
        <w:tc>
          <w:tcPr>
            <w:tcW w:w="1186" w:type="dxa"/>
            <w:vAlign w:val="center"/>
          </w:tcPr>
          <w:p>
            <w:pPr>
              <w:pStyle w:val="24"/>
            </w:pPr>
            <w:r>
              <w:t>/</w:t>
            </w:r>
          </w:p>
        </w:tc>
        <w:tc>
          <w:tcPr>
            <w:tcW w:w="1434" w:type="dxa"/>
            <w:vAlign w:val="center"/>
          </w:tcPr>
          <w:p>
            <w:pPr>
              <w:pStyle w:val="24"/>
            </w:pPr>
            <w:r>
              <w:t>/</w:t>
            </w:r>
          </w:p>
        </w:tc>
        <w:tc>
          <w:tcPr>
            <w:tcW w:w="1434" w:type="dxa"/>
            <w:vAlign w:val="center"/>
          </w:tcPr>
          <w:p>
            <w:pPr>
              <w:pStyle w:val="24"/>
            </w:pPr>
            <w:r>
              <w:t>达标</w:t>
            </w:r>
          </w:p>
        </w:tc>
        <w:tc>
          <w:tcPr>
            <w:tcW w:w="1434" w:type="dxa"/>
            <w:vAlign w:val="center"/>
          </w:tcPr>
          <w:p>
            <w:pPr>
              <w:pStyle w:val="24"/>
            </w:pPr>
            <w:r>
              <w:t>/</w:t>
            </w:r>
          </w:p>
        </w:tc>
        <w:tc>
          <w:tcPr>
            <w:tcW w:w="1434" w:type="dxa"/>
            <w:vAlign w:val="center"/>
          </w:tcPr>
          <w:p>
            <w:pPr>
              <w:pStyle w:val="24"/>
            </w:pPr>
            <w:r>
              <w:t>达标</w:t>
            </w:r>
          </w:p>
        </w:tc>
        <w:tc>
          <w:tcPr>
            <w:tcW w:w="1434" w:type="dxa"/>
            <w:tcBorders>
              <w:right w:val="single" w:color="000000" w:sz="4" w:space="0"/>
            </w:tcBorders>
            <w:vAlign w:val="center"/>
          </w:tcPr>
          <w:p>
            <w:pPr>
              <w:pStyle w:val="24"/>
            </w:pPr>
            <w:r>
              <w:t>达标</w:t>
            </w:r>
          </w:p>
        </w:tc>
        <w:tc>
          <w:tcPr>
            <w:tcW w:w="1434" w:type="dxa"/>
            <w:tcBorders>
              <w:left w:val="single" w:color="000000" w:sz="4" w:space="0"/>
            </w:tcBorders>
            <w:vAlign w:val="center"/>
          </w:tcPr>
          <w:p>
            <w:pPr>
              <w:pStyle w:val="24"/>
            </w:pPr>
            <w:r>
              <w:t>/</w:t>
            </w:r>
          </w:p>
        </w:tc>
        <w:tc>
          <w:tcPr>
            <w:tcW w:w="1434" w:type="dxa"/>
            <w:tcBorders>
              <w:right w:val="nil"/>
            </w:tcBorders>
            <w:vAlign w:val="center"/>
          </w:tcPr>
          <w:p>
            <w:pPr>
              <w:pStyle w:val="24"/>
            </w:pPr>
            <w:r>
              <w:t>达标</w:t>
            </w:r>
          </w:p>
        </w:tc>
      </w:tr>
    </w:tbl>
    <w:p>
      <w:pPr>
        <w:pStyle w:val="19"/>
        <w:spacing w:before="156" w:beforeLines="50"/>
        <w:ind w:left="0" w:leftChars="0" w:firstLine="0" w:firstLineChars="0"/>
        <w:rPr>
          <w:rFonts w:hint="eastAsia" w:eastAsia="宋体"/>
          <w:lang w:eastAsia="zh-CN"/>
        </w:rPr>
        <w:sectPr>
          <w:pgSz w:w="16839" w:h="11907"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3"/>
      </w:pPr>
      <w:r>
        <w:t>表9.2.</w:t>
      </w:r>
      <w:r>
        <w:rPr>
          <w:rFonts w:hint="eastAsia"/>
        </w:rPr>
        <w:t>8</w:t>
      </w:r>
      <w:r>
        <w:t xml:space="preserve"> </w:t>
      </w:r>
      <w:r>
        <w:rPr>
          <w:rFonts w:hint="eastAsia"/>
          <w:lang w:eastAsia="zh-CN"/>
        </w:rPr>
        <w:t>库区</w:t>
      </w:r>
      <w:r>
        <w:t>厂界无组织排放硫化氢</w:t>
      </w:r>
      <w:r>
        <w:rPr>
          <w:rFonts w:hint="eastAsia"/>
        </w:rPr>
        <w:t>、</w:t>
      </w:r>
      <w:r>
        <w:t>氨监测结果一览表</w:t>
      </w:r>
    </w:p>
    <w:tbl>
      <w:tblPr>
        <w:tblStyle w:val="14"/>
        <w:tblW w:w="134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1066"/>
        <w:gridCol w:w="1429"/>
        <w:gridCol w:w="1429"/>
        <w:gridCol w:w="1429"/>
        <w:gridCol w:w="1292"/>
        <w:gridCol w:w="1133"/>
        <w:gridCol w:w="1450"/>
        <w:gridCol w:w="1450"/>
        <w:gridCol w:w="1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316" w:type="dxa"/>
            <w:vMerge w:val="restart"/>
            <w:tcBorders>
              <w:left w:val="nil"/>
            </w:tcBorders>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066" w:type="dxa"/>
            <w:vMerge w:val="restart"/>
            <w:vAlign w:val="center"/>
          </w:tcPr>
          <w:p>
            <w:pPr>
              <w:pStyle w:val="24"/>
              <w:tabs>
                <w:tab w:val="left" w:pos="0"/>
              </w:tabs>
              <w:rPr>
                <w:szCs w:val="20"/>
              </w:rPr>
            </w:pPr>
            <w:r>
              <w:rPr>
                <w:szCs w:val="20"/>
              </w:rPr>
              <w:t>日期</w:t>
            </w:r>
          </w:p>
        </w:tc>
        <w:tc>
          <w:tcPr>
            <w:tcW w:w="4287" w:type="dxa"/>
            <w:gridSpan w:val="3"/>
            <w:vAlign w:val="center"/>
          </w:tcPr>
          <w:p>
            <w:pPr>
              <w:pStyle w:val="24"/>
              <w:tabs>
                <w:tab w:val="left" w:pos="0"/>
              </w:tabs>
              <w:rPr>
                <w:szCs w:val="20"/>
              </w:rPr>
            </w:pPr>
            <w:r>
              <w:rPr>
                <w:szCs w:val="20"/>
              </w:rPr>
              <w:t>硫化氢小时浓度值mg/m</w:t>
            </w:r>
            <w:r>
              <w:rPr>
                <w:szCs w:val="20"/>
                <w:vertAlign w:val="superscript"/>
              </w:rPr>
              <w:t>3</w:t>
            </w:r>
          </w:p>
        </w:tc>
        <w:tc>
          <w:tcPr>
            <w:tcW w:w="1292" w:type="dxa"/>
            <w:vMerge w:val="restart"/>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133" w:type="dxa"/>
            <w:vMerge w:val="restart"/>
            <w:vAlign w:val="center"/>
          </w:tcPr>
          <w:p>
            <w:pPr>
              <w:pStyle w:val="24"/>
              <w:tabs>
                <w:tab w:val="left" w:pos="0"/>
              </w:tabs>
              <w:rPr>
                <w:szCs w:val="20"/>
              </w:rPr>
            </w:pPr>
            <w:r>
              <w:rPr>
                <w:szCs w:val="20"/>
              </w:rPr>
              <w:t>日期</w:t>
            </w:r>
          </w:p>
        </w:tc>
        <w:tc>
          <w:tcPr>
            <w:tcW w:w="4356" w:type="dxa"/>
            <w:gridSpan w:val="3"/>
            <w:tcBorders>
              <w:right w:val="nil"/>
            </w:tcBorders>
            <w:vAlign w:val="center"/>
          </w:tcPr>
          <w:p>
            <w:pPr>
              <w:pStyle w:val="24"/>
              <w:tabs>
                <w:tab w:val="left" w:pos="0"/>
              </w:tabs>
              <w:rPr>
                <w:szCs w:val="20"/>
              </w:rPr>
            </w:pPr>
            <w:r>
              <w:rPr>
                <w:szCs w:val="20"/>
              </w:rPr>
              <w:t>氨小时浓度值mg/m</w:t>
            </w:r>
            <w:r>
              <w:rPr>
                <w:szCs w:val="2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316" w:type="dxa"/>
            <w:vMerge w:val="continue"/>
            <w:tcBorders>
              <w:left w:val="nil"/>
            </w:tcBorders>
            <w:vAlign w:val="center"/>
          </w:tcPr>
          <w:p>
            <w:pPr>
              <w:pStyle w:val="24"/>
              <w:tabs>
                <w:tab w:val="left" w:pos="0"/>
              </w:tabs>
              <w:rPr>
                <w:szCs w:val="20"/>
              </w:rPr>
            </w:pPr>
          </w:p>
        </w:tc>
        <w:tc>
          <w:tcPr>
            <w:tcW w:w="1066" w:type="dxa"/>
            <w:vMerge w:val="continue"/>
            <w:vAlign w:val="center"/>
          </w:tcPr>
          <w:p>
            <w:pPr>
              <w:pStyle w:val="24"/>
              <w:tabs>
                <w:tab w:val="left" w:pos="0"/>
              </w:tabs>
              <w:rPr>
                <w:szCs w:val="20"/>
              </w:rPr>
            </w:pPr>
          </w:p>
        </w:tc>
        <w:tc>
          <w:tcPr>
            <w:tcW w:w="1429" w:type="dxa"/>
            <w:vAlign w:val="center"/>
          </w:tcPr>
          <w:p>
            <w:pPr>
              <w:pStyle w:val="24"/>
              <w:tabs>
                <w:tab w:val="left" w:pos="0"/>
              </w:tabs>
              <w:rPr>
                <w:szCs w:val="20"/>
              </w:rPr>
            </w:pPr>
            <w:r>
              <w:rPr>
                <w:szCs w:val="20"/>
              </w:rPr>
              <w:t>第一次</w:t>
            </w:r>
          </w:p>
        </w:tc>
        <w:tc>
          <w:tcPr>
            <w:tcW w:w="1429" w:type="dxa"/>
            <w:vAlign w:val="center"/>
          </w:tcPr>
          <w:p>
            <w:pPr>
              <w:pStyle w:val="24"/>
              <w:tabs>
                <w:tab w:val="left" w:pos="0"/>
              </w:tabs>
              <w:rPr>
                <w:szCs w:val="20"/>
              </w:rPr>
            </w:pPr>
            <w:r>
              <w:rPr>
                <w:szCs w:val="20"/>
              </w:rPr>
              <w:t>第二次</w:t>
            </w:r>
          </w:p>
        </w:tc>
        <w:tc>
          <w:tcPr>
            <w:tcW w:w="1429" w:type="dxa"/>
            <w:vAlign w:val="center"/>
          </w:tcPr>
          <w:p>
            <w:pPr>
              <w:pStyle w:val="24"/>
              <w:tabs>
                <w:tab w:val="left" w:pos="0"/>
              </w:tabs>
              <w:rPr>
                <w:szCs w:val="20"/>
              </w:rPr>
            </w:pPr>
            <w:r>
              <w:rPr>
                <w:szCs w:val="20"/>
              </w:rPr>
              <w:t>第三次</w:t>
            </w:r>
          </w:p>
        </w:tc>
        <w:tc>
          <w:tcPr>
            <w:tcW w:w="1292" w:type="dxa"/>
            <w:vMerge w:val="continue"/>
            <w:vAlign w:val="center"/>
          </w:tcPr>
          <w:p>
            <w:pPr>
              <w:pStyle w:val="24"/>
              <w:tabs>
                <w:tab w:val="left" w:pos="0"/>
              </w:tabs>
              <w:rPr>
                <w:szCs w:val="20"/>
              </w:rPr>
            </w:pPr>
          </w:p>
        </w:tc>
        <w:tc>
          <w:tcPr>
            <w:tcW w:w="1133" w:type="dxa"/>
            <w:vMerge w:val="continue"/>
            <w:vAlign w:val="center"/>
          </w:tcPr>
          <w:p>
            <w:pPr>
              <w:pStyle w:val="24"/>
              <w:tabs>
                <w:tab w:val="left" w:pos="0"/>
              </w:tabs>
              <w:rPr>
                <w:szCs w:val="20"/>
              </w:rPr>
            </w:pPr>
          </w:p>
        </w:tc>
        <w:tc>
          <w:tcPr>
            <w:tcW w:w="1450" w:type="dxa"/>
            <w:vAlign w:val="center"/>
          </w:tcPr>
          <w:p>
            <w:pPr>
              <w:pStyle w:val="24"/>
              <w:tabs>
                <w:tab w:val="left" w:pos="0"/>
              </w:tabs>
              <w:rPr>
                <w:szCs w:val="20"/>
              </w:rPr>
            </w:pPr>
            <w:r>
              <w:rPr>
                <w:szCs w:val="20"/>
              </w:rPr>
              <w:t>第一次</w:t>
            </w:r>
          </w:p>
        </w:tc>
        <w:tc>
          <w:tcPr>
            <w:tcW w:w="1450" w:type="dxa"/>
            <w:vAlign w:val="center"/>
          </w:tcPr>
          <w:p>
            <w:pPr>
              <w:pStyle w:val="24"/>
              <w:tabs>
                <w:tab w:val="left" w:pos="0"/>
              </w:tabs>
              <w:rPr>
                <w:szCs w:val="20"/>
              </w:rPr>
            </w:pPr>
            <w:r>
              <w:rPr>
                <w:szCs w:val="20"/>
              </w:rPr>
              <w:t>第二次</w:t>
            </w:r>
          </w:p>
        </w:tc>
        <w:tc>
          <w:tcPr>
            <w:tcW w:w="1456" w:type="dxa"/>
            <w:tcBorders>
              <w:right w:val="nil"/>
            </w:tcBorders>
            <w:vAlign w:val="center"/>
          </w:tcPr>
          <w:p>
            <w:pPr>
              <w:pStyle w:val="24"/>
              <w:tabs>
                <w:tab w:val="left" w:pos="0"/>
              </w:tabs>
              <w:rPr>
                <w:szCs w:val="20"/>
              </w:rPr>
            </w:pPr>
            <w:r>
              <w:rPr>
                <w:szCs w:val="20"/>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sz w:val="20"/>
                <w:szCs w:val="20"/>
              </w:rPr>
            </w:pPr>
            <w:r>
              <w:rPr>
                <w:rFonts w:ascii="Times New Roman" w:hAnsi="Times New Roman"/>
                <w:bCs/>
                <w:kern w:val="0"/>
                <w:sz w:val="20"/>
                <w:szCs w:val="20"/>
              </w:rPr>
              <w:t>厂界上风向</w:t>
            </w:r>
          </w:p>
        </w:tc>
        <w:tc>
          <w:tcPr>
            <w:tcW w:w="1066" w:type="dxa"/>
            <w:vAlign w:val="center"/>
          </w:tcPr>
          <w:p>
            <w:pPr>
              <w:pStyle w:val="24"/>
              <w:tabs>
                <w:tab w:val="left" w:pos="0"/>
              </w:tabs>
              <w:rPr>
                <w:rFonts w:hint="default" w:eastAsia="宋体"/>
                <w:szCs w:val="20"/>
                <w:lang w:val="en-US" w:eastAsia="zh-CN"/>
              </w:rPr>
            </w:pPr>
            <w:r>
              <w:rPr>
                <w:rFonts w:hint="eastAsia"/>
                <w:szCs w:val="20"/>
                <w:lang w:val="en-US" w:eastAsia="zh-CN"/>
              </w:rPr>
              <w:t>2023.3.23</w:t>
            </w:r>
          </w:p>
        </w:tc>
        <w:tc>
          <w:tcPr>
            <w:tcW w:w="1429" w:type="dxa"/>
            <w:vAlign w:val="center"/>
          </w:tcPr>
          <w:p>
            <w:pPr>
              <w:pStyle w:val="24"/>
              <w:bidi w:val="0"/>
              <w:jc w:val="center"/>
            </w:pPr>
            <w:r>
              <w:rPr>
                <w:rFonts w:hint="default"/>
                <w:lang w:val="en-US" w:eastAsia="zh-CN"/>
              </w:rPr>
              <w:t>&lt;0.001</w:t>
            </w:r>
          </w:p>
        </w:tc>
        <w:tc>
          <w:tcPr>
            <w:tcW w:w="1429" w:type="dxa"/>
            <w:vAlign w:val="center"/>
          </w:tcPr>
          <w:p>
            <w:pPr>
              <w:pStyle w:val="24"/>
              <w:bidi w:val="0"/>
              <w:jc w:val="center"/>
            </w:pPr>
            <w:r>
              <w:rPr>
                <w:rFonts w:hint="default"/>
                <w:lang w:val="en-US" w:eastAsia="zh-CN"/>
              </w:rPr>
              <w:t>&lt;0.001</w:t>
            </w:r>
          </w:p>
        </w:tc>
        <w:tc>
          <w:tcPr>
            <w:tcW w:w="1429" w:type="dxa"/>
            <w:vAlign w:val="center"/>
          </w:tcPr>
          <w:p>
            <w:pPr>
              <w:pStyle w:val="24"/>
              <w:bidi w:val="0"/>
              <w:jc w:val="center"/>
            </w:pPr>
            <w:r>
              <w:rPr>
                <w:rFonts w:hint="default"/>
                <w:lang w:val="en-US" w:eastAsia="zh-CN"/>
              </w:rPr>
              <w:t>&lt;0.001</w:t>
            </w:r>
          </w:p>
        </w:tc>
        <w:tc>
          <w:tcPr>
            <w:tcW w:w="1292" w:type="dxa"/>
            <w:vMerge w:val="restart"/>
            <w:vAlign w:val="center"/>
          </w:tcPr>
          <w:p>
            <w:pPr>
              <w:jc w:val="center"/>
              <w:rPr>
                <w:sz w:val="20"/>
                <w:szCs w:val="20"/>
              </w:rPr>
            </w:pPr>
            <w:r>
              <w:rPr>
                <w:rFonts w:ascii="Times New Roman" w:hAnsi="Times New Roman"/>
                <w:bCs/>
                <w:kern w:val="0"/>
                <w:sz w:val="20"/>
                <w:szCs w:val="20"/>
              </w:rPr>
              <w:t>厂界上风向</w:t>
            </w:r>
          </w:p>
        </w:tc>
        <w:tc>
          <w:tcPr>
            <w:tcW w:w="1133" w:type="dxa"/>
            <w:vAlign w:val="center"/>
          </w:tcPr>
          <w:p>
            <w:pPr>
              <w:pStyle w:val="24"/>
              <w:tabs>
                <w:tab w:val="left" w:pos="0"/>
              </w:tabs>
              <w:rPr>
                <w:szCs w:val="20"/>
              </w:rPr>
            </w:pPr>
            <w:r>
              <w:rPr>
                <w:rFonts w:hint="eastAsia"/>
                <w:szCs w:val="20"/>
                <w:lang w:val="en-US" w:eastAsia="zh-CN"/>
              </w:rPr>
              <w:t>2023.3.23</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0.03</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0.02</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66" w:type="dxa"/>
            <w:vAlign w:val="center"/>
          </w:tcPr>
          <w:p>
            <w:pPr>
              <w:pStyle w:val="24"/>
              <w:tabs>
                <w:tab w:val="left" w:pos="0"/>
              </w:tabs>
              <w:rPr>
                <w:rFonts w:hint="default" w:eastAsia="宋体"/>
                <w:szCs w:val="20"/>
                <w:lang w:val="en-US" w:eastAsia="zh-CN"/>
              </w:rPr>
            </w:pPr>
            <w:r>
              <w:rPr>
                <w:rFonts w:hint="eastAsia"/>
                <w:szCs w:val="20"/>
                <w:lang w:val="en-US" w:eastAsia="zh-CN"/>
              </w:rPr>
              <w:t>2023.3.24</w:t>
            </w:r>
          </w:p>
        </w:tc>
        <w:tc>
          <w:tcPr>
            <w:tcW w:w="1429" w:type="dxa"/>
            <w:vAlign w:val="center"/>
          </w:tcPr>
          <w:p>
            <w:pPr>
              <w:pStyle w:val="24"/>
              <w:bidi w:val="0"/>
              <w:jc w:val="center"/>
            </w:pPr>
            <w:r>
              <w:rPr>
                <w:rFonts w:hint="default"/>
                <w:lang w:val="en-US" w:eastAsia="zh-CN"/>
              </w:rPr>
              <w:t>&lt;0.001</w:t>
            </w:r>
          </w:p>
        </w:tc>
        <w:tc>
          <w:tcPr>
            <w:tcW w:w="1429" w:type="dxa"/>
            <w:vAlign w:val="center"/>
          </w:tcPr>
          <w:p>
            <w:pPr>
              <w:pStyle w:val="24"/>
              <w:bidi w:val="0"/>
              <w:jc w:val="center"/>
            </w:pPr>
            <w:r>
              <w:rPr>
                <w:rFonts w:hint="default"/>
                <w:lang w:val="en-US" w:eastAsia="zh-CN"/>
              </w:rPr>
              <w:t>0.001</w:t>
            </w:r>
          </w:p>
        </w:tc>
        <w:tc>
          <w:tcPr>
            <w:tcW w:w="1429" w:type="dxa"/>
            <w:vAlign w:val="center"/>
          </w:tcPr>
          <w:p>
            <w:pPr>
              <w:pStyle w:val="24"/>
              <w:bidi w:val="0"/>
              <w:jc w:val="center"/>
            </w:pPr>
            <w:r>
              <w:rPr>
                <w:rFonts w:hint="default"/>
                <w:lang w:val="en-US" w:eastAsia="zh-CN"/>
              </w:rPr>
              <w:t>&lt;0.001</w:t>
            </w:r>
          </w:p>
        </w:tc>
        <w:tc>
          <w:tcPr>
            <w:tcW w:w="1292" w:type="dxa"/>
            <w:vMerge w:val="continue"/>
            <w:vAlign w:val="center"/>
          </w:tcPr>
          <w:p>
            <w:pPr>
              <w:pStyle w:val="24"/>
              <w:tabs>
                <w:tab w:val="left" w:pos="0"/>
              </w:tabs>
              <w:rPr>
                <w:szCs w:val="20"/>
              </w:rPr>
            </w:pPr>
          </w:p>
        </w:tc>
        <w:tc>
          <w:tcPr>
            <w:tcW w:w="1133" w:type="dxa"/>
            <w:vAlign w:val="center"/>
          </w:tcPr>
          <w:p>
            <w:pPr>
              <w:pStyle w:val="24"/>
              <w:tabs>
                <w:tab w:val="left" w:pos="0"/>
              </w:tabs>
              <w:rPr>
                <w:szCs w:val="20"/>
              </w:rPr>
            </w:pPr>
            <w:r>
              <w:rPr>
                <w:rFonts w:hint="eastAsia"/>
                <w:szCs w:val="20"/>
                <w:lang w:val="en-US" w:eastAsia="zh-CN"/>
              </w:rPr>
              <w:t>2023.3.24</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0.02</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0.03</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厂界下风向1</w:t>
            </w:r>
            <w:r>
              <w:rPr>
                <w:rFonts w:hint="eastAsia" w:ascii="Times New Roman" w:hAnsi="Times New Roman"/>
                <w:bCs/>
                <w:kern w:val="0"/>
                <w:sz w:val="20"/>
                <w:szCs w:val="20"/>
                <w:lang w:val="en-US" w:eastAsia="zh-CN"/>
              </w:rPr>
              <w:t>#</w:t>
            </w:r>
          </w:p>
        </w:tc>
        <w:tc>
          <w:tcPr>
            <w:tcW w:w="1066" w:type="dxa"/>
            <w:vAlign w:val="center"/>
          </w:tcPr>
          <w:p>
            <w:pPr>
              <w:pStyle w:val="24"/>
              <w:tabs>
                <w:tab w:val="left" w:pos="0"/>
              </w:tabs>
              <w:rPr>
                <w:szCs w:val="20"/>
              </w:rPr>
            </w:pPr>
            <w:r>
              <w:rPr>
                <w:rFonts w:hint="eastAsia"/>
                <w:szCs w:val="20"/>
                <w:lang w:val="en-US" w:eastAsia="zh-CN"/>
              </w:rPr>
              <w:t>2023.3.23</w:t>
            </w:r>
          </w:p>
        </w:tc>
        <w:tc>
          <w:tcPr>
            <w:tcW w:w="1429" w:type="dxa"/>
            <w:vAlign w:val="center"/>
          </w:tcPr>
          <w:p>
            <w:pPr>
              <w:pStyle w:val="24"/>
              <w:bidi w:val="0"/>
              <w:jc w:val="center"/>
            </w:pPr>
            <w:r>
              <w:rPr>
                <w:rFonts w:hint="default"/>
                <w:lang w:val="en-US" w:eastAsia="zh-CN"/>
              </w:rPr>
              <w:t>&lt;0.001</w:t>
            </w:r>
          </w:p>
        </w:tc>
        <w:tc>
          <w:tcPr>
            <w:tcW w:w="1429" w:type="dxa"/>
            <w:vAlign w:val="center"/>
          </w:tcPr>
          <w:p>
            <w:pPr>
              <w:pStyle w:val="24"/>
              <w:bidi w:val="0"/>
              <w:jc w:val="center"/>
            </w:pPr>
            <w:r>
              <w:rPr>
                <w:rFonts w:hint="default"/>
                <w:lang w:val="en-US" w:eastAsia="zh-CN"/>
              </w:rPr>
              <w:t>0.001</w:t>
            </w:r>
          </w:p>
        </w:tc>
        <w:tc>
          <w:tcPr>
            <w:tcW w:w="1429" w:type="dxa"/>
            <w:vAlign w:val="center"/>
          </w:tcPr>
          <w:p>
            <w:pPr>
              <w:pStyle w:val="24"/>
              <w:bidi w:val="0"/>
              <w:jc w:val="center"/>
            </w:pPr>
            <w:r>
              <w:rPr>
                <w:rFonts w:hint="default"/>
                <w:lang w:val="en-US" w:eastAsia="zh-CN"/>
              </w:rPr>
              <w:t>0.001</w:t>
            </w:r>
          </w:p>
        </w:tc>
        <w:tc>
          <w:tcPr>
            <w:tcW w:w="1292"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厂界下风向1</w:t>
            </w:r>
            <w:r>
              <w:rPr>
                <w:rFonts w:hint="eastAsia" w:ascii="Times New Roman" w:hAnsi="Times New Roman"/>
                <w:bCs/>
                <w:kern w:val="0"/>
                <w:sz w:val="20"/>
                <w:szCs w:val="20"/>
                <w:lang w:val="en-US" w:eastAsia="zh-CN"/>
              </w:rPr>
              <w:t>#</w:t>
            </w:r>
          </w:p>
        </w:tc>
        <w:tc>
          <w:tcPr>
            <w:tcW w:w="1133" w:type="dxa"/>
            <w:vAlign w:val="center"/>
          </w:tcPr>
          <w:p>
            <w:pPr>
              <w:pStyle w:val="24"/>
              <w:tabs>
                <w:tab w:val="left" w:pos="0"/>
              </w:tabs>
              <w:rPr>
                <w:szCs w:val="20"/>
              </w:rPr>
            </w:pPr>
            <w:r>
              <w:rPr>
                <w:rFonts w:hint="eastAsia"/>
                <w:szCs w:val="20"/>
                <w:lang w:val="en-US" w:eastAsia="zh-CN"/>
              </w:rPr>
              <w:t>2023.3.23</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0.03</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0.04</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66" w:type="dxa"/>
            <w:vAlign w:val="center"/>
          </w:tcPr>
          <w:p>
            <w:pPr>
              <w:pStyle w:val="24"/>
              <w:tabs>
                <w:tab w:val="left" w:pos="0"/>
              </w:tabs>
              <w:rPr>
                <w:szCs w:val="20"/>
              </w:rPr>
            </w:pPr>
            <w:r>
              <w:rPr>
                <w:rFonts w:hint="eastAsia"/>
                <w:szCs w:val="20"/>
                <w:lang w:val="en-US" w:eastAsia="zh-CN"/>
              </w:rPr>
              <w:t>2023.3.24</w:t>
            </w:r>
          </w:p>
        </w:tc>
        <w:tc>
          <w:tcPr>
            <w:tcW w:w="1429" w:type="dxa"/>
            <w:vAlign w:val="center"/>
          </w:tcPr>
          <w:p>
            <w:pPr>
              <w:pStyle w:val="24"/>
              <w:bidi w:val="0"/>
              <w:jc w:val="center"/>
            </w:pPr>
            <w:r>
              <w:rPr>
                <w:rFonts w:hint="default"/>
                <w:lang w:val="en-US" w:eastAsia="zh-CN"/>
              </w:rPr>
              <w:t>&lt;0.001</w:t>
            </w:r>
          </w:p>
        </w:tc>
        <w:tc>
          <w:tcPr>
            <w:tcW w:w="1429" w:type="dxa"/>
            <w:vAlign w:val="center"/>
          </w:tcPr>
          <w:p>
            <w:pPr>
              <w:pStyle w:val="24"/>
              <w:bidi w:val="0"/>
              <w:jc w:val="center"/>
            </w:pPr>
            <w:r>
              <w:rPr>
                <w:rFonts w:hint="default"/>
                <w:lang w:val="en-US" w:eastAsia="zh-CN"/>
              </w:rPr>
              <w:t>&lt;0.001</w:t>
            </w:r>
          </w:p>
        </w:tc>
        <w:tc>
          <w:tcPr>
            <w:tcW w:w="1429" w:type="dxa"/>
            <w:vAlign w:val="center"/>
          </w:tcPr>
          <w:p>
            <w:pPr>
              <w:pStyle w:val="24"/>
              <w:bidi w:val="0"/>
              <w:jc w:val="center"/>
            </w:pPr>
            <w:r>
              <w:rPr>
                <w:rFonts w:hint="default"/>
                <w:lang w:val="en-US" w:eastAsia="zh-CN"/>
              </w:rPr>
              <w:t>0.001</w:t>
            </w:r>
          </w:p>
        </w:tc>
        <w:tc>
          <w:tcPr>
            <w:tcW w:w="1292" w:type="dxa"/>
            <w:vMerge w:val="continue"/>
            <w:vAlign w:val="center"/>
          </w:tcPr>
          <w:p>
            <w:pPr>
              <w:pStyle w:val="24"/>
              <w:tabs>
                <w:tab w:val="left" w:pos="0"/>
              </w:tabs>
              <w:rPr>
                <w:szCs w:val="20"/>
              </w:rPr>
            </w:pPr>
          </w:p>
        </w:tc>
        <w:tc>
          <w:tcPr>
            <w:tcW w:w="1133" w:type="dxa"/>
            <w:vAlign w:val="center"/>
          </w:tcPr>
          <w:p>
            <w:pPr>
              <w:pStyle w:val="24"/>
              <w:tabs>
                <w:tab w:val="left" w:pos="0"/>
              </w:tabs>
              <w:rPr>
                <w:szCs w:val="20"/>
              </w:rPr>
            </w:pPr>
            <w:r>
              <w:rPr>
                <w:rFonts w:hint="eastAsia"/>
                <w:szCs w:val="20"/>
                <w:lang w:val="en-US" w:eastAsia="zh-CN"/>
              </w:rPr>
              <w:t>2023.3.24</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0.04</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0.03</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厂界下风向2</w:t>
            </w:r>
            <w:r>
              <w:rPr>
                <w:rFonts w:hint="eastAsia" w:ascii="Times New Roman" w:hAnsi="Times New Roman"/>
                <w:bCs/>
                <w:kern w:val="0"/>
                <w:sz w:val="20"/>
                <w:szCs w:val="20"/>
                <w:lang w:val="en-US" w:eastAsia="zh-CN"/>
              </w:rPr>
              <w:t>#</w:t>
            </w:r>
          </w:p>
        </w:tc>
        <w:tc>
          <w:tcPr>
            <w:tcW w:w="1066" w:type="dxa"/>
            <w:vAlign w:val="center"/>
          </w:tcPr>
          <w:p>
            <w:pPr>
              <w:pStyle w:val="24"/>
              <w:tabs>
                <w:tab w:val="left" w:pos="0"/>
              </w:tabs>
              <w:rPr>
                <w:szCs w:val="20"/>
              </w:rPr>
            </w:pPr>
            <w:r>
              <w:rPr>
                <w:rFonts w:hint="eastAsia"/>
                <w:szCs w:val="20"/>
                <w:lang w:val="en-US" w:eastAsia="zh-CN"/>
              </w:rPr>
              <w:t>2023.3.23</w:t>
            </w:r>
          </w:p>
        </w:tc>
        <w:tc>
          <w:tcPr>
            <w:tcW w:w="1429" w:type="dxa"/>
            <w:vAlign w:val="center"/>
          </w:tcPr>
          <w:p>
            <w:pPr>
              <w:pStyle w:val="24"/>
              <w:bidi w:val="0"/>
              <w:jc w:val="center"/>
            </w:pPr>
            <w:r>
              <w:rPr>
                <w:rFonts w:hint="default"/>
                <w:lang w:val="en-US" w:eastAsia="zh-CN"/>
              </w:rPr>
              <w:t>0.002</w:t>
            </w:r>
          </w:p>
        </w:tc>
        <w:tc>
          <w:tcPr>
            <w:tcW w:w="1429" w:type="dxa"/>
            <w:vAlign w:val="center"/>
          </w:tcPr>
          <w:p>
            <w:pPr>
              <w:pStyle w:val="24"/>
              <w:bidi w:val="0"/>
              <w:jc w:val="center"/>
            </w:pPr>
            <w:r>
              <w:rPr>
                <w:rFonts w:hint="default"/>
                <w:lang w:val="en-US" w:eastAsia="zh-CN"/>
              </w:rPr>
              <w:t>0.002</w:t>
            </w:r>
          </w:p>
        </w:tc>
        <w:tc>
          <w:tcPr>
            <w:tcW w:w="1429" w:type="dxa"/>
            <w:vAlign w:val="center"/>
          </w:tcPr>
          <w:p>
            <w:pPr>
              <w:pStyle w:val="24"/>
              <w:bidi w:val="0"/>
              <w:jc w:val="center"/>
            </w:pPr>
            <w:r>
              <w:rPr>
                <w:rFonts w:hint="default"/>
                <w:lang w:val="en-US" w:eastAsia="zh-CN"/>
              </w:rPr>
              <w:t>0.001</w:t>
            </w:r>
          </w:p>
        </w:tc>
        <w:tc>
          <w:tcPr>
            <w:tcW w:w="1292"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厂界下风向2</w:t>
            </w:r>
            <w:r>
              <w:rPr>
                <w:rFonts w:hint="eastAsia" w:ascii="Times New Roman" w:hAnsi="Times New Roman"/>
                <w:bCs/>
                <w:kern w:val="0"/>
                <w:sz w:val="20"/>
                <w:szCs w:val="20"/>
                <w:lang w:val="en-US" w:eastAsia="zh-CN"/>
              </w:rPr>
              <w:t>#</w:t>
            </w:r>
          </w:p>
        </w:tc>
        <w:tc>
          <w:tcPr>
            <w:tcW w:w="1133" w:type="dxa"/>
            <w:vAlign w:val="center"/>
          </w:tcPr>
          <w:p>
            <w:pPr>
              <w:pStyle w:val="24"/>
              <w:tabs>
                <w:tab w:val="left" w:pos="0"/>
              </w:tabs>
              <w:rPr>
                <w:szCs w:val="20"/>
              </w:rPr>
            </w:pPr>
            <w:r>
              <w:rPr>
                <w:rFonts w:hint="eastAsia"/>
                <w:szCs w:val="20"/>
                <w:lang w:val="en-US" w:eastAsia="zh-CN"/>
              </w:rPr>
              <w:t>2023.3.23</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0.06</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66" w:type="dxa"/>
            <w:vAlign w:val="center"/>
          </w:tcPr>
          <w:p>
            <w:pPr>
              <w:pStyle w:val="24"/>
              <w:tabs>
                <w:tab w:val="left" w:pos="0"/>
              </w:tabs>
              <w:rPr>
                <w:szCs w:val="20"/>
              </w:rPr>
            </w:pPr>
            <w:r>
              <w:rPr>
                <w:rFonts w:hint="eastAsia"/>
                <w:szCs w:val="20"/>
                <w:lang w:val="en-US" w:eastAsia="zh-CN"/>
              </w:rPr>
              <w:t>2023.3.24</w:t>
            </w:r>
          </w:p>
        </w:tc>
        <w:tc>
          <w:tcPr>
            <w:tcW w:w="1429" w:type="dxa"/>
            <w:vAlign w:val="center"/>
          </w:tcPr>
          <w:p>
            <w:pPr>
              <w:pStyle w:val="24"/>
              <w:bidi w:val="0"/>
              <w:jc w:val="center"/>
            </w:pPr>
            <w:r>
              <w:rPr>
                <w:rFonts w:hint="default"/>
                <w:lang w:val="en-US" w:eastAsia="zh-CN"/>
              </w:rPr>
              <w:t>0.002</w:t>
            </w:r>
          </w:p>
        </w:tc>
        <w:tc>
          <w:tcPr>
            <w:tcW w:w="1429" w:type="dxa"/>
            <w:vAlign w:val="center"/>
          </w:tcPr>
          <w:p>
            <w:pPr>
              <w:pStyle w:val="24"/>
              <w:bidi w:val="0"/>
              <w:jc w:val="center"/>
            </w:pPr>
            <w:r>
              <w:rPr>
                <w:rFonts w:hint="default"/>
                <w:lang w:val="en-US" w:eastAsia="zh-CN"/>
              </w:rPr>
              <w:t>0.001</w:t>
            </w:r>
          </w:p>
        </w:tc>
        <w:tc>
          <w:tcPr>
            <w:tcW w:w="1429" w:type="dxa"/>
            <w:vAlign w:val="center"/>
          </w:tcPr>
          <w:p>
            <w:pPr>
              <w:pStyle w:val="24"/>
              <w:bidi w:val="0"/>
              <w:jc w:val="center"/>
            </w:pPr>
            <w:r>
              <w:rPr>
                <w:rFonts w:hint="default"/>
                <w:lang w:val="en-US" w:eastAsia="zh-CN"/>
              </w:rPr>
              <w:t>0.001</w:t>
            </w:r>
          </w:p>
        </w:tc>
        <w:tc>
          <w:tcPr>
            <w:tcW w:w="1292" w:type="dxa"/>
            <w:vMerge w:val="continue"/>
            <w:vAlign w:val="center"/>
          </w:tcPr>
          <w:p>
            <w:pPr>
              <w:pStyle w:val="24"/>
              <w:tabs>
                <w:tab w:val="left" w:pos="0"/>
              </w:tabs>
              <w:rPr>
                <w:szCs w:val="20"/>
              </w:rPr>
            </w:pPr>
          </w:p>
        </w:tc>
        <w:tc>
          <w:tcPr>
            <w:tcW w:w="1133" w:type="dxa"/>
            <w:vAlign w:val="center"/>
          </w:tcPr>
          <w:p>
            <w:pPr>
              <w:pStyle w:val="24"/>
              <w:tabs>
                <w:tab w:val="left" w:pos="0"/>
              </w:tabs>
              <w:rPr>
                <w:szCs w:val="20"/>
              </w:rPr>
            </w:pPr>
            <w:r>
              <w:rPr>
                <w:rFonts w:hint="eastAsia"/>
                <w:szCs w:val="20"/>
                <w:lang w:val="en-US" w:eastAsia="zh-CN"/>
              </w:rPr>
              <w:t>2023.3.24</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厂界下风向3</w:t>
            </w:r>
            <w:r>
              <w:rPr>
                <w:rFonts w:hint="eastAsia" w:ascii="Times New Roman" w:hAnsi="Times New Roman"/>
                <w:bCs/>
                <w:kern w:val="0"/>
                <w:sz w:val="20"/>
                <w:szCs w:val="20"/>
                <w:lang w:val="en-US" w:eastAsia="zh-CN"/>
              </w:rPr>
              <w:t>#</w:t>
            </w:r>
          </w:p>
        </w:tc>
        <w:tc>
          <w:tcPr>
            <w:tcW w:w="1066" w:type="dxa"/>
            <w:vAlign w:val="center"/>
          </w:tcPr>
          <w:p>
            <w:pPr>
              <w:pStyle w:val="24"/>
              <w:tabs>
                <w:tab w:val="left" w:pos="0"/>
              </w:tabs>
              <w:rPr>
                <w:szCs w:val="20"/>
              </w:rPr>
            </w:pPr>
            <w:r>
              <w:rPr>
                <w:rFonts w:hint="eastAsia"/>
                <w:szCs w:val="20"/>
                <w:lang w:val="en-US" w:eastAsia="zh-CN"/>
              </w:rPr>
              <w:t>2023.3.23</w:t>
            </w:r>
          </w:p>
        </w:tc>
        <w:tc>
          <w:tcPr>
            <w:tcW w:w="1429" w:type="dxa"/>
            <w:vAlign w:val="center"/>
          </w:tcPr>
          <w:p>
            <w:pPr>
              <w:pStyle w:val="24"/>
              <w:bidi w:val="0"/>
              <w:jc w:val="center"/>
            </w:pPr>
            <w:r>
              <w:rPr>
                <w:rFonts w:hint="default"/>
                <w:lang w:val="en-US" w:eastAsia="zh-CN"/>
              </w:rPr>
              <w:t>&lt;0.001</w:t>
            </w:r>
          </w:p>
        </w:tc>
        <w:tc>
          <w:tcPr>
            <w:tcW w:w="1429" w:type="dxa"/>
            <w:vAlign w:val="center"/>
          </w:tcPr>
          <w:p>
            <w:pPr>
              <w:pStyle w:val="24"/>
              <w:bidi w:val="0"/>
              <w:jc w:val="center"/>
            </w:pPr>
            <w:r>
              <w:rPr>
                <w:rFonts w:hint="default"/>
                <w:lang w:val="en-US" w:eastAsia="zh-CN"/>
              </w:rPr>
              <w:t>0.002</w:t>
            </w:r>
          </w:p>
        </w:tc>
        <w:tc>
          <w:tcPr>
            <w:tcW w:w="1429" w:type="dxa"/>
            <w:vAlign w:val="center"/>
          </w:tcPr>
          <w:p>
            <w:pPr>
              <w:pStyle w:val="24"/>
              <w:bidi w:val="0"/>
              <w:jc w:val="center"/>
            </w:pPr>
            <w:r>
              <w:rPr>
                <w:rFonts w:hint="default"/>
                <w:lang w:val="en-US" w:eastAsia="zh-CN"/>
              </w:rPr>
              <w:t>0.001</w:t>
            </w:r>
          </w:p>
        </w:tc>
        <w:tc>
          <w:tcPr>
            <w:tcW w:w="1292"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厂界下风向3</w:t>
            </w:r>
            <w:r>
              <w:rPr>
                <w:rFonts w:hint="eastAsia" w:ascii="Times New Roman" w:hAnsi="Times New Roman"/>
                <w:bCs/>
                <w:kern w:val="0"/>
                <w:sz w:val="20"/>
                <w:szCs w:val="20"/>
                <w:lang w:val="en-US" w:eastAsia="zh-CN"/>
              </w:rPr>
              <w:t>#</w:t>
            </w:r>
          </w:p>
        </w:tc>
        <w:tc>
          <w:tcPr>
            <w:tcW w:w="1133" w:type="dxa"/>
            <w:vAlign w:val="center"/>
          </w:tcPr>
          <w:p>
            <w:pPr>
              <w:pStyle w:val="24"/>
              <w:tabs>
                <w:tab w:val="left" w:pos="0"/>
              </w:tabs>
              <w:rPr>
                <w:szCs w:val="20"/>
              </w:rPr>
            </w:pPr>
            <w:r>
              <w:rPr>
                <w:rFonts w:hint="eastAsia"/>
                <w:szCs w:val="20"/>
                <w:lang w:val="en-US" w:eastAsia="zh-CN"/>
              </w:rPr>
              <w:t>2023.3.23</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66" w:type="dxa"/>
            <w:vAlign w:val="center"/>
          </w:tcPr>
          <w:p>
            <w:pPr>
              <w:pStyle w:val="24"/>
              <w:tabs>
                <w:tab w:val="left" w:pos="0"/>
              </w:tabs>
              <w:rPr>
                <w:szCs w:val="20"/>
              </w:rPr>
            </w:pPr>
            <w:r>
              <w:rPr>
                <w:rFonts w:hint="eastAsia"/>
                <w:szCs w:val="20"/>
                <w:lang w:val="en-US" w:eastAsia="zh-CN"/>
              </w:rPr>
              <w:t>2023.3.24</w:t>
            </w:r>
          </w:p>
        </w:tc>
        <w:tc>
          <w:tcPr>
            <w:tcW w:w="1429" w:type="dxa"/>
            <w:vAlign w:val="center"/>
          </w:tcPr>
          <w:p>
            <w:pPr>
              <w:pStyle w:val="24"/>
              <w:bidi w:val="0"/>
              <w:jc w:val="center"/>
            </w:pPr>
            <w:r>
              <w:rPr>
                <w:rFonts w:hint="default"/>
                <w:lang w:val="en-US" w:eastAsia="zh-CN"/>
              </w:rPr>
              <w:t>0.003</w:t>
            </w:r>
          </w:p>
        </w:tc>
        <w:tc>
          <w:tcPr>
            <w:tcW w:w="1429" w:type="dxa"/>
            <w:vAlign w:val="center"/>
          </w:tcPr>
          <w:p>
            <w:pPr>
              <w:pStyle w:val="24"/>
              <w:bidi w:val="0"/>
              <w:jc w:val="center"/>
            </w:pPr>
            <w:r>
              <w:rPr>
                <w:rFonts w:hint="default"/>
                <w:lang w:val="en-US" w:eastAsia="zh-CN"/>
              </w:rPr>
              <w:t>0.001</w:t>
            </w:r>
          </w:p>
        </w:tc>
        <w:tc>
          <w:tcPr>
            <w:tcW w:w="1429" w:type="dxa"/>
            <w:vAlign w:val="center"/>
          </w:tcPr>
          <w:p>
            <w:pPr>
              <w:pStyle w:val="24"/>
              <w:bidi w:val="0"/>
              <w:jc w:val="center"/>
            </w:pPr>
            <w:r>
              <w:rPr>
                <w:rFonts w:hint="default"/>
                <w:lang w:val="en-US" w:eastAsia="zh-CN"/>
              </w:rPr>
              <w:t>0.002</w:t>
            </w:r>
          </w:p>
        </w:tc>
        <w:tc>
          <w:tcPr>
            <w:tcW w:w="1292" w:type="dxa"/>
            <w:vMerge w:val="continue"/>
            <w:vAlign w:val="center"/>
          </w:tcPr>
          <w:p>
            <w:pPr>
              <w:pStyle w:val="24"/>
              <w:tabs>
                <w:tab w:val="left" w:pos="0"/>
              </w:tabs>
              <w:rPr>
                <w:szCs w:val="20"/>
              </w:rPr>
            </w:pPr>
          </w:p>
        </w:tc>
        <w:tc>
          <w:tcPr>
            <w:tcW w:w="1133" w:type="dxa"/>
            <w:vAlign w:val="center"/>
          </w:tcPr>
          <w:p>
            <w:pPr>
              <w:pStyle w:val="24"/>
              <w:tabs>
                <w:tab w:val="left" w:pos="0"/>
              </w:tabs>
              <w:rPr>
                <w:szCs w:val="20"/>
              </w:rPr>
            </w:pPr>
            <w:r>
              <w:rPr>
                <w:rFonts w:hint="eastAsia"/>
                <w:szCs w:val="20"/>
                <w:lang w:val="en-US" w:eastAsia="zh-CN"/>
              </w:rPr>
              <w:t>2023.3.24</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c>
          <w:tcPr>
            <w:tcW w:w="1450" w:type="dxa"/>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0.05</w:t>
            </w:r>
          </w:p>
        </w:tc>
        <w:tc>
          <w:tcPr>
            <w:tcW w:w="1456" w:type="dxa"/>
            <w:tcBorders>
              <w:right w:val="nil"/>
            </w:tcBorders>
            <w:vAlign w:val="center"/>
          </w:tcPr>
          <w:p>
            <w:pPr>
              <w:pStyle w:val="24"/>
              <w:tabs>
                <w:tab w:val="left" w:pos="0"/>
              </w:tabs>
              <w:jc w:val="center"/>
              <w:rPr>
                <w:rFonts w:hint="default"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2382" w:type="dxa"/>
            <w:gridSpan w:val="2"/>
            <w:tcBorders>
              <w:left w:val="nil"/>
            </w:tcBorders>
            <w:vAlign w:val="center"/>
          </w:tcPr>
          <w:p>
            <w:pPr>
              <w:pStyle w:val="24"/>
              <w:tabs>
                <w:tab w:val="left" w:pos="0"/>
              </w:tabs>
              <w:rPr>
                <w:szCs w:val="20"/>
              </w:rPr>
            </w:pPr>
            <w:r>
              <w:rPr>
                <w:szCs w:val="20"/>
              </w:rPr>
              <w:t>最大值</w:t>
            </w:r>
          </w:p>
        </w:tc>
        <w:tc>
          <w:tcPr>
            <w:tcW w:w="4287" w:type="dxa"/>
            <w:gridSpan w:val="3"/>
            <w:vAlign w:val="center"/>
          </w:tcPr>
          <w:p>
            <w:pPr>
              <w:pStyle w:val="24"/>
              <w:bidi w:val="0"/>
              <w:jc w:val="center"/>
            </w:pPr>
            <w:r>
              <w:rPr>
                <w:rFonts w:hint="default"/>
                <w:lang w:val="en-US" w:eastAsia="zh-CN"/>
              </w:rPr>
              <w:t>0.003</w:t>
            </w:r>
          </w:p>
        </w:tc>
        <w:tc>
          <w:tcPr>
            <w:tcW w:w="2425" w:type="dxa"/>
            <w:gridSpan w:val="2"/>
            <w:vAlign w:val="center"/>
          </w:tcPr>
          <w:p>
            <w:pPr>
              <w:pStyle w:val="24"/>
              <w:tabs>
                <w:tab w:val="left" w:pos="0"/>
              </w:tabs>
              <w:rPr>
                <w:szCs w:val="20"/>
              </w:rPr>
            </w:pPr>
            <w:r>
              <w:rPr>
                <w:szCs w:val="20"/>
              </w:rPr>
              <w:t>最大值</w:t>
            </w:r>
          </w:p>
        </w:tc>
        <w:tc>
          <w:tcPr>
            <w:tcW w:w="4356" w:type="dxa"/>
            <w:gridSpan w:val="3"/>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2382" w:type="dxa"/>
            <w:gridSpan w:val="2"/>
            <w:tcBorders>
              <w:left w:val="nil"/>
            </w:tcBorders>
            <w:vAlign w:val="center"/>
          </w:tcPr>
          <w:p>
            <w:pPr>
              <w:pStyle w:val="24"/>
              <w:tabs>
                <w:tab w:val="left" w:pos="0"/>
              </w:tabs>
              <w:rPr>
                <w:szCs w:val="20"/>
              </w:rPr>
            </w:pPr>
            <w:r>
              <w:rPr>
                <w:szCs w:val="20"/>
              </w:rPr>
              <w:t>执行标准</w:t>
            </w:r>
          </w:p>
        </w:tc>
        <w:tc>
          <w:tcPr>
            <w:tcW w:w="4287" w:type="dxa"/>
            <w:gridSpan w:val="3"/>
            <w:vAlign w:val="center"/>
          </w:tcPr>
          <w:p>
            <w:pPr>
              <w:pStyle w:val="24"/>
              <w:tabs>
                <w:tab w:val="left" w:pos="0"/>
              </w:tabs>
              <w:rPr>
                <w:szCs w:val="20"/>
              </w:rPr>
            </w:pPr>
            <w:r>
              <w:rPr>
                <w:szCs w:val="20"/>
              </w:rPr>
              <w:t>0.06</w:t>
            </w:r>
          </w:p>
        </w:tc>
        <w:tc>
          <w:tcPr>
            <w:tcW w:w="2425" w:type="dxa"/>
            <w:gridSpan w:val="2"/>
            <w:vAlign w:val="center"/>
          </w:tcPr>
          <w:p>
            <w:pPr>
              <w:pStyle w:val="24"/>
              <w:tabs>
                <w:tab w:val="left" w:pos="0"/>
              </w:tabs>
              <w:rPr>
                <w:szCs w:val="20"/>
              </w:rPr>
            </w:pPr>
            <w:r>
              <w:rPr>
                <w:szCs w:val="20"/>
              </w:rPr>
              <w:t>执行标准</w:t>
            </w:r>
          </w:p>
        </w:tc>
        <w:tc>
          <w:tcPr>
            <w:tcW w:w="4356" w:type="dxa"/>
            <w:gridSpan w:val="3"/>
            <w:tcBorders>
              <w:right w:val="nil"/>
            </w:tcBorders>
            <w:vAlign w:val="center"/>
          </w:tcPr>
          <w:p>
            <w:pPr>
              <w:pStyle w:val="24"/>
              <w:tabs>
                <w:tab w:val="left" w:pos="0"/>
              </w:tabs>
              <w:rPr>
                <w:szCs w:val="20"/>
              </w:rPr>
            </w:pPr>
            <w:r>
              <w:rPr>
                <w:szCs w:val="2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2382" w:type="dxa"/>
            <w:gridSpan w:val="2"/>
            <w:tcBorders>
              <w:left w:val="nil"/>
            </w:tcBorders>
            <w:vAlign w:val="center"/>
          </w:tcPr>
          <w:p>
            <w:pPr>
              <w:pStyle w:val="24"/>
              <w:tabs>
                <w:tab w:val="left" w:pos="0"/>
              </w:tabs>
              <w:rPr>
                <w:szCs w:val="20"/>
              </w:rPr>
            </w:pPr>
            <w:r>
              <w:rPr>
                <w:szCs w:val="20"/>
              </w:rPr>
              <w:t>达标情况</w:t>
            </w:r>
          </w:p>
        </w:tc>
        <w:tc>
          <w:tcPr>
            <w:tcW w:w="4287" w:type="dxa"/>
            <w:gridSpan w:val="3"/>
            <w:vAlign w:val="center"/>
          </w:tcPr>
          <w:p>
            <w:pPr>
              <w:pStyle w:val="24"/>
              <w:tabs>
                <w:tab w:val="left" w:pos="0"/>
              </w:tabs>
              <w:rPr>
                <w:szCs w:val="20"/>
              </w:rPr>
            </w:pPr>
            <w:r>
              <w:rPr>
                <w:szCs w:val="20"/>
              </w:rPr>
              <w:t>达标</w:t>
            </w:r>
          </w:p>
        </w:tc>
        <w:tc>
          <w:tcPr>
            <w:tcW w:w="2425" w:type="dxa"/>
            <w:gridSpan w:val="2"/>
            <w:vAlign w:val="center"/>
          </w:tcPr>
          <w:p>
            <w:pPr>
              <w:pStyle w:val="24"/>
              <w:tabs>
                <w:tab w:val="left" w:pos="0"/>
              </w:tabs>
              <w:rPr>
                <w:szCs w:val="20"/>
              </w:rPr>
            </w:pPr>
            <w:r>
              <w:rPr>
                <w:szCs w:val="20"/>
              </w:rPr>
              <w:t>达标情况</w:t>
            </w:r>
          </w:p>
        </w:tc>
        <w:tc>
          <w:tcPr>
            <w:tcW w:w="4356" w:type="dxa"/>
            <w:gridSpan w:val="3"/>
            <w:tcBorders>
              <w:right w:val="nil"/>
            </w:tcBorders>
            <w:vAlign w:val="center"/>
          </w:tcPr>
          <w:p>
            <w:pPr>
              <w:pStyle w:val="24"/>
              <w:tabs>
                <w:tab w:val="left" w:pos="0"/>
              </w:tabs>
              <w:rPr>
                <w:szCs w:val="20"/>
              </w:rPr>
            </w:pPr>
            <w:r>
              <w:rPr>
                <w:szCs w:val="20"/>
              </w:rPr>
              <w:t>达标</w:t>
            </w:r>
          </w:p>
        </w:tc>
      </w:tr>
    </w:tbl>
    <w:p>
      <w:pPr>
        <w:pStyle w:val="23"/>
        <w:spacing w:before="240"/>
      </w:pPr>
      <w:r>
        <w:t>表9.2.</w:t>
      </w:r>
      <w:r>
        <w:rPr>
          <w:rFonts w:hint="eastAsia"/>
        </w:rPr>
        <w:t>9</w:t>
      </w:r>
      <w:r>
        <w:t xml:space="preserve"> </w:t>
      </w:r>
      <w:r>
        <w:rPr>
          <w:rFonts w:hint="eastAsia"/>
          <w:lang w:eastAsia="zh-CN"/>
        </w:rPr>
        <w:t>库区</w:t>
      </w:r>
      <w:r>
        <w:t>厂界无组织排放</w:t>
      </w:r>
      <w:r>
        <w:rPr>
          <w:rFonts w:hint="eastAsia"/>
          <w:lang w:val="en-US" w:eastAsia="zh-CN"/>
        </w:rPr>
        <w:t>苯、甲苯</w:t>
      </w:r>
      <w:r>
        <w:t>监测结果一览表</w:t>
      </w:r>
    </w:p>
    <w:tbl>
      <w:tblPr>
        <w:tblStyle w:val="14"/>
        <w:tblW w:w="134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1077"/>
        <w:gridCol w:w="1421"/>
        <w:gridCol w:w="1421"/>
        <w:gridCol w:w="1424"/>
        <w:gridCol w:w="1303"/>
        <w:gridCol w:w="1147"/>
        <w:gridCol w:w="1445"/>
        <w:gridCol w:w="1445"/>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4" w:hRule="atLeast"/>
        </w:trPr>
        <w:tc>
          <w:tcPr>
            <w:tcW w:w="1316" w:type="dxa"/>
            <w:vMerge w:val="restart"/>
            <w:tcBorders>
              <w:left w:val="nil"/>
            </w:tcBorders>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077" w:type="dxa"/>
            <w:vMerge w:val="restart"/>
            <w:vAlign w:val="center"/>
          </w:tcPr>
          <w:p>
            <w:pPr>
              <w:pStyle w:val="24"/>
              <w:tabs>
                <w:tab w:val="left" w:pos="0"/>
              </w:tabs>
              <w:rPr>
                <w:szCs w:val="20"/>
              </w:rPr>
            </w:pPr>
            <w:r>
              <w:rPr>
                <w:szCs w:val="20"/>
              </w:rPr>
              <w:t>日期</w:t>
            </w:r>
          </w:p>
        </w:tc>
        <w:tc>
          <w:tcPr>
            <w:tcW w:w="4266" w:type="dxa"/>
            <w:gridSpan w:val="3"/>
            <w:vAlign w:val="center"/>
          </w:tcPr>
          <w:p>
            <w:pPr>
              <w:pStyle w:val="24"/>
              <w:tabs>
                <w:tab w:val="left" w:pos="0"/>
              </w:tabs>
              <w:rPr>
                <w:szCs w:val="20"/>
              </w:rPr>
            </w:pPr>
            <w:r>
              <w:rPr>
                <w:szCs w:val="20"/>
              </w:rPr>
              <w:t>苯小时浓度值mg/m</w:t>
            </w:r>
            <w:r>
              <w:rPr>
                <w:szCs w:val="20"/>
                <w:vertAlign w:val="superscript"/>
              </w:rPr>
              <w:t>3</w:t>
            </w:r>
          </w:p>
        </w:tc>
        <w:tc>
          <w:tcPr>
            <w:tcW w:w="1303" w:type="dxa"/>
            <w:vMerge w:val="restart"/>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147" w:type="dxa"/>
            <w:vMerge w:val="restart"/>
            <w:vAlign w:val="center"/>
          </w:tcPr>
          <w:p>
            <w:pPr>
              <w:pStyle w:val="24"/>
              <w:tabs>
                <w:tab w:val="left" w:pos="0"/>
              </w:tabs>
              <w:rPr>
                <w:szCs w:val="20"/>
              </w:rPr>
            </w:pPr>
            <w:r>
              <w:rPr>
                <w:szCs w:val="20"/>
              </w:rPr>
              <w:t>日期</w:t>
            </w:r>
          </w:p>
        </w:tc>
        <w:tc>
          <w:tcPr>
            <w:tcW w:w="4343" w:type="dxa"/>
            <w:gridSpan w:val="3"/>
            <w:tcBorders>
              <w:right w:val="nil"/>
            </w:tcBorders>
            <w:vAlign w:val="center"/>
          </w:tcPr>
          <w:p>
            <w:pPr>
              <w:pStyle w:val="24"/>
              <w:tabs>
                <w:tab w:val="left" w:pos="0"/>
              </w:tabs>
              <w:rPr>
                <w:szCs w:val="20"/>
              </w:rPr>
            </w:pPr>
            <w:r>
              <w:rPr>
                <w:rFonts w:hint="eastAsia"/>
                <w:szCs w:val="20"/>
                <w:lang w:val="en-US" w:eastAsia="zh-CN"/>
              </w:rPr>
              <w:t>甲苯</w:t>
            </w:r>
            <w:r>
              <w:rPr>
                <w:szCs w:val="20"/>
              </w:rPr>
              <w:t>小时浓度值mg/m</w:t>
            </w:r>
            <w:r>
              <w:rPr>
                <w:szCs w:val="2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316" w:type="dxa"/>
            <w:vMerge w:val="continue"/>
            <w:tcBorders>
              <w:left w:val="nil"/>
            </w:tcBorders>
            <w:vAlign w:val="center"/>
          </w:tcPr>
          <w:p>
            <w:pPr>
              <w:pStyle w:val="24"/>
              <w:tabs>
                <w:tab w:val="left" w:pos="0"/>
              </w:tabs>
              <w:rPr>
                <w:szCs w:val="20"/>
              </w:rPr>
            </w:pPr>
          </w:p>
        </w:tc>
        <w:tc>
          <w:tcPr>
            <w:tcW w:w="1077" w:type="dxa"/>
            <w:vMerge w:val="continue"/>
            <w:vAlign w:val="center"/>
          </w:tcPr>
          <w:p>
            <w:pPr>
              <w:pStyle w:val="24"/>
              <w:tabs>
                <w:tab w:val="left" w:pos="0"/>
              </w:tabs>
              <w:rPr>
                <w:szCs w:val="20"/>
              </w:rPr>
            </w:pPr>
          </w:p>
        </w:tc>
        <w:tc>
          <w:tcPr>
            <w:tcW w:w="1421" w:type="dxa"/>
            <w:vAlign w:val="center"/>
          </w:tcPr>
          <w:p>
            <w:pPr>
              <w:pStyle w:val="24"/>
              <w:tabs>
                <w:tab w:val="left" w:pos="0"/>
              </w:tabs>
              <w:rPr>
                <w:szCs w:val="20"/>
              </w:rPr>
            </w:pPr>
            <w:r>
              <w:rPr>
                <w:szCs w:val="20"/>
              </w:rPr>
              <w:t>第一次</w:t>
            </w:r>
          </w:p>
        </w:tc>
        <w:tc>
          <w:tcPr>
            <w:tcW w:w="1421" w:type="dxa"/>
            <w:vAlign w:val="center"/>
          </w:tcPr>
          <w:p>
            <w:pPr>
              <w:pStyle w:val="24"/>
              <w:tabs>
                <w:tab w:val="left" w:pos="0"/>
              </w:tabs>
              <w:rPr>
                <w:szCs w:val="20"/>
              </w:rPr>
            </w:pPr>
            <w:r>
              <w:rPr>
                <w:szCs w:val="20"/>
              </w:rPr>
              <w:t>第二次</w:t>
            </w:r>
          </w:p>
        </w:tc>
        <w:tc>
          <w:tcPr>
            <w:tcW w:w="1424" w:type="dxa"/>
            <w:vAlign w:val="center"/>
          </w:tcPr>
          <w:p>
            <w:pPr>
              <w:pStyle w:val="24"/>
              <w:tabs>
                <w:tab w:val="left" w:pos="0"/>
              </w:tabs>
              <w:rPr>
                <w:szCs w:val="20"/>
              </w:rPr>
            </w:pPr>
            <w:r>
              <w:rPr>
                <w:szCs w:val="20"/>
              </w:rPr>
              <w:t>第三次</w:t>
            </w:r>
          </w:p>
        </w:tc>
        <w:tc>
          <w:tcPr>
            <w:tcW w:w="1303" w:type="dxa"/>
            <w:vMerge w:val="continue"/>
            <w:vAlign w:val="center"/>
          </w:tcPr>
          <w:p>
            <w:pPr>
              <w:pStyle w:val="24"/>
              <w:tabs>
                <w:tab w:val="left" w:pos="0"/>
              </w:tabs>
              <w:rPr>
                <w:szCs w:val="20"/>
              </w:rPr>
            </w:pPr>
          </w:p>
        </w:tc>
        <w:tc>
          <w:tcPr>
            <w:tcW w:w="1147" w:type="dxa"/>
            <w:vMerge w:val="continue"/>
            <w:vAlign w:val="center"/>
          </w:tcPr>
          <w:p>
            <w:pPr>
              <w:pStyle w:val="24"/>
              <w:tabs>
                <w:tab w:val="left" w:pos="0"/>
              </w:tabs>
              <w:rPr>
                <w:szCs w:val="20"/>
              </w:rPr>
            </w:pPr>
          </w:p>
        </w:tc>
        <w:tc>
          <w:tcPr>
            <w:tcW w:w="1445" w:type="dxa"/>
            <w:vAlign w:val="center"/>
          </w:tcPr>
          <w:p>
            <w:pPr>
              <w:pStyle w:val="24"/>
              <w:tabs>
                <w:tab w:val="left" w:pos="0"/>
              </w:tabs>
              <w:rPr>
                <w:szCs w:val="20"/>
              </w:rPr>
            </w:pPr>
            <w:r>
              <w:rPr>
                <w:szCs w:val="20"/>
              </w:rPr>
              <w:t>第一次</w:t>
            </w:r>
          </w:p>
        </w:tc>
        <w:tc>
          <w:tcPr>
            <w:tcW w:w="1445" w:type="dxa"/>
            <w:vAlign w:val="center"/>
          </w:tcPr>
          <w:p>
            <w:pPr>
              <w:pStyle w:val="24"/>
              <w:tabs>
                <w:tab w:val="left" w:pos="0"/>
              </w:tabs>
              <w:rPr>
                <w:szCs w:val="20"/>
              </w:rPr>
            </w:pPr>
            <w:r>
              <w:rPr>
                <w:szCs w:val="20"/>
              </w:rPr>
              <w:t>第二次</w:t>
            </w:r>
          </w:p>
        </w:tc>
        <w:tc>
          <w:tcPr>
            <w:tcW w:w="1453" w:type="dxa"/>
            <w:tcBorders>
              <w:right w:val="nil"/>
            </w:tcBorders>
            <w:vAlign w:val="center"/>
          </w:tcPr>
          <w:p>
            <w:pPr>
              <w:pStyle w:val="24"/>
              <w:tabs>
                <w:tab w:val="left" w:pos="0"/>
              </w:tabs>
              <w:rPr>
                <w:szCs w:val="20"/>
              </w:rPr>
            </w:pPr>
            <w:r>
              <w:rPr>
                <w:szCs w:val="20"/>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sz w:val="20"/>
                <w:szCs w:val="20"/>
              </w:rPr>
            </w:pPr>
            <w:r>
              <w:rPr>
                <w:rFonts w:ascii="Times New Roman" w:hAnsi="Times New Roman"/>
                <w:bCs/>
                <w:kern w:val="0"/>
                <w:sz w:val="20"/>
                <w:szCs w:val="20"/>
              </w:rPr>
              <w:t>厂界上风向</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rPr>
                <w:rFonts w:hint="default"/>
                <w:lang w:val="en-US"/>
              </w:rPr>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restart"/>
            <w:vAlign w:val="center"/>
          </w:tcPr>
          <w:p>
            <w:pPr>
              <w:jc w:val="center"/>
              <w:rPr>
                <w:sz w:val="20"/>
                <w:szCs w:val="20"/>
              </w:rPr>
            </w:pPr>
            <w:r>
              <w:rPr>
                <w:rFonts w:ascii="Times New Roman" w:hAnsi="Times New Roman"/>
                <w:bCs/>
                <w:kern w:val="0"/>
                <w:sz w:val="20"/>
                <w:szCs w:val="20"/>
              </w:rPr>
              <w:t>厂界上风向</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厂界下风向1</w:t>
            </w:r>
            <w:r>
              <w:rPr>
                <w:rFonts w:hint="eastAsia" w:ascii="Times New Roman" w:hAnsi="Times New Roman"/>
                <w:bCs/>
                <w:kern w:val="0"/>
                <w:sz w:val="20"/>
                <w:szCs w:val="20"/>
                <w:lang w:val="en-US" w:eastAsia="zh-CN"/>
              </w:rPr>
              <w:t>#</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厂界下风向1</w:t>
            </w:r>
            <w:r>
              <w:rPr>
                <w:rFonts w:hint="eastAsia" w:ascii="Times New Roman" w:hAnsi="Times New Roman"/>
                <w:bCs/>
                <w:kern w:val="0"/>
                <w:sz w:val="20"/>
                <w:szCs w:val="20"/>
                <w:lang w:val="en-US" w:eastAsia="zh-CN"/>
              </w:rPr>
              <w:t>#</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厂界下风向2</w:t>
            </w:r>
            <w:r>
              <w:rPr>
                <w:rFonts w:hint="eastAsia" w:ascii="Times New Roman" w:hAnsi="Times New Roman"/>
                <w:bCs/>
                <w:kern w:val="0"/>
                <w:sz w:val="20"/>
                <w:szCs w:val="20"/>
                <w:lang w:val="en-US" w:eastAsia="zh-CN"/>
              </w:rPr>
              <w:t>#</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厂界下风向2</w:t>
            </w:r>
            <w:r>
              <w:rPr>
                <w:rFonts w:hint="eastAsia" w:ascii="Times New Roman" w:hAnsi="Times New Roman"/>
                <w:bCs/>
                <w:kern w:val="0"/>
                <w:sz w:val="20"/>
                <w:szCs w:val="20"/>
                <w:lang w:val="en-US" w:eastAsia="zh-CN"/>
              </w:rPr>
              <w:t>#</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厂界下风向3</w:t>
            </w:r>
            <w:r>
              <w:rPr>
                <w:rFonts w:hint="eastAsia" w:ascii="Times New Roman" w:hAnsi="Times New Roman"/>
                <w:bCs/>
                <w:kern w:val="0"/>
                <w:sz w:val="20"/>
                <w:szCs w:val="20"/>
                <w:lang w:val="en-US" w:eastAsia="zh-CN"/>
              </w:rPr>
              <w:t>#</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厂界下风向3</w:t>
            </w:r>
            <w:r>
              <w:rPr>
                <w:rFonts w:hint="eastAsia" w:ascii="Times New Roman" w:hAnsi="Times New Roman"/>
                <w:bCs/>
                <w:kern w:val="0"/>
                <w:sz w:val="20"/>
                <w:szCs w:val="20"/>
                <w:lang w:val="en-US" w:eastAsia="zh-CN"/>
              </w:rPr>
              <w:t>#</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pPr>
            <w:r>
              <w:rPr>
                <w:rFonts w:hint="eastAsia"/>
                <w:lang w:val="en-US" w:eastAsia="zh-CN"/>
              </w:rPr>
              <w:t>&lt;0.01</w:t>
            </w:r>
          </w:p>
        </w:tc>
        <w:tc>
          <w:tcPr>
            <w:tcW w:w="1421" w:type="dxa"/>
            <w:vAlign w:val="center"/>
          </w:tcPr>
          <w:p>
            <w:pPr>
              <w:pStyle w:val="24"/>
              <w:bidi w:val="0"/>
            </w:pPr>
            <w:r>
              <w:rPr>
                <w:rFonts w:hint="eastAsia"/>
                <w:lang w:val="en-US" w:eastAsia="zh-CN"/>
              </w:rPr>
              <w:t>&lt;0.01</w:t>
            </w:r>
          </w:p>
        </w:tc>
        <w:tc>
          <w:tcPr>
            <w:tcW w:w="1424" w:type="dxa"/>
            <w:vAlign w:val="center"/>
          </w:tcPr>
          <w:p>
            <w:pPr>
              <w:pStyle w:val="24"/>
              <w:bidi w:val="0"/>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bidi w:val="0"/>
              <w:jc w:val="center"/>
            </w:pPr>
            <w:r>
              <w:rPr>
                <w:rFonts w:hint="eastAsia"/>
                <w:lang w:val="en-US" w:eastAsia="zh-CN"/>
              </w:rPr>
              <w:t>&lt;0.01</w:t>
            </w:r>
          </w:p>
        </w:tc>
        <w:tc>
          <w:tcPr>
            <w:tcW w:w="1445" w:type="dxa"/>
            <w:vAlign w:val="center"/>
          </w:tcPr>
          <w:p>
            <w:pPr>
              <w:pStyle w:val="24"/>
              <w:bidi w:val="0"/>
              <w:jc w:val="center"/>
            </w:pPr>
            <w:r>
              <w:rPr>
                <w:rFonts w:hint="eastAsia"/>
                <w:lang w:val="en-US" w:eastAsia="zh-CN"/>
              </w:rPr>
              <w:t>&lt;0.01</w:t>
            </w:r>
          </w:p>
        </w:tc>
        <w:tc>
          <w:tcPr>
            <w:tcW w:w="1453" w:type="dxa"/>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2393" w:type="dxa"/>
            <w:gridSpan w:val="2"/>
            <w:tcBorders>
              <w:left w:val="nil"/>
            </w:tcBorders>
            <w:vAlign w:val="center"/>
          </w:tcPr>
          <w:p>
            <w:pPr>
              <w:pStyle w:val="24"/>
              <w:tabs>
                <w:tab w:val="left" w:pos="0"/>
              </w:tabs>
              <w:rPr>
                <w:szCs w:val="20"/>
              </w:rPr>
            </w:pPr>
            <w:r>
              <w:rPr>
                <w:szCs w:val="20"/>
              </w:rPr>
              <w:t>最大值</w:t>
            </w:r>
          </w:p>
        </w:tc>
        <w:tc>
          <w:tcPr>
            <w:tcW w:w="4266" w:type="dxa"/>
            <w:gridSpan w:val="3"/>
            <w:vAlign w:val="center"/>
          </w:tcPr>
          <w:p>
            <w:pPr>
              <w:pStyle w:val="24"/>
              <w:bidi w:val="0"/>
            </w:pPr>
            <w:r>
              <w:rPr>
                <w:rFonts w:hint="eastAsia"/>
                <w:lang w:val="en-US" w:eastAsia="zh-CN"/>
              </w:rPr>
              <w:t>&lt;0.01</w:t>
            </w:r>
          </w:p>
        </w:tc>
        <w:tc>
          <w:tcPr>
            <w:tcW w:w="2450" w:type="dxa"/>
            <w:gridSpan w:val="2"/>
            <w:vAlign w:val="center"/>
          </w:tcPr>
          <w:p>
            <w:pPr>
              <w:pStyle w:val="24"/>
              <w:tabs>
                <w:tab w:val="left" w:pos="0"/>
              </w:tabs>
              <w:rPr>
                <w:szCs w:val="20"/>
              </w:rPr>
            </w:pPr>
            <w:r>
              <w:rPr>
                <w:szCs w:val="20"/>
              </w:rPr>
              <w:t>最大值</w:t>
            </w:r>
          </w:p>
        </w:tc>
        <w:tc>
          <w:tcPr>
            <w:tcW w:w="4343" w:type="dxa"/>
            <w:gridSpan w:val="3"/>
            <w:tcBorders>
              <w:right w:val="nil"/>
            </w:tcBorders>
            <w:vAlign w:val="center"/>
          </w:tcPr>
          <w:p>
            <w:pPr>
              <w:pStyle w:val="24"/>
              <w:bidi w:val="0"/>
              <w:jc w:val="center"/>
            </w:pPr>
            <w:r>
              <w:rPr>
                <w:rFonts w:hint="eastAsia"/>
                <w:lang w:val="en-US" w:eastAsia="zh-CN"/>
              </w:rPr>
              <w:t>&lt;0.01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2393" w:type="dxa"/>
            <w:gridSpan w:val="2"/>
            <w:tcBorders>
              <w:left w:val="nil"/>
            </w:tcBorders>
            <w:vAlign w:val="center"/>
          </w:tcPr>
          <w:p>
            <w:pPr>
              <w:pStyle w:val="24"/>
              <w:tabs>
                <w:tab w:val="left" w:pos="0"/>
              </w:tabs>
              <w:rPr>
                <w:szCs w:val="20"/>
              </w:rPr>
            </w:pPr>
            <w:r>
              <w:rPr>
                <w:szCs w:val="20"/>
              </w:rPr>
              <w:t>执行标准</w:t>
            </w:r>
          </w:p>
        </w:tc>
        <w:tc>
          <w:tcPr>
            <w:tcW w:w="4266" w:type="dxa"/>
            <w:gridSpan w:val="3"/>
            <w:vAlign w:val="center"/>
          </w:tcPr>
          <w:p>
            <w:pPr>
              <w:pStyle w:val="24"/>
              <w:tabs>
                <w:tab w:val="left" w:pos="0"/>
              </w:tabs>
              <w:rPr>
                <w:rFonts w:hint="default" w:eastAsia="宋体"/>
                <w:szCs w:val="20"/>
                <w:lang w:val="en-US" w:eastAsia="zh-CN"/>
              </w:rPr>
            </w:pPr>
            <w:r>
              <w:rPr>
                <w:rFonts w:hint="eastAsia"/>
                <w:szCs w:val="20"/>
                <w:lang w:val="en-US" w:eastAsia="zh-CN"/>
              </w:rPr>
              <w:t>0.4</w:t>
            </w:r>
          </w:p>
        </w:tc>
        <w:tc>
          <w:tcPr>
            <w:tcW w:w="2450" w:type="dxa"/>
            <w:gridSpan w:val="2"/>
            <w:vAlign w:val="center"/>
          </w:tcPr>
          <w:p>
            <w:pPr>
              <w:pStyle w:val="24"/>
              <w:tabs>
                <w:tab w:val="left" w:pos="0"/>
              </w:tabs>
              <w:rPr>
                <w:szCs w:val="20"/>
              </w:rPr>
            </w:pPr>
            <w:r>
              <w:rPr>
                <w:szCs w:val="20"/>
              </w:rPr>
              <w:t>执行标准</w:t>
            </w:r>
          </w:p>
        </w:tc>
        <w:tc>
          <w:tcPr>
            <w:tcW w:w="4343" w:type="dxa"/>
            <w:gridSpan w:val="3"/>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2393" w:type="dxa"/>
            <w:gridSpan w:val="2"/>
            <w:tcBorders>
              <w:left w:val="nil"/>
            </w:tcBorders>
            <w:vAlign w:val="center"/>
          </w:tcPr>
          <w:p>
            <w:pPr>
              <w:pStyle w:val="24"/>
              <w:tabs>
                <w:tab w:val="left" w:pos="0"/>
              </w:tabs>
              <w:rPr>
                <w:szCs w:val="20"/>
              </w:rPr>
            </w:pPr>
            <w:r>
              <w:rPr>
                <w:szCs w:val="20"/>
              </w:rPr>
              <w:t>达标情况</w:t>
            </w:r>
          </w:p>
        </w:tc>
        <w:tc>
          <w:tcPr>
            <w:tcW w:w="4266" w:type="dxa"/>
            <w:gridSpan w:val="3"/>
            <w:vAlign w:val="center"/>
          </w:tcPr>
          <w:p>
            <w:pPr>
              <w:pStyle w:val="24"/>
              <w:tabs>
                <w:tab w:val="left" w:pos="0"/>
              </w:tabs>
              <w:rPr>
                <w:szCs w:val="20"/>
              </w:rPr>
            </w:pPr>
            <w:r>
              <w:rPr>
                <w:szCs w:val="20"/>
              </w:rPr>
              <w:t>达标</w:t>
            </w:r>
          </w:p>
        </w:tc>
        <w:tc>
          <w:tcPr>
            <w:tcW w:w="2450" w:type="dxa"/>
            <w:gridSpan w:val="2"/>
            <w:vAlign w:val="center"/>
          </w:tcPr>
          <w:p>
            <w:pPr>
              <w:pStyle w:val="24"/>
              <w:tabs>
                <w:tab w:val="left" w:pos="0"/>
              </w:tabs>
              <w:rPr>
                <w:szCs w:val="20"/>
              </w:rPr>
            </w:pPr>
            <w:r>
              <w:rPr>
                <w:szCs w:val="20"/>
              </w:rPr>
              <w:t>达标情况</w:t>
            </w:r>
          </w:p>
        </w:tc>
        <w:tc>
          <w:tcPr>
            <w:tcW w:w="4343" w:type="dxa"/>
            <w:gridSpan w:val="3"/>
            <w:tcBorders>
              <w:right w:val="nil"/>
            </w:tcBorders>
            <w:vAlign w:val="center"/>
          </w:tcPr>
          <w:p>
            <w:pPr>
              <w:pStyle w:val="24"/>
              <w:tabs>
                <w:tab w:val="left" w:pos="0"/>
              </w:tabs>
              <w:rPr>
                <w:szCs w:val="20"/>
              </w:rPr>
            </w:pPr>
            <w:r>
              <w:rPr>
                <w:szCs w:val="20"/>
              </w:rPr>
              <w:t>达标</w:t>
            </w:r>
          </w:p>
        </w:tc>
      </w:tr>
    </w:tbl>
    <w:p>
      <w:pPr>
        <w:pStyle w:val="19"/>
        <w:ind w:firstLine="0" w:firstLineChars="0"/>
        <w:rPr>
          <w:lang w:val="en-US"/>
        </w:rPr>
        <w:sectPr>
          <w:pgSz w:w="16839" w:h="11907" w:orient="landscape"/>
          <w:pgMar w:top="1134" w:right="1800" w:bottom="1134"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3"/>
        <w:spacing w:before="240"/>
      </w:pPr>
      <w:r>
        <w:t>表9.2.</w:t>
      </w:r>
      <w:r>
        <w:rPr>
          <w:rFonts w:hint="eastAsia"/>
          <w:lang w:val="en-US" w:eastAsia="zh-CN"/>
        </w:rPr>
        <w:t>10 库区</w:t>
      </w:r>
      <w:r>
        <w:t>厂界无组织排放</w:t>
      </w:r>
      <w:r>
        <w:rPr>
          <w:rFonts w:hint="eastAsia"/>
          <w:lang w:val="en-US" w:eastAsia="zh-CN"/>
        </w:rPr>
        <w:t>二甲苯、NMHC</w:t>
      </w:r>
      <w:r>
        <w:t>监测结果一览表</w:t>
      </w:r>
    </w:p>
    <w:tbl>
      <w:tblPr>
        <w:tblStyle w:val="14"/>
        <w:tblW w:w="134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1077"/>
        <w:gridCol w:w="1421"/>
        <w:gridCol w:w="1421"/>
        <w:gridCol w:w="1424"/>
        <w:gridCol w:w="1303"/>
        <w:gridCol w:w="1147"/>
        <w:gridCol w:w="1445"/>
        <w:gridCol w:w="1445"/>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restart"/>
            <w:tcBorders>
              <w:left w:val="nil"/>
            </w:tcBorders>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077" w:type="dxa"/>
            <w:vMerge w:val="restart"/>
            <w:vAlign w:val="center"/>
          </w:tcPr>
          <w:p>
            <w:pPr>
              <w:pStyle w:val="24"/>
              <w:tabs>
                <w:tab w:val="left" w:pos="0"/>
              </w:tabs>
              <w:rPr>
                <w:szCs w:val="20"/>
              </w:rPr>
            </w:pPr>
            <w:r>
              <w:rPr>
                <w:szCs w:val="20"/>
              </w:rPr>
              <w:t>日期</w:t>
            </w:r>
          </w:p>
        </w:tc>
        <w:tc>
          <w:tcPr>
            <w:tcW w:w="4266" w:type="dxa"/>
            <w:gridSpan w:val="3"/>
            <w:vAlign w:val="center"/>
          </w:tcPr>
          <w:p>
            <w:pPr>
              <w:pStyle w:val="24"/>
              <w:tabs>
                <w:tab w:val="left" w:pos="0"/>
              </w:tabs>
              <w:rPr>
                <w:szCs w:val="20"/>
              </w:rPr>
            </w:pPr>
            <w:r>
              <w:rPr>
                <w:rFonts w:hint="eastAsia"/>
                <w:szCs w:val="20"/>
                <w:lang w:val="en-US" w:eastAsia="zh-CN"/>
              </w:rPr>
              <w:t>二甲</w:t>
            </w:r>
            <w:r>
              <w:rPr>
                <w:szCs w:val="20"/>
              </w:rPr>
              <w:t>苯小时浓度值mg/m</w:t>
            </w:r>
            <w:r>
              <w:rPr>
                <w:szCs w:val="20"/>
                <w:vertAlign w:val="superscript"/>
              </w:rPr>
              <w:t>3</w:t>
            </w:r>
          </w:p>
        </w:tc>
        <w:tc>
          <w:tcPr>
            <w:tcW w:w="1303" w:type="dxa"/>
            <w:vMerge w:val="restart"/>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147" w:type="dxa"/>
            <w:vMerge w:val="restart"/>
            <w:vAlign w:val="center"/>
          </w:tcPr>
          <w:p>
            <w:pPr>
              <w:pStyle w:val="24"/>
              <w:tabs>
                <w:tab w:val="left" w:pos="0"/>
              </w:tabs>
              <w:rPr>
                <w:szCs w:val="20"/>
              </w:rPr>
            </w:pPr>
            <w:r>
              <w:rPr>
                <w:szCs w:val="20"/>
              </w:rPr>
              <w:t>日期</w:t>
            </w:r>
          </w:p>
        </w:tc>
        <w:tc>
          <w:tcPr>
            <w:tcW w:w="4343" w:type="dxa"/>
            <w:gridSpan w:val="3"/>
            <w:tcBorders>
              <w:right w:val="nil"/>
            </w:tcBorders>
            <w:vAlign w:val="center"/>
          </w:tcPr>
          <w:p>
            <w:pPr>
              <w:pStyle w:val="24"/>
              <w:tabs>
                <w:tab w:val="left" w:pos="0"/>
              </w:tabs>
              <w:rPr>
                <w:szCs w:val="20"/>
              </w:rPr>
            </w:pPr>
            <w:r>
              <w:rPr>
                <w:szCs w:val="20"/>
              </w:rPr>
              <w:t>NMHC小时浓度值mg/m</w:t>
            </w:r>
            <w:r>
              <w:rPr>
                <w:szCs w:val="20"/>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continue"/>
            <w:tcBorders>
              <w:left w:val="nil"/>
            </w:tcBorders>
            <w:vAlign w:val="center"/>
          </w:tcPr>
          <w:p>
            <w:pPr>
              <w:pStyle w:val="24"/>
              <w:tabs>
                <w:tab w:val="left" w:pos="0"/>
              </w:tabs>
              <w:rPr>
                <w:szCs w:val="20"/>
              </w:rPr>
            </w:pPr>
          </w:p>
        </w:tc>
        <w:tc>
          <w:tcPr>
            <w:tcW w:w="1077" w:type="dxa"/>
            <w:vMerge w:val="continue"/>
            <w:vAlign w:val="center"/>
          </w:tcPr>
          <w:p>
            <w:pPr>
              <w:pStyle w:val="24"/>
              <w:tabs>
                <w:tab w:val="left" w:pos="0"/>
              </w:tabs>
              <w:rPr>
                <w:szCs w:val="20"/>
              </w:rPr>
            </w:pPr>
          </w:p>
        </w:tc>
        <w:tc>
          <w:tcPr>
            <w:tcW w:w="1421" w:type="dxa"/>
            <w:vAlign w:val="center"/>
          </w:tcPr>
          <w:p>
            <w:pPr>
              <w:pStyle w:val="24"/>
              <w:tabs>
                <w:tab w:val="left" w:pos="0"/>
              </w:tabs>
              <w:rPr>
                <w:szCs w:val="20"/>
              </w:rPr>
            </w:pPr>
            <w:r>
              <w:rPr>
                <w:szCs w:val="20"/>
              </w:rPr>
              <w:t>第一次</w:t>
            </w:r>
          </w:p>
        </w:tc>
        <w:tc>
          <w:tcPr>
            <w:tcW w:w="1421" w:type="dxa"/>
            <w:vAlign w:val="center"/>
          </w:tcPr>
          <w:p>
            <w:pPr>
              <w:pStyle w:val="24"/>
              <w:tabs>
                <w:tab w:val="left" w:pos="0"/>
              </w:tabs>
              <w:rPr>
                <w:szCs w:val="20"/>
              </w:rPr>
            </w:pPr>
            <w:r>
              <w:rPr>
                <w:szCs w:val="20"/>
              </w:rPr>
              <w:t>第二次</w:t>
            </w:r>
          </w:p>
        </w:tc>
        <w:tc>
          <w:tcPr>
            <w:tcW w:w="1424" w:type="dxa"/>
            <w:vAlign w:val="center"/>
          </w:tcPr>
          <w:p>
            <w:pPr>
              <w:pStyle w:val="24"/>
              <w:tabs>
                <w:tab w:val="left" w:pos="0"/>
              </w:tabs>
              <w:rPr>
                <w:szCs w:val="20"/>
              </w:rPr>
            </w:pPr>
            <w:r>
              <w:rPr>
                <w:szCs w:val="20"/>
              </w:rPr>
              <w:t>第三次</w:t>
            </w:r>
          </w:p>
        </w:tc>
        <w:tc>
          <w:tcPr>
            <w:tcW w:w="1303" w:type="dxa"/>
            <w:vMerge w:val="continue"/>
            <w:vAlign w:val="center"/>
          </w:tcPr>
          <w:p>
            <w:pPr>
              <w:pStyle w:val="24"/>
              <w:tabs>
                <w:tab w:val="left" w:pos="0"/>
              </w:tabs>
              <w:rPr>
                <w:szCs w:val="20"/>
              </w:rPr>
            </w:pPr>
          </w:p>
        </w:tc>
        <w:tc>
          <w:tcPr>
            <w:tcW w:w="1147" w:type="dxa"/>
            <w:vMerge w:val="continue"/>
            <w:vAlign w:val="center"/>
          </w:tcPr>
          <w:p>
            <w:pPr>
              <w:pStyle w:val="24"/>
              <w:tabs>
                <w:tab w:val="left" w:pos="0"/>
              </w:tabs>
              <w:rPr>
                <w:szCs w:val="20"/>
              </w:rPr>
            </w:pPr>
          </w:p>
        </w:tc>
        <w:tc>
          <w:tcPr>
            <w:tcW w:w="1445" w:type="dxa"/>
            <w:vAlign w:val="center"/>
          </w:tcPr>
          <w:p>
            <w:pPr>
              <w:pStyle w:val="24"/>
              <w:tabs>
                <w:tab w:val="left" w:pos="0"/>
              </w:tabs>
              <w:rPr>
                <w:szCs w:val="20"/>
              </w:rPr>
            </w:pPr>
            <w:r>
              <w:rPr>
                <w:szCs w:val="20"/>
              </w:rPr>
              <w:t>第一次</w:t>
            </w:r>
          </w:p>
        </w:tc>
        <w:tc>
          <w:tcPr>
            <w:tcW w:w="1445" w:type="dxa"/>
            <w:vAlign w:val="center"/>
          </w:tcPr>
          <w:p>
            <w:pPr>
              <w:pStyle w:val="24"/>
              <w:tabs>
                <w:tab w:val="left" w:pos="0"/>
              </w:tabs>
              <w:rPr>
                <w:szCs w:val="20"/>
              </w:rPr>
            </w:pPr>
            <w:r>
              <w:rPr>
                <w:szCs w:val="20"/>
              </w:rPr>
              <w:t>第二次</w:t>
            </w:r>
          </w:p>
        </w:tc>
        <w:tc>
          <w:tcPr>
            <w:tcW w:w="1453" w:type="dxa"/>
            <w:tcBorders>
              <w:right w:val="nil"/>
            </w:tcBorders>
            <w:vAlign w:val="center"/>
          </w:tcPr>
          <w:p>
            <w:pPr>
              <w:pStyle w:val="24"/>
              <w:tabs>
                <w:tab w:val="left" w:pos="0"/>
              </w:tabs>
              <w:rPr>
                <w:szCs w:val="20"/>
              </w:rPr>
            </w:pPr>
            <w:r>
              <w:rPr>
                <w:szCs w:val="20"/>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restart"/>
            <w:tcBorders>
              <w:left w:val="nil"/>
            </w:tcBorders>
            <w:vAlign w:val="center"/>
          </w:tcPr>
          <w:p>
            <w:pPr>
              <w:jc w:val="center"/>
              <w:rPr>
                <w:sz w:val="20"/>
                <w:szCs w:val="20"/>
              </w:rPr>
            </w:pPr>
            <w:r>
              <w:rPr>
                <w:rFonts w:ascii="Times New Roman" w:hAnsi="Times New Roman"/>
                <w:bCs/>
                <w:kern w:val="0"/>
                <w:sz w:val="20"/>
                <w:szCs w:val="20"/>
              </w:rPr>
              <w:t>厂界上风向</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restart"/>
            <w:vAlign w:val="center"/>
          </w:tcPr>
          <w:p>
            <w:pPr>
              <w:jc w:val="center"/>
              <w:rPr>
                <w:sz w:val="20"/>
                <w:szCs w:val="20"/>
              </w:rPr>
            </w:pPr>
            <w:r>
              <w:rPr>
                <w:rFonts w:ascii="Times New Roman" w:hAnsi="Times New Roman"/>
                <w:bCs/>
                <w:kern w:val="0"/>
                <w:sz w:val="20"/>
                <w:szCs w:val="20"/>
              </w:rPr>
              <w:t>厂界上风向</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0.19</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0.27</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0.35</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0.32</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厂界下风向1</w:t>
            </w:r>
            <w:r>
              <w:rPr>
                <w:rFonts w:hint="eastAsia" w:ascii="Times New Roman" w:hAnsi="Times New Roman"/>
                <w:bCs/>
                <w:kern w:val="0"/>
                <w:sz w:val="20"/>
                <w:szCs w:val="20"/>
                <w:lang w:val="en-US" w:eastAsia="zh-CN"/>
              </w:rPr>
              <w:t>#</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厂界下风向1</w:t>
            </w:r>
            <w:r>
              <w:rPr>
                <w:rFonts w:hint="eastAsia" w:ascii="Times New Roman" w:hAnsi="Times New Roman"/>
                <w:bCs/>
                <w:kern w:val="0"/>
                <w:sz w:val="20"/>
                <w:szCs w:val="20"/>
                <w:lang w:val="en-US" w:eastAsia="zh-CN"/>
              </w:rPr>
              <w:t>#</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0.96</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0.87</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0.92</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0.98</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厂界下风向2</w:t>
            </w:r>
            <w:r>
              <w:rPr>
                <w:rFonts w:hint="eastAsia" w:ascii="Times New Roman" w:hAnsi="Times New Roman"/>
                <w:bCs/>
                <w:kern w:val="0"/>
                <w:sz w:val="20"/>
                <w:szCs w:val="20"/>
                <w:lang w:val="en-US" w:eastAsia="zh-CN"/>
              </w:rPr>
              <w:t>#</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厂界下风向2</w:t>
            </w:r>
            <w:r>
              <w:rPr>
                <w:rFonts w:hint="eastAsia" w:ascii="Times New Roman" w:hAnsi="Times New Roman"/>
                <w:bCs/>
                <w:kern w:val="0"/>
                <w:sz w:val="20"/>
                <w:szCs w:val="20"/>
                <w:lang w:val="en-US" w:eastAsia="zh-CN"/>
              </w:rPr>
              <w:t>#</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0.82</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0.77</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0.88</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0.90</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restart"/>
            <w:tcBorders>
              <w:left w:val="nil"/>
            </w:tcBorders>
            <w:vAlign w:val="center"/>
          </w:tcPr>
          <w:p>
            <w:pPr>
              <w:jc w:val="center"/>
              <w:rPr>
                <w:rFonts w:hint="eastAsia" w:eastAsia="宋体"/>
                <w:sz w:val="20"/>
                <w:szCs w:val="20"/>
                <w:lang w:val="en-US" w:eastAsia="zh-CN"/>
              </w:rPr>
            </w:pPr>
            <w:r>
              <w:rPr>
                <w:rFonts w:ascii="Times New Roman" w:hAnsi="Times New Roman"/>
                <w:bCs/>
                <w:kern w:val="0"/>
                <w:sz w:val="20"/>
                <w:szCs w:val="20"/>
              </w:rPr>
              <w:t>厂界下风向3</w:t>
            </w:r>
            <w:r>
              <w:rPr>
                <w:rFonts w:hint="eastAsia" w:ascii="Times New Roman" w:hAnsi="Times New Roman"/>
                <w:bCs/>
                <w:kern w:val="0"/>
                <w:sz w:val="20"/>
                <w:szCs w:val="20"/>
                <w:lang w:val="en-US" w:eastAsia="zh-CN"/>
              </w:rPr>
              <w:t>#</w:t>
            </w:r>
          </w:p>
        </w:tc>
        <w:tc>
          <w:tcPr>
            <w:tcW w:w="1077" w:type="dxa"/>
            <w:vAlign w:val="center"/>
          </w:tcPr>
          <w:p>
            <w:pPr>
              <w:pStyle w:val="24"/>
              <w:tabs>
                <w:tab w:val="left" w:pos="0"/>
              </w:tabs>
              <w:rPr>
                <w:szCs w:val="20"/>
              </w:rPr>
            </w:pPr>
            <w:r>
              <w:rPr>
                <w:rFonts w:hint="eastAsia"/>
                <w:szCs w:val="20"/>
                <w:lang w:val="en-US" w:eastAsia="zh-CN"/>
              </w:rPr>
              <w:t>2023.3.23</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厂界下风向3</w:t>
            </w:r>
            <w:r>
              <w:rPr>
                <w:rFonts w:hint="eastAsia" w:ascii="Times New Roman" w:hAnsi="Times New Roman"/>
                <w:bCs/>
                <w:kern w:val="0"/>
                <w:sz w:val="20"/>
                <w:szCs w:val="20"/>
                <w:lang w:val="en-US" w:eastAsia="zh-CN"/>
              </w:rPr>
              <w:t>#</w:t>
            </w:r>
          </w:p>
        </w:tc>
        <w:tc>
          <w:tcPr>
            <w:tcW w:w="1147" w:type="dxa"/>
            <w:vAlign w:val="center"/>
          </w:tcPr>
          <w:p>
            <w:pPr>
              <w:pStyle w:val="24"/>
              <w:tabs>
                <w:tab w:val="left" w:pos="0"/>
              </w:tabs>
              <w:rPr>
                <w:szCs w:val="20"/>
              </w:rPr>
            </w:pPr>
            <w:r>
              <w:rPr>
                <w:rFonts w:hint="eastAsia"/>
                <w:szCs w:val="20"/>
                <w:lang w:val="en-US" w:eastAsia="zh-CN"/>
              </w:rPr>
              <w:t>2023.3.23</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0.94</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1.00</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16" w:type="dxa"/>
            <w:vMerge w:val="continue"/>
            <w:tcBorders>
              <w:left w:val="nil"/>
            </w:tcBorders>
            <w:vAlign w:val="center"/>
          </w:tcPr>
          <w:p>
            <w:pPr>
              <w:pStyle w:val="24"/>
              <w:tabs>
                <w:tab w:val="left" w:pos="0"/>
              </w:tabs>
              <w:rPr>
                <w:szCs w:val="20"/>
              </w:rPr>
            </w:pPr>
          </w:p>
        </w:tc>
        <w:tc>
          <w:tcPr>
            <w:tcW w:w="1077" w:type="dxa"/>
            <w:vAlign w:val="center"/>
          </w:tcPr>
          <w:p>
            <w:pPr>
              <w:pStyle w:val="24"/>
              <w:tabs>
                <w:tab w:val="left" w:pos="0"/>
              </w:tabs>
              <w:rPr>
                <w:szCs w:val="20"/>
              </w:rPr>
            </w:pPr>
            <w:r>
              <w:rPr>
                <w:rFonts w:hint="eastAsia"/>
                <w:szCs w:val="20"/>
                <w:lang w:val="en-US" w:eastAsia="zh-CN"/>
              </w:rPr>
              <w:t>2023.3.24</w:t>
            </w:r>
          </w:p>
        </w:tc>
        <w:tc>
          <w:tcPr>
            <w:tcW w:w="1421" w:type="dxa"/>
            <w:vAlign w:val="center"/>
          </w:tcPr>
          <w:p>
            <w:pPr>
              <w:pStyle w:val="24"/>
              <w:bidi w:val="0"/>
              <w:jc w:val="center"/>
            </w:pPr>
            <w:r>
              <w:rPr>
                <w:rFonts w:hint="eastAsia"/>
                <w:lang w:val="en-US" w:eastAsia="zh-CN"/>
              </w:rPr>
              <w:t>&lt;0.01</w:t>
            </w:r>
          </w:p>
        </w:tc>
        <w:tc>
          <w:tcPr>
            <w:tcW w:w="1421" w:type="dxa"/>
            <w:vAlign w:val="center"/>
          </w:tcPr>
          <w:p>
            <w:pPr>
              <w:pStyle w:val="24"/>
              <w:bidi w:val="0"/>
              <w:jc w:val="center"/>
            </w:pPr>
            <w:r>
              <w:rPr>
                <w:rFonts w:hint="eastAsia"/>
                <w:lang w:val="en-US" w:eastAsia="zh-CN"/>
              </w:rPr>
              <w:t>&lt;0.01</w:t>
            </w:r>
          </w:p>
        </w:tc>
        <w:tc>
          <w:tcPr>
            <w:tcW w:w="1424" w:type="dxa"/>
            <w:vAlign w:val="center"/>
          </w:tcPr>
          <w:p>
            <w:pPr>
              <w:pStyle w:val="24"/>
              <w:bidi w:val="0"/>
              <w:jc w:val="center"/>
            </w:pPr>
            <w:r>
              <w:rPr>
                <w:rFonts w:hint="eastAsia"/>
                <w:lang w:val="en-US" w:eastAsia="zh-CN"/>
              </w:rPr>
              <w:t>&lt;0.01</w:t>
            </w:r>
          </w:p>
        </w:tc>
        <w:tc>
          <w:tcPr>
            <w:tcW w:w="1303" w:type="dxa"/>
            <w:vMerge w:val="continue"/>
            <w:vAlign w:val="center"/>
          </w:tcPr>
          <w:p>
            <w:pPr>
              <w:pStyle w:val="24"/>
              <w:tabs>
                <w:tab w:val="left" w:pos="0"/>
              </w:tabs>
              <w:rPr>
                <w:szCs w:val="20"/>
              </w:rPr>
            </w:pPr>
          </w:p>
        </w:tc>
        <w:tc>
          <w:tcPr>
            <w:tcW w:w="1147" w:type="dxa"/>
            <w:vAlign w:val="center"/>
          </w:tcPr>
          <w:p>
            <w:pPr>
              <w:pStyle w:val="24"/>
              <w:tabs>
                <w:tab w:val="left" w:pos="0"/>
              </w:tabs>
              <w:rPr>
                <w:szCs w:val="20"/>
              </w:rPr>
            </w:pPr>
            <w:r>
              <w:rPr>
                <w:rFonts w:hint="eastAsia"/>
                <w:szCs w:val="20"/>
                <w:lang w:val="en-US" w:eastAsia="zh-CN"/>
              </w:rPr>
              <w:t>2023.3.24</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0.81</w:t>
            </w:r>
          </w:p>
        </w:tc>
        <w:tc>
          <w:tcPr>
            <w:tcW w:w="1445" w:type="dxa"/>
            <w:vAlign w:val="center"/>
          </w:tcPr>
          <w:p>
            <w:pPr>
              <w:pStyle w:val="24"/>
              <w:tabs>
                <w:tab w:val="left" w:pos="0"/>
              </w:tabs>
              <w:rPr>
                <w:rFonts w:hint="default" w:eastAsia="宋体"/>
                <w:szCs w:val="20"/>
                <w:lang w:val="en-US" w:eastAsia="zh-CN"/>
              </w:rPr>
            </w:pPr>
            <w:r>
              <w:rPr>
                <w:rFonts w:hint="eastAsia"/>
                <w:szCs w:val="20"/>
                <w:lang w:val="en-US" w:eastAsia="zh-CN"/>
              </w:rPr>
              <w:t>0.85</w:t>
            </w:r>
          </w:p>
        </w:tc>
        <w:tc>
          <w:tcPr>
            <w:tcW w:w="1453" w:type="dxa"/>
            <w:tcBorders>
              <w:right w:val="nil"/>
            </w:tcBorders>
            <w:vAlign w:val="center"/>
          </w:tcPr>
          <w:p>
            <w:pPr>
              <w:pStyle w:val="24"/>
              <w:tabs>
                <w:tab w:val="left" w:pos="0"/>
              </w:tabs>
              <w:rPr>
                <w:rFonts w:hint="default" w:eastAsia="宋体"/>
                <w:szCs w:val="20"/>
                <w:lang w:val="en-US" w:eastAsia="zh-CN"/>
              </w:rPr>
            </w:pPr>
            <w:r>
              <w:rPr>
                <w:rFonts w:hint="eastAsia"/>
                <w:szCs w:val="20"/>
                <w:lang w:val="en-US" w:eastAsia="zh-CN"/>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2393" w:type="dxa"/>
            <w:gridSpan w:val="2"/>
            <w:tcBorders>
              <w:left w:val="nil"/>
            </w:tcBorders>
            <w:vAlign w:val="center"/>
          </w:tcPr>
          <w:p>
            <w:pPr>
              <w:pStyle w:val="24"/>
              <w:tabs>
                <w:tab w:val="left" w:pos="0"/>
              </w:tabs>
              <w:rPr>
                <w:szCs w:val="20"/>
              </w:rPr>
            </w:pPr>
            <w:r>
              <w:rPr>
                <w:szCs w:val="20"/>
              </w:rPr>
              <w:t>最大值</w:t>
            </w:r>
          </w:p>
        </w:tc>
        <w:tc>
          <w:tcPr>
            <w:tcW w:w="4266" w:type="dxa"/>
            <w:gridSpan w:val="3"/>
            <w:vAlign w:val="center"/>
          </w:tcPr>
          <w:p>
            <w:pPr>
              <w:pStyle w:val="24"/>
              <w:tabs>
                <w:tab w:val="left" w:pos="0"/>
              </w:tabs>
              <w:rPr>
                <w:szCs w:val="20"/>
              </w:rPr>
            </w:pPr>
            <w:r>
              <w:rPr>
                <w:rFonts w:hint="eastAsia"/>
                <w:szCs w:val="20"/>
                <w:lang w:val="en-US" w:eastAsia="zh-CN"/>
              </w:rPr>
              <w:t>&lt;0.01</w:t>
            </w:r>
          </w:p>
        </w:tc>
        <w:tc>
          <w:tcPr>
            <w:tcW w:w="2450" w:type="dxa"/>
            <w:gridSpan w:val="2"/>
            <w:vAlign w:val="center"/>
          </w:tcPr>
          <w:p>
            <w:pPr>
              <w:pStyle w:val="24"/>
              <w:tabs>
                <w:tab w:val="left" w:pos="0"/>
              </w:tabs>
              <w:rPr>
                <w:szCs w:val="20"/>
              </w:rPr>
            </w:pPr>
            <w:r>
              <w:rPr>
                <w:szCs w:val="20"/>
              </w:rPr>
              <w:t>最大值</w:t>
            </w:r>
          </w:p>
        </w:tc>
        <w:tc>
          <w:tcPr>
            <w:tcW w:w="4343" w:type="dxa"/>
            <w:gridSpan w:val="3"/>
            <w:tcBorders>
              <w:right w:val="nil"/>
            </w:tcBorders>
            <w:vAlign w:val="center"/>
          </w:tcPr>
          <w:p>
            <w:pPr>
              <w:jc w:val="center"/>
              <w:rPr>
                <w:rFonts w:hint="default" w:eastAsia="宋体"/>
                <w:szCs w:val="20"/>
                <w:lang w:val="en-US" w:eastAsia="zh-CN"/>
              </w:rPr>
            </w:pPr>
            <w:r>
              <w:rPr>
                <w:rFonts w:hint="eastAsia" w:ascii="Times New Roman" w:hAnsi="Times New Roman" w:cs="Times New Roman"/>
                <w:kern w:val="0"/>
                <w:sz w:val="20"/>
                <w:szCs w:val="20"/>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2393" w:type="dxa"/>
            <w:gridSpan w:val="2"/>
            <w:tcBorders>
              <w:left w:val="nil"/>
            </w:tcBorders>
            <w:vAlign w:val="center"/>
          </w:tcPr>
          <w:p>
            <w:pPr>
              <w:pStyle w:val="24"/>
              <w:tabs>
                <w:tab w:val="left" w:pos="0"/>
              </w:tabs>
              <w:rPr>
                <w:szCs w:val="20"/>
              </w:rPr>
            </w:pPr>
            <w:r>
              <w:rPr>
                <w:szCs w:val="20"/>
              </w:rPr>
              <w:t>执行标准</w:t>
            </w:r>
          </w:p>
        </w:tc>
        <w:tc>
          <w:tcPr>
            <w:tcW w:w="4266" w:type="dxa"/>
            <w:gridSpan w:val="3"/>
            <w:vAlign w:val="center"/>
          </w:tcPr>
          <w:p>
            <w:pPr>
              <w:pStyle w:val="24"/>
              <w:tabs>
                <w:tab w:val="left" w:pos="0"/>
              </w:tabs>
              <w:rPr>
                <w:szCs w:val="20"/>
              </w:rPr>
            </w:pPr>
            <w:r>
              <w:rPr>
                <w:szCs w:val="20"/>
              </w:rPr>
              <w:t>0.8</w:t>
            </w:r>
          </w:p>
        </w:tc>
        <w:tc>
          <w:tcPr>
            <w:tcW w:w="2450" w:type="dxa"/>
            <w:gridSpan w:val="2"/>
            <w:vAlign w:val="center"/>
          </w:tcPr>
          <w:p>
            <w:pPr>
              <w:pStyle w:val="24"/>
              <w:tabs>
                <w:tab w:val="left" w:pos="0"/>
              </w:tabs>
              <w:rPr>
                <w:szCs w:val="20"/>
              </w:rPr>
            </w:pPr>
            <w:r>
              <w:rPr>
                <w:szCs w:val="20"/>
              </w:rPr>
              <w:t>执行标准</w:t>
            </w:r>
          </w:p>
        </w:tc>
        <w:tc>
          <w:tcPr>
            <w:tcW w:w="4343" w:type="dxa"/>
            <w:gridSpan w:val="3"/>
            <w:tcBorders>
              <w:right w:val="nil"/>
            </w:tcBorders>
            <w:vAlign w:val="center"/>
          </w:tcPr>
          <w:p>
            <w:pPr>
              <w:pStyle w:val="24"/>
              <w:tabs>
                <w:tab w:val="left" w:pos="0"/>
              </w:tabs>
              <w:rPr>
                <w:rFonts w:hint="eastAsia" w:eastAsia="宋体"/>
                <w:szCs w:val="20"/>
                <w:lang w:eastAsia="zh-CN"/>
              </w:rPr>
            </w:pPr>
            <w:r>
              <w:rPr>
                <w:rFonts w:hint="eastAsia"/>
                <w:szCs w:val="20"/>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2393" w:type="dxa"/>
            <w:gridSpan w:val="2"/>
            <w:tcBorders>
              <w:left w:val="nil"/>
            </w:tcBorders>
            <w:vAlign w:val="center"/>
          </w:tcPr>
          <w:p>
            <w:pPr>
              <w:pStyle w:val="24"/>
              <w:tabs>
                <w:tab w:val="left" w:pos="0"/>
              </w:tabs>
              <w:rPr>
                <w:szCs w:val="20"/>
              </w:rPr>
            </w:pPr>
            <w:r>
              <w:rPr>
                <w:szCs w:val="20"/>
              </w:rPr>
              <w:t>达标情况</w:t>
            </w:r>
          </w:p>
        </w:tc>
        <w:tc>
          <w:tcPr>
            <w:tcW w:w="4266" w:type="dxa"/>
            <w:gridSpan w:val="3"/>
            <w:vAlign w:val="center"/>
          </w:tcPr>
          <w:p>
            <w:pPr>
              <w:pStyle w:val="24"/>
              <w:tabs>
                <w:tab w:val="left" w:pos="0"/>
              </w:tabs>
              <w:rPr>
                <w:szCs w:val="20"/>
              </w:rPr>
            </w:pPr>
            <w:r>
              <w:rPr>
                <w:szCs w:val="20"/>
              </w:rPr>
              <w:t>达标</w:t>
            </w:r>
          </w:p>
        </w:tc>
        <w:tc>
          <w:tcPr>
            <w:tcW w:w="2450" w:type="dxa"/>
            <w:gridSpan w:val="2"/>
            <w:vAlign w:val="center"/>
          </w:tcPr>
          <w:p>
            <w:pPr>
              <w:pStyle w:val="24"/>
              <w:tabs>
                <w:tab w:val="left" w:pos="0"/>
              </w:tabs>
              <w:rPr>
                <w:szCs w:val="20"/>
              </w:rPr>
            </w:pPr>
            <w:r>
              <w:rPr>
                <w:szCs w:val="20"/>
              </w:rPr>
              <w:t>达标情况</w:t>
            </w:r>
          </w:p>
        </w:tc>
        <w:tc>
          <w:tcPr>
            <w:tcW w:w="4343" w:type="dxa"/>
            <w:gridSpan w:val="3"/>
            <w:tcBorders>
              <w:right w:val="nil"/>
            </w:tcBorders>
            <w:vAlign w:val="center"/>
          </w:tcPr>
          <w:p>
            <w:pPr>
              <w:pStyle w:val="24"/>
              <w:tabs>
                <w:tab w:val="left" w:pos="0"/>
              </w:tabs>
              <w:rPr>
                <w:szCs w:val="20"/>
              </w:rPr>
            </w:pPr>
            <w:r>
              <w:rPr>
                <w:szCs w:val="20"/>
              </w:rPr>
              <w:t>达标</w:t>
            </w:r>
          </w:p>
        </w:tc>
      </w:tr>
    </w:tbl>
    <w:p>
      <w:pPr>
        <w:pStyle w:val="23"/>
        <w:sectPr>
          <w:pgSz w:w="16839" w:h="11907" w:orient="landscape"/>
          <w:pgMar w:top="1134" w:right="1800" w:bottom="1134"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23"/>
      </w:pPr>
      <w:r>
        <w:t>表9.2.</w:t>
      </w:r>
      <w:r>
        <w:rPr>
          <w:rFonts w:hint="eastAsia"/>
        </w:rPr>
        <w:t>1</w:t>
      </w:r>
      <w:r>
        <w:rPr>
          <w:rFonts w:hint="eastAsia"/>
          <w:lang w:val="en-US" w:eastAsia="zh-CN"/>
        </w:rPr>
        <w:t>1</w:t>
      </w:r>
      <w:r>
        <w:t xml:space="preserve"> </w:t>
      </w:r>
      <w:r>
        <w:rPr>
          <w:rFonts w:hint="eastAsia"/>
          <w:lang w:eastAsia="zh-CN"/>
        </w:rPr>
        <w:t>码头</w:t>
      </w:r>
      <w:r>
        <w:t>厂界无组织排放</w:t>
      </w:r>
      <w:r>
        <w:rPr>
          <w:rFonts w:hint="eastAsia"/>
          <w:lang w:val="en-US" w:eastAsia="zh-CN"/>
        </w:rPr>
        <w:t>NMHC</w:t>
      </w:r>
      <w:r>
        <w:t>监测结果一览表</w:t>
      </w:r>
    </w:p>
    <w:tbl>
      <w:tblPr>
        <w:tblStyle w:val="14"/>
        <w:tblW w:w="85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1741"/>
        <w:gridCol w:w="1731"/>
        <w:gridCol w:w="1731"/>
        <w:gridCol w:w="1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pStyle w:val="24"/>
              <w:bidi w:val="0"/>
            </w:pPr>
            <w:r>
              <w:t>监测</w:t>
            </w:r>
          </w:p>
          <w:p>
            <w:pPr>
              <w:pStyle w:val="24"/>
              <w:bidi w:val="0"/>
            </w:pPr>
            <w:r>
              <w:t>点位</w:t>
            </w:r>
          </w:p>
        </w:tc>
        <w:tc>
          <w:tcPr>
            <w:tcW w:w="1741" w:type="dxa"/>
            <w:vMerge w:val="restart"/>
            <w:vAlign w:val="center"/>
          </w:tcPr>
          <w:p>
            <w:pPr>
              <w:pStyle w:val="24"/>
              <w:bidi w:val="0"/>
            </w:pPr>
            <w:r>
              <w:t>日期</w:t>
            </w:r>
          </w:p>
        </w:tc>
        <w:tc>
          <w:tcPr>
            <w:tcW w:w="5210" w:type="dxa"/>
            <w:gridSpan w:val="3"/>
            <w:tcBorders>
              <w:right w:val="nil"/>
            </w:tcBorders>
            <w:vAlign w:val="center"/>
          </w:tcPr>
          <w:p>
            <w:pPr>
              <w:pStyle w:val="24"/>
              <w:bidi w:val="0"/>
              <w:rPr>
                <w:rFonts w:hint="eastAsia"/>
                <w:lang w:eastAsia="zh-CN"/>
              </w:rPr>
            </w:pPr>
            <w:r>
              <w:rPr>
                <w:rFonts w:hint="eastAsia"/>
              </w:rPr>
              <w:t>NMHC小时浓度值mg/m</w:t>
            </w:r>
            <w:r>
              <w:rPr>
                <w:rFonts w:hint="eastAsia"/>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bidi w:val="0"/>
            </w:pPr>
          </w:p>
        </w:tc>
        <w:tc>
          <w:tcPr>
            <w:tcW w:w="1741" w:type="dxa"/>
            <w:vMerge w:val="continue"/>
            <w:vAlign w:val="center"/>
          </w:tcPr>
          <w:p>
            <w:pPr>
              <w:pStyle w:val="24"/>
              <w:bidi w:val="0"/>
            </w:pPr>
          </w:p>
        </w:tc>
        <w:tc>
          <w:tcPr>
            <w:tcW w:w="1731" w:type="dxa"/>
            <w:vAlign w:val="center"/>
          </w:tcPr>
          <w:p>
            <w:pPr>
              <w:pStyle w:val="24"/>
              <w:bidi w:val="0"/>
            </w:pPr>
            <w:r>
              <w:t>第一次</w:t>
            </w:r>
          </w:p>
        </w:tc>
        <w:tc>
          <w:tcPr>
            <w:tcW w:w="1731" w:type="dxa"/>
            <w:vAlign w:val="center"/>
          </w:tcPr>
          <w:p>
            <w:pPr>
              <w:pStyle w:val="24"/>
              <w:bidi w:val="0"/>
            </w:pPr>
            <w:r>
              <w:t>第二次</w:t>
            </w:r>
          </w:p>
        </w:tc>
        <w:tc>
          <w:tcPr>
            <w:tcW w:w="1748" w:type="dxa"/>
            <w:tcBorders>
              <w:right w:val="nil"/>
            </w:tcBorders>
            <w:vAlign w:val="center"/>
          </w:tcPr>
          <w:p>
            <w:pPr>
              <w:pStyle w:val="24"/>
              <w:bidi w:val="0"/>
            </w:pPr>
            <w: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pStyle w:val="24"/>
              <w:bidi w:val="0"/>
            </w:pPr>
            <w:r>
              <w:rPr>
                <w:rFonts w:hint="eastAsia"/>
                <w:lang w:eastAsia="zh-CN"/>
              </w:rPr>
              <w:t>码头</w:t>
            </w:r>
            <w:r>
              <w:t>厂界</w:t>
            </w:r>
          </w:p>
          <w:p>
            <w:pPr>
              <w:pStyle w:val="24"/>
              <w:bidi w:val="0"/>
            </w:pPr>
            <w:r>
              <w:t>上风向</w:t>
            </w:r>
          </w:p>
        </w:tc>
        <w:tc>
          <w:tcPr>
            <w:tcW w:w="1741" w:type="dxa"/>
            <w:vAlign w:val="center"/>
          </w:tcPr>
          <w:p>
            <w:pPr>
              <w:pStyle w:val="24"/>
              <w:bidi w:val="0"/>
            </w:pPr>
            <w:r>
              <w:rPr>
                <w:rFonts w:hint="eastAsia"/>
                <w:lang w:val="en-US" w:eastAsia="zh-CN"/>
              </w:rPr>
              <w:t>2023.3.23</w:t>
            </w:r>
          </w:p>
        </w:tc>
        <w:tc>
          <w:tcPr>
            <w:tcW w:w="1731" w:type="dxa"/>
            <w:vAlign w:val="center"/>
          </w:tcPr>
          <w:p>
            <w:pPr>
              <w:pStyle w:val="24"/>
              <w:bidi w:val="0"/>
              <w:rPr>
                <w:rFonts w:hint="default"/>
                <w:lang w:val="en-US" w:eastAsia="zh-CN"/>
              </w:rPr>
            </w:pPr>
            <w:r>
              <w:rPr>
                <w:rFonts w:hint="eastAsia"/>
                <w:lang w:val="en-US" w:eastAsia="zh-CN"/>
              </w:rPr>
              <w:t>0.34</w:t>
            </w:r>
          </w:p>
        </w:tc>
        <w:tc>
          <w:tcPr>
            <w:tcW w:w="1731" w:type="dxa"/>
            <w:vAlign w:val="center"/>
          </w:tcPr>
          <w:p>
            <w:pPr>
              <w:pStyle w:val="24"/>
              <w:bidi w:val="0"/>
              <w:rPr>
                <w:rFonts w:hint="default" w:eastAsia="宋体"/>
                <w:lang w:val="en-US" w:eastAsia="zh-CN"/>
              </w:rPr>
            </w:pPr>
            <w:r>
              <w:rPr>
                <w:rFonts w:hint="eastAsia"/>
                <w:lang w:val="en-US" w:eastAsia="zh-CN"/>
              </w:rPr>
              <w:t>0.20</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bidi w:val="0"/>
            </w:pPr>
          </w:p>
        </w:tc>
        <w:tc>
          <w:tcPr>
            <w:tcW w:w="1741" w:type="dxa"/>
            <w:vAlign w:val="center"/>
          </w:tcPr>
          <w:p>
            <w:pPr>
              <w:pStyle w:val="24"/>
              <w:bidi w:val="0"/>
            </w:pPr>
            <w:r>
              <w:rPr>
                <w:rFonts w:hint="eastAsia"/>
                <w:lang w:val="en-US" w:eastAsia="zh-CN"/>
              </w:rPr>
              <w:t>2023.3.24</w:t>
            </w:r>
          </w:p>
        </w:tc>
        <w:tc>
          <w:tcPr>
            <w:tcW w:w="1731" w:type="dxa"/>
            <w:vAlign w:val="center"/>
          </w:tcPr>
          <w:p>
            <w:pPr>
              <w:pStyle w:val="24"/>
              <w:bidi w:val="0"/>
              <w:rPr>
                <w:rFonts w:hint="default" w:eastAsia="宋体"/>
                <w:lang w:val="en-US" w:eastAsia="zh-CN"/>
              </w:rPr>
            </w:pPr>
            <w:r>
              <w:rPr>
                <w:rFonts w:hint="eastAsia"/>
                <w:lang w:val="en-US" w:eastAsia="zh-CN"/>
              </w:rPr>
              <w:t>0.39</w:t>
            </w:r>
          </w:p>
        </w:tc>
        <w:tc>
          <w:tcPr>
            <w:tcW w:w="1731" w:type="dxa"/>
            <w:vAlign w:val="center"/>
          </w:tcPr>
          <w:p>
            <w:pPr>
              <w:pStyle w:val="24"/>
              <w:bidi w:val="0"/>
              <w:rPr>
                <w:rFonts w:hint="default" w:eastAsia="宋体"/>
                <w:lang w:val="en-US" w:eastAsia="zh-CN"/>
              </w:rPr>
            </w:pPr>
            <w:r>
              <w:rPr>
                <w:rFonts w:hint="eastAsia"/>
                <w:lang w:val="en-US" w:eastAsia="zh-CN"/>
              </w:rPr>
              <w:t>0.37</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pStyle w:val="24"/>
              <w:bidi w:val="0"/>
            </w:pPr>
            <w:r>
              <w:rPr>
                <w:rFonts w:hint="eastAsia"/>
                <w:lang w:eastAsia="zh-CN"/>
              </w:rPr>
              <w:t>码头</w:t>
            </w:r>
            <w:r>
              <w:t>厂界</w:t>
            </w:r>
          </w:p>
          <w:p>
            <w:pPr>
              <w:pStyle w:val="24"/>
              <w:bidi w:val="0"/>
              <w:rPr>
                <w:rFonts w:hint="eastAsia"/>
                <w:lang w:val="en-US" w:eastAsia="zh-CN"/>
              </w:rPr>
            </w:pPr>
            <w:r>
              <w:t>下风向1</w:t>
            </w:r>
            <w:r>
              <w:rPr>
                <w:rFonts w:hint="eastAsia"/>
                <w:lang w:val="en-US" w:eastAsia="zh-CN"/>
              </w:rPr>
              <w:t>#</w:t>
            </w:r>
          </w:p>
        </w:tc>
        <w:tc>
          <w:tcPr>
            <w:tcW w:w="1741" w:type="dxa"/>
            <w:vAlign w:val="center"/>
          </w:tcPr>
          <w:p>
            <w:pPr>
              <w:pStyle w:val="24"/>
              <w:bidi w:val="0"/>
            </w:pPr>
            <w:r>
              <w:rPr>
                <w:rFonts w:hint="eastAsia"/>
                <w:lang w:val="en-US" w:eastAsia="zh-CN"/>
              </w:rPr>
              <w:t>2023.3.23</w:t>
            </w:r>
          </w:p>
        </w:tc>
        <w:tc>
          <w:tcPr>
            <w:tcW w:w="1731" w:type="dxa"/>
            <w:vAlign w:val="center"/>
          </w:tcPr>
          <w:p>
            <w:pPr>
              <w:pStyle w:val="24"/>
              <w:bidi w:val="0"/>
              <w:rPr>
                <w:rFonts w:hint="default" w:eastAsia="宋体"/>
                <w:lang w:val="en-US" w:eastAsia="zh-CN"/>
              </w:rPr>
            </w:pPr>
            <w:r>
              <w:rPr>
                <w:rFonts w:hint="eastAsia"/>
                <w:lang w:val="en-US" w:eastAsia="zh-CN"/>
              </w:rPr>
              <w:t>0.72</w:t>
            </w:r>
          </w:p>
        </w:tc>
        <w:tc>
          <w:tcPr>
            <w:tcW w:w="1731" w:type="dxa"/>
            <w:vAlign w:val="center"/>
          </w:tcPr>
          <w:p>
            <w:pPr>
              <w:pStyle w:val="24"/>
              <w:bidi w:val="0"/>
              <w:rPr>
                <w:rFonts w:hint="default" w:eastAsia="宋体"/>
                <w:lang w:val="en-US" w:eastAsia="zh-CN"/>
              </w:rPr>
            </w:pPr>
            <w:r>
              <w:rPr>
                <w:rFonts w:hint="eastAsia"/>
                <w:lang w:val="en-US" w:eastAsia="zh-CN"/>
              </w:rPr>
              <w:t>0.73</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bidi w:val="0"/>
            </w:pPr>
          </w:p>
        </w:tc>
        <w:tc>
          <w:tcPr>
            <w:tcW w:w="1741" w:type="dxa"/>
            <w:vAlign w:val="center"/>
          </w:tcPr>
          <w:p>
            <w:pPr>
              <w:pStyle w:val="24"/>
              <w:bidi w:val="0"/>
            </w:pPr>
            <w:r>
              <w:rPr>
                <w:rFonts w:hint="eastAsia"/>
                <w:lang w:val="en-US" w:eastAsia="zh-CN"/>
              </w:rPr>
              <w:t>2023.3.24</w:t>
            </w:r>
          </w:p>
        </w:tc>
        <w:tc>
          <w:tcPr>
            <w:tcW w:w="1731" w:type="dxa"/>
            <w:vAlign w:val="center"/>
          </w:tcPr>
          <w:p>
            <w:pPr>
              <w:pStyle w:val="24"/>
              <w:bidi w:val="0"/>
              <w:rPr>
                <w:rFonts w:hint="default" w:eastAsia="宋体"/>
                <w:lang w:val="en-US" w:eastAsia="zh-CN"/>
              </w:rPr>
            </w:pPr>
            <w:r>
              <w:rPr>
                <w:rFonts w:hint="eastAsia"/>
                <w:lang w:val="en-US" w:eastAsia="zh-CN"/>
              </w:rPr>
              <w:t>0.85</w:t>
            </w:r>
          </w:p>
        </w:tc>
        <w:tc>
          <w:tcPr>
            <w:tcW w:w="1731" w:type="dxa"/>
            <w:vAlign w:val="center"/>
          </w:tcPr>
          <w:p>
            <w:pPr>
              <w:pStyle w:val="24"/>
              <w:bidi w:val="0"/>
              <w:rPr>
                <w:rFonts w:hint="default" w:eastAsia="宋体"/>
                <w:lang w:val="en-US" w:eastAsia="zh-CN"/>
              </w:rPr>
            </w:pPr>
            <w:r>
              <w:rPr>
                <w:rFonts w:hint="eastAsia"/>
                <w:lang w:val="en-US" w:eastAsia="zh-CN"/>
              </w:rPr>
              <w:t>0.92</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pStyle w:val="24"/>
              <w:bidi w:val="0"/>
            </w:pPr>
            <w:r>
              <w:rPr>
                <w:rFonts w:hint="eastAsia"/>
                <w:lang w:eastAsia="zh-CN"/>
              </w:rPr>
              <w:t>码头</w:t>
            </w:r>
            <w:r>
              <w:t>厂界</w:t>
            </w:r>
          </w:p>
          <w:p>
            <w:pPr>
              <w:pStyle w:val="24"/>
              <w:bidi w:val="0"/>
              <w:rPr>
                <w:rFonts w:hint="eastAsia"/>
                <w:lang w:val="en-US" w:eastAsia="zh-CN"/>
              </w:rPr>
            </w:pPr>
            <w:r>
              <w:t>下风向2</w:t>
            </w:r>
            <w:r>
              <w:rPr>
                <w:rFonts w:hint="eastAsia"/>
                <w:lang w:val="en-US" w:eastAsia="zh-CN"/>
              </w:rPr>
              <w:t>#</w:t>
            </w:r>
          </w:p>
        </w:tc>
        <w:tc>
          <w:tcPr>
            <w:tcW w:w="1741" w:type="dxa"/>
            <w:vAlign w:val="center"/>
          </w:tcPr>
          <w:p>
            <w:pPr>
              <w:pStyle w:val="24"/>
              <w:bidi w:val="0"/>
            </w:pPr>
            <w:r>
              <w:rPr>
                <w:rFonts w:hint="eastAsia"/>
                <w:lang w:val="en-US" w:eastAsia="zh-CN"/>
              </w:rPr>
              <w:t>2023.3.23</w:t>
            </w:r>
          </w:p>
        </w:tc>
        <w:tc>
          <w:tcPr>
            <w:tcW w:w="1731" w:type="dxa"/>
            <w:vAlign w:val="center"/>
          </w:tcPr>
          <w:p>
            <w:pPr>
              <w:pStyle w:val="24"/>
              <w:bidi w:val="0"/>
              <w:rPr>
                <w:rFonts w:hint="default" w:eastAsia="宋体"/>
                <w:lang w:val="en-US" w:eastAsia="zh-CN"/>
              </w:rPr>
            </w:pPr>
            <w:r>
              <w:rPr>
                <w:rFonts w:hint="eastAsia"/>
                <w:lang w:val="en-US" w:eastAsia="zh-CN"/>
              </w:rPr>
              <w:t>0.74</w:t>
            </w:r>
          </w:p>
        </w:tc>
        <w:tc>
          <w:tcPr>
            <w:tcW w:w="1731" w:type="dxa"/>
            <w:vAlign w:val="center"/>
          </w:tcPr>
          <w:p>
            <w:pPr>
              <w:pStyle w:val="24"/>
              <w:bidi w:val="0"/>
              <w:rPr>
                <w:rFonts w:hint="default" w:eastAsia="宋体"/>
                <w:lang w:val="en-US" w:eastAsia="zh-CN"/>
              </w:rPr>
            </w:pPr>
            <w:r>
              <w:rPr>
                <w:rFonts w:hint="eastAsia"/>
                <w:lang w:val="en-US" w:eastAsia="zh-CN"/>
              </w:rPr>
              <w:t>0.85</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bidi w:val="0"/>
            </w:pPr>
          </w:p>
        </w:tc>
        <w:tc>
          <w:tcPr>
            <w:tcW w:w="1741" w:type="dxa"/>
            <w:vAlign w:val="center"/>
          </w:tcPr>
          <w:p>
            <w:pPr>
              <w:pStyle w:val="24"/>
              <w:bidi w:val="0"/>
            </w:pPr>
            <w:r>
              <w:rPr>
                <w:rFonts w:hint="eastAsia"/>
                <w:lang w:val="en-US" w:eastAsia="zh-CN"/>
              </w:rPr>
              <w:t>2023.3.24</w:t>
            </w:r>
          </w:p>
        </w:tc>
        <w:tc>
          <w:tcPr>
            <w:tcW w:w="1731" w:type="dxa"/>
            <w:vAlign w:val="center"/>
          </w:tcPr>
          <w:p>
            <w:pPr>
              <w:pStyle w:val="24"/>
              <w:bidi w:val="0"/>
              <w:rPr>
                <w:rFonts w:hint="default" w:eastAsia="宋体"/>
                <w:lang w:val="en-US" w:eastAsia="zh-CN"/>
              </w:rPr>
            </w:pPr>
            <w:r>
              <w:rPr>
                <w:rFonts w:hint="eastAsia"/>
                <w:lang w:val="en-US" w:eastAsia="zh-CN"/>
              </w:rPr>
              <w:t>0.89</w:t>
            </w:r>
          </w:p>
        </w:tc>
        <w:tc>
          <w:tcPr>
            <w:tcW w:w="1731" w:type="dxa"/>
            <w:vAlign w:val="center"/>
          </w:tcPr>
          <w:p>
            <w:pPr>
              <w:pStyle w:val="24"/>
              <w:bidi w:val="0"/>
              <w:rPr>
                <w:rFonts w:hint="default" w:eastAsia="宋体"/>
                <w:lang w:val="en-US" w:eastAsia="zh-CN"/>
              </w:rPr>
            </w:pPr>
            <w:r>
              <w:rPr>
                <w:rFonts w:hint="eastAsia"/>
                <w:lang w:val="en-US" w:eastAsia="zh-CN"/>
              </w:rPr>
              <w:t>0.82</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pStyle w:val="24"/>
              <w:bidi w:val="0"/>
            </w:pPr>
            <w:r>
              <w:rPr>
                <w:rFonts w:hint="eastAsia"/>
                <w:lang w:eastAsia="zh-CN"/>
              </w:rPr>
              <w:t>码头</w:t>
            </w:r>
            <w:r>
              <w:t>厂界</w:t>
            </w:r>
          </w:p>
          <w:p>
            <w:pPr>
              <w:pStyle w:val="24"/>
              <w:bidi w:val="0"/>
              <w:rPr>
                <w:rFonts w:hint="eastAsia"/>
                <w:lang w:val="en-US" w:eastAsia="zh-CN"/>
              </w:rPr>
            </w:pPr>
            <w:r>
              <w:t>下风向3</w:t>
            </w:r>
            <w:r>
              <w:rPr>
                <w:rFonts w:hint="eastAsia"/>
                <w:lang w:val="en-US" w:eastAsia="zh-CN"/>
              </w:rPr>
              <w:t>#</w:t>
            </w:r>
          </w:p>
        </w:tc>
        <w:tc>
          <w:tcPr>
            <w:tcW w:w="1741" w:type="dxa"/>
            <w:vAlign w:val="center"/>
          </w:tcPr>
          <w:p>
            <w:pPr>
              <w:pStyle w:val="24"/>
              <w:bidi w:val="0"/>
            </w:pPr>
            <w:r>
              <w:rPr>
                <w:rFonts w:hint="eastAsia"/>
                <w:lang w:val="en-US" w:eastAsia="zh-CN"/>
              </w:rPr>
              <w:t>2023.3.23</w:t>
            </w:r>
          </w:p>
        </w:tc>
        <w:tc>
          <w:tcPr>
            <w:tcW w:w="1731" w:type="dxa"/>
            <w:vAlign w:val="center"/>
          </w:tcPr>
          <w:p>
            <w:pPr>
              <w:pStyle w:val="24"/>
              <w:bidi w:val="0"/>
              <w:rPr>
                <w:rFonts w:hint="default" w:eastAsia="宋体"/>
                <w:lang w:val="en-US" w:eastAsia="zh-CN"/>
              </w:rPr>
            </w:pPr>
            <w:r>
              <w:rPr>
                <w:rFonts w:hint="eastAsia"/>
                <w:lang w:val="en-US" w:eastAsia="zh-CN"/>
              </w:rPr>
              <w:t>0.91</w:t>
            </w:r>
          </w:p>
        </w:tc>
        <w:tc>
          <w:tcPr>
            <w:tcW w:w="1731" w:type="dxa"/>
            <w:vAlign w:val="center"/>
          </w:tcPr>
          <w:p>
            <w:pPr>
              <w:pStyle w:val="24"/>
              <w:bidi w:val="0"/>
              <w:rPr>
                <w:rFonts w:hint="default" w:eastAsia="宋体"/>
                <w:lang w:val="en-US" w:eastAsia="zh-CN"/>
              </w:rPr>
            </w:pPr>
            <w:r>
              <w:rPr>
                <w:rFonts w:hint="eastAsia"/>
                <w:lang w:val="en-US" w:eastAsia="zh-CN"/>
              </w:rPr>
              <w:t>0.86</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bidi w:val="0"/>
            </w:pPr>
          </w:p>
        </w:tc>
        <w:tc>
          <w:tcPr>
            <w:tcW w:w="1741" w:type="dxa"/>
            <w:vAlign w:val="center"/>
          </w:tcPr>
          <w:p>
            <w:pPr>
              <w:pStyle w:val="24"/>
              <w:bidi w:val="0"/>
            </w:pPr>
            <w:r>
              <w:rPr>
                <w:rFonts w:hint="eastAsia"/>
                <w:lang w:val="en-US" w:eastAsia="zh-CN"/>
              </w:rPr>
              <w:t>2023.3.24</w:t>
            </w:r>
          </w:p>
        </w:tc>
        <w:tc>
          <w:tcPr>
            <w:tcW w:w="1731" w:type="dxa"/>
            <w:vAlign w:val="center"/>
          </w:tcPr>
          <w:p>
            <w:pPr>
              <w:pStyle w:val="24"/>
              <w:bidi w:val="0"/>
              <w:rPr>
                <w:rFonts w:hint="default" w:eastAsia="宋体"/>
                <w:lang w:val="en-US" w:eastAsia="zh-CN"/>
              </w:rPr>
            </w:pPr>
            <w:r>
              <w:rPr>
                <w:rFonts w:hint="eastAsia"/>
                <w:lang w:val="en-US" w:eastAsia="zh-CN"/>
              </w:rPr>
              <w:t>0.83</w:t>
            </w:r>
          </w:p>
        </w:tc>
        <w:tc>
          <w:tcPr>
            <w:tcW w:w="1731" w:type="dxa"/>
            <w:vAlign w:val="center"/>
          </w:tcPr>
          <w:p>
            <w:pPr>
              <w:pStyle w:val="24"/>
              <w:bidi w:val="0"/>
              <w:rPr>
                <w:rFonts w:hint="default" w:eastAsia="宋体"/>
                <w:lang w:val="en-US" w:eastAsia="zh-CN"/>
              </w:rPr>
            </w:pPr>
            <w:r>
              <w:rPr>
                <w:rFonts w:hint="eastAsia"/>
                <w:lang w:val="en-US" w:eastAsia="zh-CN"/>
              </w:rPr>
              <w:t>0.81</w:t>
            </w:r>
          </w:p>
        </w:tc>
        <w:tc>
          <w:tcPr>
            <w:tcW w:w="1748" w:type="dxa"/>
            <w:tcBorders>
              <w:right w:val="nil"/>
            </w:tcBorders>
            <w:vAlign w:val="center"/>
          </w:tcPr>
          <w:p>
            <w:pPr>
              <w:pStyle w:val="24"/>
              <w:bidi w:val="0"/>
              <w:rPr>
                <w:rFonts w:hint="default" w:eastAsia="宋体"/>
                <w:lang w:val="en-US" w:eastAsia="zh-CN"/>
              </w:rPr>
            </w:pPr>
            <w:r>
              <w:rPr>
                <w:rFonts w:hint="eastAsia"/>
                <w:lang w:val="en-US" w:eastAsia="zh-CN"/>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3305" w:type="dxa"/>
            <w:gridSpan w:val="2"/>
            <w:vAlign w:val="center"/>
          </w:tcPr>
          <w:p>
            <w:pPr>
              <w:pStyle w:val="24"/>
              <w:bidi w:val="0"/>
            </w:pPr>
            <w:r>
              <w:t>最大值</w:t>
            </w:r>
          </w:p>
        </w:tc>
        <w:tc>
          <w:tcPr>
            <w:tcW w:w="5210" w:type="dxa"/>
            <w:gridSpan w:val="3"/>
            <w:tcBorders>
              <w:right w:val="nil"/>
            </w:tcBorders>
            <w:vAlign w:val="center"/>
          </w:tcPr>
          <w:p>
            <w:pPr>
              <w:pStyle w:val="24"/>
              <w:bidi w:val="0"/>
              <w:rPr>
                <w:rFonts w:hint="default" w:eastAsia="宋体"/>
                <w:lang w:val="en-US" w:eastAsia="zh-CN"/>
              </w:rPr>
            </w:pPr>
            <w:r>
              <w:rPr>
                <w:rFonts w:hint="eastAsia"/>
                <w:lang w:val="en-US" w:eastAsia="zh-CN"/>
              </w:rPr>
              <w:t>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3305" w:type="dxa"/>
            <w:gridSpan w:val="2"/>
            <w:vAlign w:val="center"/>
          </w:tcPr>
          <w:p>
            <w:pPr>
              <w:pStyle w:val="24"/>
              <w:bidi w:val="0"/>
            </w:pPr>
            <w:r>
              <w:t>执行标准</w:t>
            </w:r>
          </w:p>
        </w:tc>
        <w:tc>
          <w:tcPr>
            <w:tcW w:w="5210" w:type="dxa"/>
            <w:gridSpan w:val="3"/>
            <w:tcBorders>
              <w:right w:val="nil"/>
            </w:tcBorders>
            <w:vAlign w:val="center"/>
          </w:tcPr>
          <w:p>
            <w:pPr>
              <w:pStyle w:val="24"/>
              <w:bidi w:val="0"/>
              <w:rPr>
                <w:rFonts w:hint="eastAsia" w:eastAsia="宋体"/>
                <w:lang w:eastAsia="zh-CN"/>
              </w:rPr>
            </w:pPr>
            <w:r>
              <w:rPr>
                <w:rFonts w:hint="eastAsia"/>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3305" w:type="dxa"/>
            <w:gridSpan w:val="2"/>
            <w:vAlign w:val="center"/>
          </w:tcPr>
          <w:p>
            <w:pPr>
              <w:pStyle w:val="24"/>
              <w:bidi w:val="0"/>
            </w:pPr>
            <w:r>
              <w:t>达标情况</w:t>
            </w:r>
          </w:p>
        </w:tc>
        <w:tc>
          <w:tcPr>
            <w:tcW w:w="5210" w:type="dxa"/>
            <w:gridSpan w:val="3"/>
            <w:tcBorders>
              <w:right w:val="nil"/>
            </w:tcBorders>
            <w:vAlign w:val="center"/>
          </w:tcPr>
          <w:p>
            <w:pPr>
              <w:pStyle w:val="24"/>
              <w:bidi w:val="0"/>
            </w:pPr>
            <w:r>
              <w:t>达标</w:t>
            </w:r>
          </w:p>
        </w:tc>
      </w:tr>
    </w:tbl>
    <w:p>
      <w:pPr>
        <w:pStyle w:val="23"/>
      </w:pPr>
      <w:r>
        <w:t>表9.2.</w:t>
      </w:r>
      <w:r>
        <w:rPr>
          <w:rFonts w:hint="eastAsia"/>
        </w:rPr>
        <w:t>1</w:t>
      </w:r>
      <w:r>
        <w:rPr>
          <w:rFonts w:hint="eastAsia"/>
          <w:lang w:val="en-US" w:eastAsia="zh-CN"/>
        </w:rPr>
        <w:t>2</w:t>
      </w:r>
      <w:r>
        <w:t xml:space="preserve"> </w:t>
      </w:r>
      <w:r>
        <w:rPr>
          <w:rFonts w:hint="eastAsia"/>
          <w:lang w:eastAsia="zh-CN"/>
        </w:rPr>
        <w:t>库区</w:t>
      </w:r>
      <w:r>
        <w:t>厂界无组织排放臭气</w:t>
      </w:r>
      <w:r>
        <w:rPr>
          <w:rFonts w:hint="eastAsia"/>
          <w:lang w:val="en-US" w:eastAsia="zh-CN"/>
        </w:rPr>
        <w:t>浓度</w:t>
      </w:r>
      <w:r>
        <w:t>监测结果一览表</w:t>
      </w:r>
    </w:p>
    <w:tbl>
      <w:tblPr>
        <w:tblStyle w:val="14"/>
        <w:tblW w:w="85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1741"/>
        <w:gridCol w:w="1731"/>
        <w:gridCol w:w="1731"/>
        <w:gridCol w:w="1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741" w:type="dxa"/>
            <w:vMerge w:val="restart"/>
            <w:vAlign w:val="center"/>
          </w:tcPr>
          <w:p>
            <w:pPr>
              <w:pStyle w:val="24"/>
              <w:tabs>
                <w:tab w:val="left" w:pos="0"/>
              </w:tabs>
              <w:rPr>
                <w:szCs w:val="20"/>
              </w:rPr>
            </w:pPr>
            <w:r>
              <w:rPr>
                <w:szCs w:val="20"/>
              </w:rPr>
              <w:t>日期</w:t>
            </w:r>
          </w:p>
        </w:tc>
        <w:tc>
          <w:tcPr>
            <w:tcW w:w="5210" w:type="dxa"/>
            <w:gridSpan w:val="3"/>
            <w:tcBorders>
              <w:right w:val="nil"/>
            </w:tcBorders>
            <w:vAlign w:val="center"/>
          </w:tcPr>
          <w:p>
            <w:pPr>
              <w:pStyle w:val="24"/>
              <w:tabs>
                <w:tab w:val="left" w:pos="0"/>
              </w:tabs>
              <w:rPr>
                <w:rFonts w:hint="eastAsia" w:eastAsia="宋体"/>
                <w:szCs w:val="20"/>
                <w:lang w:eastAsia="zh-CN"/>
              </w:rPr>
            </w:pPr>
            <w:r>
              <w:rPr>
                <w:rFonts w:hint="eastAsia"/>
                <w:szCs w:val="20"/>
              </w:rPr>
              <w:t>臭气</w:t>
            </w:r>
            <w:r>
              <w:rPr>
                <w:szCs w:val="20"/>
              </w:rPr>
              <w:t>浓度</w:t>
            </w:r>
            <w:r>
              <w:rPr>
                <w:rFonts w:hint="eastAsia"/>
                <w:szCs w:val="20"/>
                <w:lang w:eastAsia="zh-CN"/>
              </w:rPr>
              <w:t>（</w:t>
            </w:r>
            <w:r>
              <w:rPr>
                <w:rFonts w:hint="eastAsia"/>
                <w:szCs w:val="20"/>
                <w:lang w:val="en-US" w:eastAsia="zh-CN"/>
              </w:rPr>
              <w:t>无量纲</w:t>
            </w:r>
            <w:r>
              <w:rPr>
                <w:rFonts w:hint="eastAsia"/>
                <w:szCs w:val="20"/>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tabs>
                <w:tab w:val="left" w:pos="0"/>
              </w:tabs>
              <w:rPr>
                <w:szCs w:val="20"/>
              </w:rPr>
            </w:pPr>
          </w:p>
        </w:tc>
        <w:tc>
          <w:tcPr>
            <w:tcW w:w="1741" w:type="dxa"/>
            <w:vMerge w:val="continue"/>
            <w:vAlign w:val="center"/>
          </w:tcPr>
          <w:p>
            <w:pPr>
              <w:pStyle w:val="24"/>
              <w:tabs>
                <w:tab w:val="left" w:pos="0"/>
              </w:tabs>
              <w:rPr>
                <w:szCs w:val="20"/>
              </w:rPr>
            </w:pPr>
          </w:p>
        </w:tc>
        <w:tc>
          <w:tcPr>
            <w:tcW w:w="1731" w:type="dxa"/>
            <w:vAlign w:val="center"/>
          </w:tcPr>
          <w:p>
            <w:pPr>
              <w:pStyle w:val="24"/>
              <w:tabs>
                <w:tab w:val="left" w:pos="0"/>
              </w:tabs>
              <w:rPr>
                <w:szCs w:val="20"/>
              </w:rPr>
            </w:pPr>
            <w:r>
              <w:rPr>
                <w:szCs w:val="20"/>
              </w:rPr>
              <w:t>第一次</w:t>
            </w:r>
          </w:p>
        </w:tc>
        <w:tc>
          <w:tcPr>
            <w:tcW w:w="1731" w:type="dxa"/>
            <w:vAlign w:val="center"/>
          </w:tcPr>
          <w:p>
            <w:pPr>
              <w:pStyle w:val="24"/>
              <w:tabs>
                <w:tab w:val="left" w:pos="0"/>
              </w:tabs>
              <w:rPr>
                <w:szCs w:val="20"/>
              </w:rPr>
            </w:pPr>
            <w:r>
              <w:rPr>
                <w:szCs w:val="20"/>
              </w:rPr>
              <w:t>第二次</w:t>
            </w:r>
          </w:p>
        </w:tc>
        <w:tc>
          <w:tcPr>
            <w:tcW w:w="1748" w:type="dxa"/>
            <w:tcBorders>
              <w:right w:val="nil"/>
            </w:tcBorders>
            <w:vAlign w:val="center"/>
          </w:tcPr>
          <w:p>
            <w:pPr>
              <w:pStyle w:val="24"/>
              <w:tabs>
                <w:tab w:val="left" w:pos="0"/>
              </w:tabs>
              <w:rPr>
                <w:szCs w:val="20"/>
              </w:rPr>
            </w:pPr>
            <w:r>
              <w:rPr>
                <w:szCs w:val="20"/>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jc w:val="center"/>
              <w:rPr>
                <w:sz w:val="20"/>
                <w:szCs w:val="20"/>
              </w:rPr>
            </w:pPr>
            <w:r>
              <w:rPr>
                <w:rFonts w:ascii="Times New Roman" w:hAnsi="Times New Roman"/>
                <w:bCs/>
                <w:kern w:val="0"/>
                <w:sz w:val="20"/>
                <w:szCs w:val="20"/>
              </w:rPr>
              <w:t>厂界上风向</w:t>
            </w:r>
          </w:p>
        </w:tc>
        <w:tc>
          <w:tcPr>
            <w:tcW w:w="1741" w:type="dxa"/>
            <w:vAlign w:val="center"/>
          </w:tcPr>
          <w:p>
            <w:pPr>
              <w:pStyle w:val="24"/>
              <w:tabs>
                <w:tab w:val="left" w:pos="0"/>
              </w:tabs>
              <w:rPr>
                <w:szCs w:val="20"/>
              </w:rPr>
            </w:pPr>
            <w:r>
              <w:rPr>
                <w:rFonts w:hint="eastAsia"/>
                <w:szCs w:val="20"/>
                <w:lang w:val="en-US" w:eastAsia="zh-CN"/>
              </w:rPr>
              <w:t>2023.3.23</w:t>
            </w:r>
          </w:p>
        </w:tc>
        <w:tc>
          <w:tcPr>
            <w:tcW w:w="1731" w:type="dxa"/>
            <w:vAlign w:val="center"/>
          </w:tcPr>
          <w:p>
            <w:pPr>
              <w:jc w:val="center"/>
              <w:rPr>
                <w:rFonts w:hint="default" w:ascii="Times New Roman" w:hAnsi="Times New Roman" w:eastAsia="宋体"/>
                <w:sz w:val="20"/>
                <w:szCs w:val="20"/>
                <w:lang w:val="en-US" w:eastAsia="zh-CN"/>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tabs>
                <w:tab w:val="left" w:pos="0"/>
              </w:tabs>
              <w:rPr>
                <w:szCs w:val="20"/>
              </w:rPr>
            </w:pPr>
          </w:p>
        </w:tc>
        <w:tc>
          <w:tcPr>
            <w:tcW w:w="1741" w:type="dxa"/>
            <w:vAlign w:val="center"/>
          </w:tcPr>
          <w:p>
            <w:pPr>
              <w:pStyle w:val="24"/>
              <w:tabs>
                <w:tab w:val="left" w:pos="0"/>
              </w:tabs>
              <w:rPr>
                <w:szCs w:val="20"/>
              </w:rPr>
            </w:pPr>
            <w:r>
              <w:rPr>
                <w:rFonts w:hint="eastAsia"/>
                <w:szCs w:val="20"/>
                <w:lang w:val="en-US" w:eastAsia="zh-CN"/>
              </w:rPr>
              <w:t>2023.3.24</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厂界下风向1</w:t>
            </w:r>
            <w:r>
              <w:rPr>
                <w:rFonts w:hint="eastAsia" w:ascii="Times New Roman" w:hAnsi="Times New Roman"/>
                <w:bCs/>
                <w:kern w:val="0"/>
                <w:sz w:val="20"/>
                <w:szCs w:val="20"/>
                <w:lang w:val="en-US" w:eastAsia="zh-CN"/>
              </w:rPr>
              <w:t>#</w:t>
            </w:r>
          </w:p>
        </w:tc>
        <w:tc>
          <w:tcPr>
            <w:tcW w:w="1741" w:type="dxa"/>
            <w:vAlign w:val="center"/>
          </w:tcPr>
          <w:p>
            <w:pPr>
              <w:pStyle w:val="24"/>
              <w:tabs>
                <w:tab w:val="left" w:pos="0"/>
              </w:tabs>
              <w:rPr>
                <w:szCs w:val="20"/>
              </w:rPr>
            </w:pPr>
            <w:r>
              <w:rPr>
                <w:rFonts w:hint="eastAsia"/>
                <w:szCs w:val="20"/>
                <w:lang w:val="en-US" w:eastAsia="zh-CN"/>
              </w:rPr>
              <w:t>2023.3.23</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tabs>
                <w:tab w:val="left" w:pos="0"/>
              </w:tabs>
              <w:rPr>
                <w:szCs w:val="20"/>
              </w:rPr>
            </w:pPr>
          </w:p>
        </w:tc>
        <w:tc>
          <w:tcPr>
            <w:tcW w:w="1741" w:type="dxa"/>
            <w:vAlign w:val="center"/>
          </w:tcPr>
          <w:p>
            <w:pPr>
              <w:pStyle w:val="24"/>
              <w:tabs>
                <w:tab w:val="left" w:pos="0"/>
              </w:tabs>
              <w:rPr>
                <w:szCs w:val="20"/>
              </w:rPr>
            </w:pPr>
            <w:r>
              <w:rPr>
                <w:rFonts w:hint="eastAsia"/>
                <w:szCs w:val="20"/>
                <w:lang w:val="en-US" w:eastAsia="zh-CN"/>
              </w:rPr>
              <w:t>2023.3.24</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厂界下风向2</w:t>
            </w:r>
            <w:r>
              <w:rPr>
                <w:rFonts w:hint="eastAsia" w:ascii="Times New Roman" w:hAnsi="Times New Roman"/>
                <w:bCs/>
                <w:kern w:val="0"/>
                <w:sz w:val="20"/>
                <w:szCs w:val="20"/>
                <w:lang w:val="en-US" w:eastAsia="zh-CN"/>
              </w:rPr>
              <w:t>#</w:t>
            </w:r>
          </w:p>
        </w:tc>
        <w:tc>
          <w:tcPr>
            <w:tcW w:w="1741" w:type="dxa"/>
            <w:vAlign w:val="center"/>
          </w:tcPr>
          <w:p>
            <w:pPr>
              <w:pStyle w:val="24"/>
              <w:tabs>
                <w:tab w:val="left" w:pos="0"/>
              </w:tabs>
              <w:rPr>
                <w:szCs w:val="20"/>
              </w:rPr>
            </w:pPr>
            <w:r>
              <w:rPr>
                <w:rFonts w:hint="eastAsia"/>
                <w:szCs w:val="20"/>
                <w:lang w:val="en-US" w:eastAsia="zh-CN"/>
              </w:rPr>
              <w:t>2023.3.23</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tabs>
                <w:tab w:val="left" w:pos="0"/>
              </w:tabs>
              <w:rPr>
                <w:szCs w:val="20"/>
              </w:rPr>
            </w:pPr>
          </w:p>
        </w:tc>
        <w:tc>
          <w:tcPr>
            <w:tcW w:w="1741" w:type="dxa"/>
            <w:vAlign w:val="center"/>
          </w:tcPr>
          <w:p>
            <w:pPr>
              <w:pStyle w:val="24"/>
              <w:tabs>
                <w:tab w:val="left" w:pos="0"/>
              </w:tabs>
              <w:rPr>
                <w:szCs w:val="20"/>
              </w:rPr>
            </w:pPr>
            <w:r>
              <w:rPr>
                <w:rFonts w:hint="eastAsia"/>
                <w:szCs w:val="20"/>
                <w:lang w:val="en-US" w:eastAsia="zh-CN"/>
              </w:rPr>
              <w:t>2023.3.24</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restart"/>
            <w:vAlign w:val="center"/>
          </w:tcPr>
          <w:p>
            <w:pPr>
              <w:jc w:val="center"/>
              <w:rPr>
                <w:rFonts w:hint="eastAsia" w:eastAsia="宋体"/>
                <w:sz w:val="20"/>
                <w:szCs w:val="20"/>
                <w:lang w:val="en-US" w:eastAsia="zh-CN"/>
              </w:rPr>
            </w:pPr>
            <w:r>
              <w:rPr>
                <w:rFonts w:ascii="Times New Roman" w:hAnsi="Times New Roman"/>
                <w:bCs/>
                <w:kern w:val="0"/>
                <w:sz w:val="20"/>
                <w:szCs w:val="20"/>
              </w:rPr>
              <w:t>厂界下风向3</w:t>
            </w:r>
            <w:r>
              <w:rPr>
                <w:rFonts w:hint="eastAsia" w:ascii="Times New Roman" w:hAnsi="Times New Roman"/>
                <w:bCs/>
                <w:kern w:val="0"/>
                <w:sz w:val="20"/>
                <w:szCs w:val="20"/>
                <w:lang w:val="en-US" w:eastAsia="zh-CN"/>
              </w:rPr>
              <w:t>#</w:t>
            </w:r>
          </w:p>
        </w:tc>
        <w:tc>
          <w:tcPr>
            <w:tcW w:w="1741" w:type="dxa"/>
            <w:vAlign w:val="center"/>
          </w:tcPr>
          <w:p>
            <w:pPr>
              <w:pStyle w:val="24"/>
              <w:tabs>
                <w:tab w:val="left" w:pos="0"/>
              </w:tabs>
              <w:rPr>
                <w:szCs w:val="20"/>
              </w:rPr>
            </w:pPr>
            <w:r>
              <w:rPr>
                <w:rFonts w:hint="eastAsia"/>
                <w:szCs w:val="20"/>
                <w:lang w:val="en-US" w:eastAsia="zh-CN"/>
              </w:rPr>
              <w:t>2023.3.23</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564" w:type="dxa"/>
            <w:vMerge w:val="continue"/>
            <w:vAlign w:val="center"/>
          </w:tcPr>
          <w:p>
            <w:pPr>
              <w:pStyle w:val="24"/>
              <w:tabs>
                <w:tab w:val="left" w:pos="0"/>
              </w:tabs>
              <w:rPr>
                <w:szCs w:val="20"/>
              </w:rPr>
            </w:pPr>
          </w:p>
        </w:tc>
        <w:tc>
          <w:tcPr>
            <w:tcW w:w="1741" w:type="dxa"/>
            <w:vAlign w:val="center"/>
          </w:tcPr>
          <w:p>
            <w:pPr>
              <w:pStyle w:val="24"/>
              <w:tabs>
                <w:tab w:val="left" w:pos="0"/>
              </w:tabs>
              <w:rPr>
                <w:szCs w:val="20"/>
              </w:rPr>
            </w:pPr>
            <w:r>
              <w:rPr>
                <w:rFonts w:hint="eastAsia"/>
                <w:szCs w:val="20"/>
                <w:lang w:val="en-US" w:eastAsia="zh-CN"/>
              </w:rPr>
              <w:t>2023.3.24</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31" w:type="dxa"/>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c>
          <w:tcPr>
            <w:tcW w:w="1748" w:type="dxa"/>
            <w:tcBorders>
              <w:right w:val="nil"/>
            </w:tcBorders>
            <w:vAlign w:val="center"/>
          </w:tcPr>
          <w:p>
            <w:pPr>
              <w:jc w:val="center"/>
              <w:rPr>
                <w:rFonts w:ascii="Times New Roman" w:hAnsi="Times New Roman"/>
                <w:sz w:val="20"/>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3305" w:type="dxa"/>
            <w:gridSpan w:val="2"/>
            <w:vAlign w:val="center"/>
          </w:tcPr>
          <w:p>
            <w:pPr>
              <w:pStyle w:val="24"/>
              <w:tabs>
                <w:tab w:val="left" w:pos="0"/>
              </w:tabs>
              <w:rPr>
                <w:szCs w:val="20"/>
              </w:rPr>
            </w:pPr>
            <w:r>
              <w:rPr>
                <w:szCs w:val="20"/>
              </w:rPr>
              <w:t>最大值</w:t>
            </w:r>
          </w:p>
        </w:tc>
        <w:tc>
          <w:tcPr>
            <w:tcW w:w="5210" w:type="dxa"/>
            <w:gridSpan w:val="3"/>
            <w:tcBorders>
              <w:right w:val="nil"/>
            </w:tcBorders>
            <w:vAlign w:val="center"/>
          </w:tcPr>
          <w:p>
            <w:pPr>
              <w:pStyle w:val="24"/>
              <w:tabs>
                <w:tab w:val="left" w:pos="0"/>
              </w:tabs>
              <w:rPr>
                <w:szCs w:val="20"/>
              </w:rPr>
            </w:pPr>
            <w:r>
              <w:rPr>
                <w:rFonts w:hint="eastAsia" w:ascii="Times New Roman" w:hAnsi="Times New Roman"/>
                <w:sz w:val="20"/>
                <w:szCs w:val="20"/>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3305" w:type="dxa"/>
            <w:gridSpan w:val="2"/>
            <w:vAlign w:val="center"/>
          </w:tcPr>
          <w:p>
            <w:pPr>
              <w:pStyle w:val="24"/>
              <w:tabs>
                <w:tab w:val="left" w:pos="0"/>
              </w:tabs>
              <w:rPr>
                <w:szCs w:val="20"/>
              </w:rPr>
            </w:pPr>
            <w:r>
              <w:rPr>
                <w:szCs w:val="20"/>
              </w:rPr>
              <w:t>执行标准</w:t>
            </w:r>
          </w:p>
        </w:tc>
        <w:tc>
          <w:tcPr>
            <w:tcW w:w="5210" w:type="dxa"/>
            <w:gridSpan w:val="3"/>
            <w:tcBorders>
              <w:right w:val="nil"/>
            </w:tcBorders>
            <w:vAlign w:val="center"/>
          </w:tcPr>
          <w:p>
            <w:pPr>
              <w:pStyle w:val="24"/>
              <w:tabs>
                <w:tab w:val="left" w:pos="0"/>
              </w:tabs>
              <w:rPr>
                <w:szCs w:val="20"/>
              </w:rPr>
            </w:pPr>
            <w:r>
              <w:rPr>
                <w:rFonts w:hint="eastAsia"/>
                <w:szCs w:val="2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3305" w:type="dxa"/>
            <w:gridSpan w:val="2"/>
            <w:vAlign w:val="center"/>
          </w:tcPr>
          <w:p>
            <w:pPr>
              <w:pStyle w:val="24"/>
              <w:tabs>
                <w:tab w:val="left" w:pos="0"/>
              </w:tabs>
              <w:rPr>
                <w:szCs w:val="20"/>
              </w:rPr>
            </w:pPr>
            <w:r>
              <w:rPr>
                <w:szCs w:val="20"/>
              </w:rPr>
              <w:t>达标情况</w:t>
            </w:r>
          </w:p>
        </w:tc>
        <w:tc>
          <w:tcPr>
            <w:tcW w:w="5210" w:type="dxa"/>
            <w:gridSpan w:val="3"/>
            <w:tcBorders>
              <w:right w:val="nil"/>
            </w:tcBorders>
            <w:vAlign w:val="center"/>
          </w:tcPr>
          <w:p>
            <w:pPr>
              <w:pStyle w:val="24"/>
              <w:tabs>
                <w:tab w:val="left" w:pos="0"/>
              </w:tabs>
              <w:rPr>
                <w:szCs w:val="20"/>
              </w:rPr>
            </w:pPr>
            <w:r>
              <w:rPr>
                <w:szCs w:val="20"/>
              </w:rPr>
              <w:t>达标</w:t>
            </w:r>
          </w:p>
        </w:tc>
      </w:tr>
    </w:tbl>
    <w:p>
      <w:pPr>
        <w:pStyle w:val="23"/>
        <w:spacing w:before="240"/>
        <w:sectPr>
          <w:pgSz w:w="11907" w:h="16839"/>
          <w:pgMar w:top="1440" w:right="1803" w:bottom="1440" w:left="1803" w:header="851" w:footer="992" w:gutter="0"/>
          <w:pgBorders>
            <w:top w:val="none" w:sz="0" w:space="0"/>
            <w:left w:val="none" w:sz="0" w:space="0"/>
            <w:bottom w:val="none" w:sz="0" w:space="0"/>
            <w:right w:val="none" w:sz="0" w:space="0"/>
          </w:pgBorders>
          <w:cols w:space="720" w:num="1"/>
          <w:docGrid w:type="lines" w:linePitch="312" w:charSpace="0"/>
        </w:sectPr>
      </w:pPr>
    </w:p>
    <w:p>
      <w:pPr>
        <w:pStyle w:val="23"/>
        <w:spacing w:before="240"/>
      </w:pPr>
      <w:r>
        <w:t>表9.2.1</w:t>
      </w:r>
      <w:r>
        <w:rPr>
          <w:rFonts w:hint="eastAsia"/>
          <w:lang w:val="en-US" w:eastAsia="zh-CN"/>
        </w:rPr>
        <w:t>3</w:t>
      </w:r>
      <w:r>
        <w:t xml:space="preserve"> 厂内无组织排放NMHC监测结果一览表</w:t>
      </w:r>
    </w:p>
    <w:tbl>
      <w:tblPr>
        <w:tblStyle w:val="14"/>
        <w:tblW w:w="851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752"/>
        <w:gridCol w:w="1204"/>
        <w:gridCol w:w="1342"/>
        <w:gridCol w:w="1420"/>
        <w:gridCol w:w="13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restart"/>
            <w:tcBorders>
              <w:tl2br w:val="nil"/>
              <w:tr2bl w:val="nil"/>
            </w:tcBorders>
            <w:vAlign w:val="center"/>
          </w:tcPr>
          <w:p>
            <w:pPr>
              <w:pStyle w:val="24"/>
              <w:tabs>
                <w:tab w:val="left" w:pos="0"/>
              </w:tabs>
              <w:rPr>
                <w:szCs w:val="20"/>
              </w:rPr>
            </w:pPr>
            <w:r>
              <w:rPr>
                <w:szCs w:val="20"/>
              </w:rPr>
              <w:t>监测</w:t>
            </w:r>
          </w:p>
          <w:p>
            <w:pPr>
              <w:pStyle w:val="24"/>
              <w:tabs>
                <w:tab w:val="left" w:pos="0"/>
              </w:tabs>
              <w:rPr>
                <w:szCs w:val="20"/>
              </w:rPr>
            </w:pPr>
            <w:r>
              <w:rPr>
                <w:szCs w:val="20"/>
              </w:rPr>
              <w:t>点位</w:t>
            </w:r>
          </w:p>
        </w:tc>
        <w:tc>
          <w:tcPr>
            <w:tcW w:w="1752" w:type="dxa"/>
            <w:vMerge w:val="restart"/>
            <w:tcBorders>
              <w:tl2br w:val="nil"/>
              <w:tr2bl w:val="nil"/>
            </w:tcBorders>
            <w:vAlign w:val="center"/>
          </w:tcPr>
          <w:p>
            <w:pPr>
              <w:pStyle w:val="24"/>
              <w:tabs>
                <w:tab w:val="left" w:pos="0"/>
              </w:tabs>
              <w:rPr>
                <w:szCs w:val="20"/>
              </w:rPr>
            </w:pPr>
            <w:r>
              <w:rPr>
                <w:szCs w:val="20"/>
              </w:rPr>
              <w:t>日期</w:t>
            </w:r>
          </w:p>
        </w:tc>
        <w:tc>
          <w:tcPr>
            <w:tcW w:w="5340" w:type="dxa"/>
            <w:gridSpan w:val="4"/>
            <w:tcBorders>
              <w:tl2br w:val="nil"/>
              <w:tr2bl w:val="nil"/>
            </w:tcBorders>
            <w:vAlign w:val="center"/>
          </w:tcPr>
          <w:p>
            <w:pPr>
              <w:pStyle w:val="24"/>
              <w:tabs>
                <w:tab w:val="left" w:pos="0"/>
              </w:tabs>
              <w:rPr>
                <w:szCs w:val="20"/>
              </w:rPr>
            </w:pPr>
            <w:r>
              <w:rPr>
                <w:szCs w:val="20"/>
              </w:rPr>
              <w:t>浓度值mg/m</w:t>
            </w:r>
            <w:r>
              <w:rPr>
                <w:szCs w:val="20"/>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continue"/>
            <w:tcBorders>
              <w:tl2br w:val="nil"/>
              <w:tr2bl w:val="nil"/>
            </w:tcBorders>
            <w:vAlign w:val="center"/>
          </w:tcPr>
          <w:p>
            <w:pPr>
              <w:pStyle w:val="24"/>
              <w:tabs>
                <w:tab w:val="left" w:pos="0"/>
              </w:tabs>
              <w:rPr>
                <w:szCs w:val="20"/>
              </w:rPr>
            </w:pPr>
          </w:p>
        </w:tc>
        <w:tc>
          <w:tcPr>
            <w:tcW w:w="1752" w:type="dxa"/>
            <w:vMerge w:val="continue"/>
            <w:tcBorders>
              <w:tl2br w:val="nil"/>
              <w:tr2bl w:val="nil"/>
            </w:tcBorders>
            <w:vAlign w:val="center"/>
          </w:tcPr>
          <w:p>
            <w:pPr>
              <w:pStyle w:val="24"/>
              <w:tabs>
                <w:tab w:val="left" w:pos="0"/>
              </w:tabs>
              <w:rPr>
                <w:szCs w:val="20"/>
              </w:rPr>
            </w:pPr>
          </w:p>
        </w:tc>
        <w:tc>
          <w:tcPr>
            <w:tcW w:w="1204" w:type="dxa"/>
            <w:tcBorders>
              <w:tl2br w:val="nil"/>
              <w:tr2bl w:val="nil"/>
            </w:tcBorders>
            <w:vAlign w:val="center"/>
          </w:tcPr>
          <w:p>
            <w:pPr>
              <w:pStyle w:val="24"/>
              <w:tabs>
                <w:tab w:val="left" w:pos="0"/>
              </w:tabs>
              <w:rPr>
                <w:szCs w:val="20"/>
              </w:rPr>
            </w:pPr>
            <w:r>
              <w:rPr>
                <w:szCs w:val="20"/>
              </w:rPr>
              <w:t>第一次</w:t>
            </w:r>
          </w:p>
        </w:tc>
        <w:tc>
          <w:tcPr>
            <w:tcW w:w="1342" w:type="dxa"/>
            <w:tcBorders>
              <w:tl2br w:val="nil"/>
              <w:tr2bl w:val="nil"/>
            </w:tcBorders>
            <w:vAlign w:val="center"/>
          </w:tcPr>
          <w:p>
            <w:pPr>
              <w:pStyle w:val="24"/>
              <w:tabs>
                <w:tab w:val="left" w:pos="0"/>
              </w:tabs>
              <w:rPr>
                <w:szCs w:val="20"/>
              </w:rPr>
            </w:pPr>
            <w:r>
              <w:rPr>
                <w:szCs w:val="20"/>
              </w:rPr>
              <w:t>第二次</w:t>
            </w:r>
          </w:p>
        </w:tc>
        <w:tc>
          <w:tcPr>
            <w:tcW w:w="1420" w:type="dxa"/>
            <w:tcBorders>
              <w:tl2br w:val="nil"/>
              <w:tr2bl w:val="nil"/>
            </w:tcBorders>
            <w:vAlign w:val="center"/>
          </w:tcPr>
          <w:p>
            <w:pPr>
              <w:pStyle w:val="24"/>
              <w:tabs>
                <w:tab w:val="left" w:pos="0"/>
              </w:tabs>
              <w:rPr>
                <w:szCs w:val="20"/>
              </w:rPr>
            </w:pPr>
            <w:r>
              <w:rPr>
                <w:szCs w:val="20"/>
              </w:rPr>
              <w:t>第三次</w:t>
            </w:r>
          </w:p>
        </w:tc>
        <w:tc>
          <w:tcPr>
            <w:tcW w:w="1374" w:type="dxa"/>
            <w:tcBorders>
              <w:tl2br w:val="nil"/>
              <w:tr2bl w:val="nil"/>
            </w:tcBorders>
            <w:vAlign w:val="center"/>
          </w:tcPr>
          <w:p>
            <w:pPr>
              <w:pStyle w:val="24"/>
              <w:tabs>
                <w:tab w:val="left" w:pos="0"/>
              </w:tabs>
              <w:rPr>
                <w:szCs w:val="20"/>
              </w:rPr>
            </w:pPr>
            <w:r>
              <w:rPr>
                <w:szCs w:val="20"/>
              </w:rPr>
              <w:t>1h平均值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restart"/>
            <w:tcBorders>
              <w:tl2br w:val="nil"/>
              <w:tr2bl w:val="nil"/>
            </w:tcBorders>
            <w:vAlign w:val="center"/>
          </w:tcPr>
          <w:p>
            <w:pPr>
              <w:jc w:val="center"/>
              <w:rPr>
                <w:rFonts w:hint="eastAsia" w:eastAsia="宋体"/>
                <w:sz w:val="20"/>
                <w:szCs w:val="20"/>
                <w:lang w:val="en-US" w:eastAsia="zh-CN"/>
              </w:rPr>
            </w:pPr>
            <w:r>
              <w:rPr>
                <w:rFonts w:hint="eastAsia" w:ascii="Times New Roman" w:hAnsi="Times New Roman"/>
                <w:kern w:val="0"/>
                <w:sz w:val="18"/>
                <w:szCs w:val="18"/>
              </w:rPr>
              <w:t>库区装车台下风向1</w:t>
            </w:r>
            <w:r>
              <w:rPr>
                <w:rFonts w:hint="eastAsia" w:ascii="Times New Roman" w:hAnsi="Times New Roman"/>
                <w:kern w:val="0"/>
                <w:sz w:val="18"/>
                <w:szCs w:val="18"/>
                <w:lang w:val="en-US" w:eastAsia="zh-CN"/>
              </w:rPr>
              <w:t>#</w:t>
            </w:r>
          </w:p>
        </w:tc>
        <w:tc>
          <w:tcPr>
            <w:tcW w:w="1752" w:type="dxa"/>
            <w:tcBorders>
              <w:tl2br w:val="nil"/>
              <w:tr2bl w:val="nil"/>
            </w:tcBorders>
            <w:vAlign w:val="center"/>
          </w:tcPr>
          <w:p>
            <w:pPr>
              <w:pStyle w:val="24"/>
              <w:tabs>
                <w:tab w:val="left" w:pos="0"/>
              </w:tabs>
              <w:rPr>
                <w:rFonts w:hint="default" w:eastAsia="宋体"/>
                <w:szCs w:val="20"/>
                <w:lang w:val="en-US" w:eastAsia="zh-CN"/>
              </w:rPr>
            </w:pPr>
            <w:r>
              <w:rPr>
                <w:rFonts w:hint="eastAsia"/>
                <w:szCs w:val="20"/>
                <w:lang w:val="en-US" w:eastAsia="zh-CN"/>
              </w:rPr>
              <w:t>2023.3.23</w:t>
            </w:r>
          </w:p>
        </w:tc>
        <w:tc>
          <w:tcPr>
            <w:tcW w:w="1204" w:type="dxa"/>
            <w:tcBorders>
              <w:tl2br w:val="nil"/>
              <w:tr2bl w:val="nil"/>
            </w:tcBorders>
            <w:vAlign w:val="center"/>
          </w:tcPr>
          <w:p>
            <w:pPr>
              <w:pStyle w:val="24"/>
              <w:bidi w:val="0"/>
              <w:rPr>
                <w:rFonts w:hint="default"/>
                <w:lang w:val="en-US" w:eastAsia="zh-CN"/>
              </w:rPr>
            </w:pPr>
            <w:r>
              <w:rPr>
                <w:rFonts w:hint="eastAsia"/>
                <w:lang w:val="en-US" w:eastAsia="zh-CN"/>
              </w:rPr>
              <w:t>2.18</w:t>
            </w:r>
          </w:p>
        </w:tc>
        <w:tc>
          <w:tcPr>
            <w:tcW w:w="1342" w:type="dxa"/>
            <w:tcBorders>
              <w:tl2br w:val="nil"/>
              <w:tr2bl w:val="nil"/>
            </w:tcBorders>
            <w:vAlign w:val="center"/>
          </w:tcPr>
          <w:p>
            <w:pPr>
              <w:pStyle w:val="24"/>
              <w:bidi w:val="0"/>
              <w:rPr>
                <w:rFonts w:hint="default"/>
                <w:lang w:val="en-US" w:eastAsia="zh-CN"/>
              </w:rPr>
            </w:pPr>
            <w:r>
              <w:rPr>
                <w:rFonts w:hint="eastAsia"/>
                <w:lang w:val="en-US" w:eastAsia="zh-CN"/>
              </w:rPr>
              <w:t>2.32</w:t>
            </w:r>
          </w:p>
        </w:tc>
        <w:tc>
          <w:tcPr>
            <w:tcW w:w="1420" w:type="dxa"/>
            <w:tcBorders>
              <w:tl2br w:val="nil"/>
              <w:tr2bl w:val="nil"/>
            </w:tcBorders>
            <w:vAlign w:val="center"/>
          </w:tcPr>
          <w:p>
            <w:pPr>
              <w:pStyle w:val="24"/>
              <w:bidi w:val="0"/>
              <w:rPr>
                <w:rFonts w:hint="default"/>
                <w:lang w:val="en-US" w:eastAsia="zh-CN"/>
              </w:rPr>
            </w:pPr>
            <w:r>
              <w:rPr>
                <w:rFonts w:hint="eastAsia"/>
                <w:lang w:val="en-US" w:eastAsia="zh-CN"/>
              </w:rPr>
              <w:t>2.69</w:t>
            </w:r>
          </w:p>
        </w:tc>
        <w:tc>
          <w:tcPr>
            <w:tcW w:w="1374" w:type="dxa"/>
            <w:tcBorders>
              <w:tl2br w:val="nil"/>
              <w:tr2bl w:val="nil"/>
            </w:tcBorders>
            <w:vAlign w:val="center"/>
          </w:tcPr>
          <w:p>
            <w:pPr>
              <w:pStyle w:val="24"/>
              <w:bidi w:val="0"/>
            </w:pPr>
            <w:r>
              <w:rPr>
                <w:rFonts w:hint="default"/>
                <w:lang w:val="en-US" w:eastAsia="zh-CN"/>
              </w:rPr>
              <w:t>2.40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continue"/>
            <w:tcBorders>
              <w:tl2br w:val="nil"/>
              <w:tr2bl w:val="nil"/>
            </w:tcBorders>
            <w:vAlign w:val="center"/>
          </w:tcPr>
          <w:p>
            <w:pPr>
              <w:pStyle w:val="24"/>
              <w:tabs>
                <w:tab w:val="left" w:pos="0"/>
              </w:tabs>
              <w:rPr>
                <w:szCs w:val="20"/>
              </w:rPr>
            </w:pPr>
          </w:p>
        </w:tc>
        <w:tc>
          <w:tcPr>
            <w:tcW w:w="1752" w:type="dxa"/>
            <w:tcBorders>
              <w:tl2br w:val="nil"/>
              <w:tr2bl w:val="nil"/>
            </w:tcBorders>
            <w:vAlign w:val="center"/>
          </w:tcPr>
          <w:p>
            <w:pPr>
              <w:pStyle w:val="24"/>
              <w:tabs>
                <w:tab w:val="left" w:pos="0"/>
              </w:tabs>
              <w:rPr>
                <w:rFonts w:hint="default" w:eastAsia="宋体"/>
                <w:szCs w:val="20"/>
                <w:lang w:val="en-US" w:eastAsia="zh-CN"/>
              </w:rPr>
            </w:pPr>
            <w:r>
              <w:rPr>
                <w:rFonts w:hint="eastAsia"/>
                <w:szCs w:val="20"/>
                <w:lang w:val="en-US" w:eastAsia="zh-CN"/>
              </w:rPr>
              <w:t>2023.3.24</w:t>
            </w:r>
          </w:p>
        </w:tc>
        <w:tc>
          <w:tcPr>
            <w:tcW w:w="1204" w:type="dxa"/>
            <w:tcBorders>
              <w:tl2br w:val="nil"/>
              <w:tr2bl w:val="nil"/>
            </w:tcBorders>
            <w:vAlign w:val="center"/>
          </w:tcPr>
          <w:p>
            <w:pPr>
              <w:pStyle w:val="24"/>
              <w:bidi w:val="0"/>
              <w:rPr>
                <w:rFonts w:hint="default" w:eastAsia="宋体"/>
                <w:lang w:val="en-US" w:eastAsia="zh-CN"/>
              </w:rPr>
            </w:pPr>
            <w:r>
              <w:rPr>
                <w:rFonts w:hint="eastAsia"/>
                <w:lang w:val="en-US" w:eastAsia="zh-CN"/>
              </w:rPr>
              <w:t>2.61</w:t>
            </w:r>
          </w:p>
        </w:tc>
        <w:tc>
          <w:tcPr>
            <w:tcW w:w="1342" w:type="dxa"/>
            <w:tcBorders>
              <w:tl2br w:val="nil"/>
              <w:tr2bl w:val="nil"/>
            </w:tcBorders>
            <w:vAlign w:val="center"/>
          </w:tcPr>
          <w:p>
            <w:pPr>
              <w:pStyle w:val="24"/>
              <w:bidi w:val="0"/>
              <w:rPr>
                <w:rFonts w:hint="default" w:eastAsia="宋体"/>
                <w:lang w:val="en-US" w:eastAsia="zh-CN"/>
              </w:rPr>
            </w:pPr>
            <w:r>
              <w:rPr>
                <w:rFonts w:hint="eastAsia"/>
                <w:lang w:val="en-US" w:eastAsia="zh-CN"/>
              </w:rPr>
              <w:t>3.06</w:t>
            </w:r>
          </w:p>
        </w:tc>
        <w:tc>
          <w:tcPr>
            <w:tcW w:w="1420" w:type="dxa"/>
            <w:tcBorders>
              <w:tl2br w:val="nil"/>
              <w:tr2bl w:val="nil"/>
            </w:tcBorders>
            <w:vAlign w:val="center"/>
          </w:tcPr>
          <w:p>
            <w:pPr>
              <w:pStyle w:val="24"/>
              <w:bidi w:val="0"/>
              <w:rPr>
                <w:rFonts w:hint="default" w:eastAsia="宋体"/>
                <w:lang w:val="en-US" w:eastAsia="zh-CN"/>
              </w:rPr>
            </w:pPr>
            <w:r>
              <w:rPr>
                <w:rFonts w:hint="eastAsia"/>
                <w:lang w:val="en-US" w:eastAsia="zh-CN"/>
              </w:rPr>
              <w:t>2.88</w:t>
            </w:r>
          </w:p>
        </w:tc>
        <w:tc>
          <w:tcPr>
            <w:tcW w:w="1374" w:type="dxa"/>
            <w:tcBorders>
              <w:tl2br w:val="nil"/>
              <w:tr2bl w:val="nil"/>
            </w:tcBorders>
            <w:vAlign w:val="center"/>
          </w:tcPr>
          <w:p>
            <w:pPr>
              <w:pStyle w:val="24"/>
              <w:bidi w:val="0"/>
            </w:pPr>
            <w:r>
              <w:rPr>
                <w:rFonts w:hint="default"/>
                <w:lang w:val="en-US" w:eastAsia="zh-CN"/>
              </w:rPr>
              <w:t>2.85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restart"/>
            <w:tcBorders>
              <w:tl2br w:val="nil"/>
              <w:tr2bl w:val="nil"/>
            </w:tcBorders>
            <w:vAlign w:val="center"/>
          </w:tcPr>
          <w:p>
            <w:pPr>
              <w:jc w:val="center"/>
              <w:rPr>
                <w:rFonts w:hint="eastAsia" w:eastAsia="宋体"/>
                <w:sz w:val="20"/>
                <w:szCs w:val="20"/>
                <w:lang w:val="en-US" w:eastAsia="zh-CN"/>
              </w:rPr>
            </w:pPr>
            <w:r>
              <w:rPr>
                <w:rFonts w:hint="eastAsia" w:ascii="Times New Roman" w:hAnsi="Times New Roman"/>
                <w:kern w:val="0"/>
                <w:sz w:val="18"/>
                <w:szCs w:val="18"/>
              </w:rPr>
              <w:t>库区装车台下风向2</w:t>
            </w:r>
            <w:r>
              <w:rPr>
                <w:rFonts w:hint="eastAsia" w:ascii="Times New Roman" w:hAnsi="Times New Roman"/>
                <w:kern w:val="0"/>
                <w:sz w:val="18"/>
                <w:szCs w:val="18"/>
                <w:lang w:val="en-US" w:eastAsia="zh-CN"/>
              </w:rPr>
              <w:t>#</w:t>
            </w:r>
          </w:p>
        </w:tc>
        <w:tc>
          <w:tcPr>
            <w:tcW w:w="1752" w:type="dxa"/>
            <w:tcBorders>
              <w:tl2br w:val="nil"/>
              <w:tr2bl w:val="nil"/>
            </w:tcBorders>
            <w:vAlign w:val="center"/>
          </w:tcPr>
          <w:p>
            <w:pPr>
              <w:pStyle w:val="24"/>
              <w:tabs>
                <w:tab w:val="left" w:pos="0"/>
              </w:tabs>
              <w:rPr>
                <w:szCs w:val="20"/>
              </w:rPr>
            </w:pPr>
            <w:r>
              <w:rPr>
                <w:rFonts w:hint="eastAsia"/>
                <w:szCs w:val="20"/>
                <w:lang w:val="en-US" w:eastAsia="zh-CN"/>
              </w:rPr>
              <w:t>2023.3.23</w:t>
            </w:r>
          </w:p>
        </w:tc>
        <w:tc>
          <w:tcPr>
            <w:tcW w:w="1204" w:type="dxa"/>
            <w:tcBorders>
              <w:tl2br w:val="nil"/>
              <w:tr2bl w:val="nil"/>
            </w:tcBorders>
            <w:vAlign w:val="center"/>
          </w:tcPr>
          <w:p>
            <w:pPr>
              <w:pStyle w:val="24"/>
              <w:bidi w:val="0"/>
              <w:rPr>
                <w:rFonts w:hint="default"/>
                <w:lang w:val="en-US" w:eastAsia="zh-CN"/>
              </w:rPr>
            </w:pPr>
            <w:r>
              <w:rPr>
                <w:rFonts w:hint="eastAsia"/>
                <w:lang w:val="en-US" w:eastAsia="zh-CN"/>
              </w:rPr>
              <w:t>2.73</w:t>
            </w:r>
          </w:p>
        </w:tc>
        <w:tc>
          <w:tcPr>
            <w:tcW w:w="1342" w:type="dxa"/>
            <w:tcBorders>
              <w:tl2br w:val="nil"/>
              <w:tr2bl w:val="nil"/>
            </w:tcBorders>
            <w:vAlign w:val="center"/>
          </w:tcPr>
          <w:p>
            <w:pPr>
              <w:pStyle w:val="24"/>
              <w:bidi w:val="0"/>
              <w:rPr>
                <w:rFonts w:hint="default"/>
                <w:lang w:val="en-US" w:eastAsia="zh-CN"/>
              </w:rPr>
            </w:pPr>
            <w:r>
              <w:rPr>
                <w:rFonts w:hint="eastAsia"/>
                <w:lang w:val="en-US" w:eastAsia="zh-CN"/>
              </w:rPr>
              <w:t>2.58</w:t>
            </w:r>
          </w:p>
        </w:tc>
        <w:tc>
          <w:tcPr>
            <w:tcW w:w="1420" w:type="dxa"/>
            <w:tcBorders>
              <w:tl2br w:val="nil"/>
              <w:tr2bl w:val="nil"/>
            </w:tcBorders>
            <w:vAlign w:val="center"/>
          </w:tcPr>
          <w:p>
            <w:pPr>
              <w:pStyle w:val="24"/>
              <w:bidi w:val="0"/>
              <w:rPr>
                <w:rFonts w:hint="default"/>
                <w:lang w:val="en-US" w:eastAsia="zh-CN"/>
              </w:rPr>
            </w:pPr>
            <w:r>
              <w:rPr>
                <w:rFonts w:hint="eastAsia"/>
                <w:lang w:val="en-US" w:eastAsia="zh-CN"/>
              </w:rPr>
              <w:t>2.71</w:t>
            </w:r>
          </w:p>
        </w:tc>
        <w:tc>
          <w:tcPr>
            <w:tcW w:w="1374" w:type="dxa"/>
            <w:tcBorders>
              <w:tl2br w:val="nil"/>
              <w:tr2bl w:val="nil"/>
            </w:tcBorders>
            <w:vAlign w:val="center"/>
          </w:tcPr>
          <w:p>
            <w:pPr>
              <w:pStyle w:val="24"/>
              <w:bidi w:val="0"/>
            </w:pPr>
            <w:r>
              <w:rPr>
                <w:rFonts w:hint="default"/>
                <w:lang w:val="en-US" w:eastAsia="zh-CN"/>
              </w:rPr>
              <w:t>2.67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continue"/>
            <w:tcBorders>
              <w:tl2br w:val="nil"/>
              <w:tr2bl w:val="nil"/>
            </w:tcBorders>
            <w:vAlign w:val="center"/>
          </w:tcPr>
          <w:p>
            <w:pPr>
              <w:pStyle w:val="24"/>
              <w:tabs>
                <w:tab w:val="left" w:pos="0"/>
              </w:tabs>
              <w:rPr>
                <w:szCs w:val="20"/>
              </w:rPr>
            </w:pPr>
          </w:p>
        </w:tc>
        <w:tc>
          <w:tcPr>
            <w:tcW w:w="1752" w:type="dxa"/>
            <w:tcBorders>
              <w:tl2br w:val="nil"/>
              <w:tr2bl w:val="nil"/>
            </w:tcBorders>
            <w:vAlign w:val="center"/>
          </w:tcPr>
          <w:p>
            <w:pPr>
              <w:pStyle w:val="24"/>
              <w:tabs>
                <w:tab w:val="left" w:pos="0"/>
              </w:tabs>
              <w:rPr>
                <w:szCs w:val="20"/>
              </w:rPr>
            </w:pPr>
            <w:r>
              <w:rPr>
                <w:rFonts w:hint="eastAsia"/>
                <w:szCs w:val="20"/>
                <w:lang w:val="en-US" w:eastAsia="zh-CN"/>
              </w:rPr>
              <w:t>2023.3.24</w:t>
            </w:r>
          </w:p>
        </w:tc>
        <w:tc>
          <w:tcPr>
            <w:tcW w:w="1204" w:type="dxa"/>
            <w:tcBorders>
              <w:tl2br w:val="nil"/>
              <w:tr2bl w:val="nil"/>
            </w:tcBorders>
            <w:vAlign w:val="center"/>
          </w:tcPr>
          <w:p>
            <w:pPr>
              <w:pStyle w:val="24"/>
              <w:bidi w:val="0"/>
              <w:rPr>
                <w:rFonts w:hint="default" w:eastAsia="宋体"/>
                <w:lang w:val="en-US" w:eastAsia="zh-CN"/>
              </w:rPr>
            </w:pPr>
            <w:r>
              <w:rPr>
                <w:rFonts w:hint="eastAsia"/>
                <w:lang w:val="en-US" w:eastAsia="zh-CN"/>
              </w:rPr>
              <w:t>2.77</w:t>
            </w:r>
          </w:p>
        </w:tc>
        <w:tc>
          <w:tcPr>
            <w:tcW w:w="1342" w:type="dxa"/>
            <w:tcBorders>
              <w:tl2br w:val="nil"/>
              <w:tr2bl w:val="nil"/>
            </w:tcBorders>
            <w:vAlign w:val="center"/>
          </w:tcPr>
          <w:p>
            <w:pPr>
              <w:pStyle w:val="24"/>
              <w:bidi w:val="0"/>
              <w:rPr>
                <w:rFonts w:hint="default" w:eastAsia="宋体"/>
                <w:lang w:val="en-US" w:eastAsia="zh-CN"/>
              </w:rPr>
            </w:pPr>
            <w:r>
              <w:rPr>
                <w:rFonts w:hint="eastAsia"/>
                <w:lang w:val="en-US" w:eastAsia="zh-CN"/>
              </w:rPr>
              <w:t>2.50</w:t>
            </w:r>
          </w:p>
        </w:tc>
        <w:tc>
          <w:tcPr>
            <w:tcW w:w="1420" w:type="dxa"/>
            <w:tcBorders>
              <w:tl2br w:val="nil"/>
              <w:tr2bl w:val="nil"/>
            </w:tcBorders>
            <w:vAlign w:val="center"/>
          </w:tcPr>
          <w:p>
            <w:pPr>
              <w:pStyle w:val="24"/>
              <w:bidi w:val="0"/>
              <w:rPr>
                <w:rFonts w:hint="default" w:eastAsia="宋体"/>
                <w:lang w:val="en-US" w:eastAsia="zh-CN"/>
              </w:rPr>
            </w:pPr>
            <w:r>
              <w:rPr>
                <w:rFonts w:hint="eastAsia"/>
                <w:lang w:val="en-US" w:eastAsia="zh-CN"/>
              </w:rPr>
              <w:t>2.30</w:t>
            </w:r>
          </w:p>
        </w:tc>
        <w:tc>
          <w:tcPr>
            <w:tcW w:w="1374" w:type="dxa"/>
            <w:tcBorders>
              <w:tl2br w:val="nil"/>
              <w:tr2bl w:val="nil"/>
            </w:tcBorders>
            <w:vAlign w:val="center"/>
          </w:tcPr>
          <w:p>
            <w:pPr>
              <w:pStyle w:val="24"/>
              <w:bidi w:val="0"/>
            </w:pPr>
            <w:r>
              <w:rPr>
                <w:rFonts w:hint="default"/>
                <w:lang w:val="en-US" w:eastAsia="zh-CN"/>
              </w:rPr>
              <w:t>2.52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restart"/>
            <w:tcBorders>
              <w:tl2br w:val="nil"/>
              <w:tr2bl w:val="nil"/>
            </w:tcBorders>
            <w:vAlign w:val="center"/>
          </w:tcPr>
          <w:p>
            <w:pPr>
              <w:jc w:val="center"/>
              <w:rPr>
                <w:rFonts w:hint="eastAsia" w:eastAsia="宋体"/>
                <w:sz w:val="20"/>
                <w:szCs w:val="20"/>
                <w:lang w:val="en-US" w:eastAsia="zh-CN"/>
              </w:rPr>
            </w:pPr>
            <w:r>
              <w:rPr>
                <w:rFonts w:hint="eastAsia" w:ascii="Times New Roman" w:hAnsi="Times New Roman"/>
                <w:kern w:val="0"/>
                <w:sz w:val="18"/>
                <w:szCs w:val="18"/>
              </w:rPr>
              <w:t>库区装车台下风向3</w:t>
            </w:r>
            <w:r>
              <w:rPr>
                <w:rFonts w:hint="eastAsia" w:ascii="Times New Roman" w:hAnsi="Times New Roman"/>
                <w:kern w:val="0"/>
                <w:sz w:val="18"/>
                <w:szCs w:val="18"/>
                <w:lang w:val="en-US" w:eastAsia="zh-CN"/>
              </w:rPr>
              <w:t>#</w:t>
            </w:r>
          </w:p>
        </w:tc>
        <w:tc>
          <w:tcPr>
            <w:tcW w:w="1752" w:type="dxa"/>
            <w:tcBorders>
              <w:tl2br w:val="nil"/>
              <w:tr2bl w:val="nil"/>
            </w:tcBorders>
            <w:vAlign w:val="center"/>
          </w:tcPr>
          <w:p>
            <w:pPr>
              <w:pStyle w:val="24"/>
              <w:tabs>
                <w:tab w:val="left" w:pos="0"/>
              </w:tabs>
              <w:rPr>
                <w:szCs w:val="20"/>
              </w:rPr>
            </w:pPr>
            <w:r>
              <w:rPr>
                <w:rFonts w:hint="eastAsia"/>
                <w:szCs w:val="20"/>
                <w:lang w:val="en-US" w:eastAsia="zh-CN"/>
              </w:rPr>
              <w:t>2023.3.23</w:t>
            </w:r>
          </w:p>
        </w:tc>
        <w:tc>
          <w:tcPr>
            <w:tcW w:w="1204" w:type="dxa"/>
            <w:tcBorders>
              <w:tl2br w:val="nil"/>
              <w:tr2bl w:val="nil"/>
            </w:tcBorders>
            <w:vAlign w:val="center"/>
          </w:tcPr>
          <w:p>
            <w:pPr>
              <w:pStyle w:val="24"/>
              <w:bidi w:val="0"/>
              <w:rPr>
                <w:rFonts w:hint="default"/>
                <w:lang w:val="en-US" w:eastAsia="zh-CN"/>
              </w:rPr>
            </w:pPr>
            <w:r>
              <w:rPr>
                <w:rFonts w:hint="eastAsia"/>
                <w:lang w:val="en-US" w:eastAsia="zh-CN"/>
              </w:rPr>
              <w:t>2.50</w:t>
            </w:r>
          </w:p>
        </w:tc>
        <w:tc>
          <w:tcPr>
            <w:tcW w:w="1342" w:type="dxa"/>
            <w:tcBorders>
              <w:tl2br w:val="nil"/>
              <w:tr2bl w:val="nil"/>
            </w:tcBorders>
            <w:vAlign w:val="center"/>
          </w:tcPr>
          <w:p>
            <w:pPr>
              <w:pStyle w:val="24"/>
              <w:bidi w:val="0"/>
              <w:rPr>
                <w:rFonts w:hint="default"/>
                <w:lang w:val="en-US" w:eastAsia="zh-CN"/>
              </w:rPr>
            </w:pPr>
            <w:r>
              <w:rPr>
                <w:rFonts w:hint="eastAsia"/>
                <w:lang w:val="en-US" w:eastAsia="zh-CN"/>
              </w:rPr>
              <w:t>2.29</w:t>
            </w:r>
          </w:p>
        </w:tc>
        <w:tc>
          <w:tcPr>
            <w:tcW w:w="1420" w:type="dxa"/>
            <w:tcBorders>
              <w:tl2br w:val="nil"/>
              <w:tr2bl w:val="nil"/>
            </w:tcBorders>
            <w:vAlign w:val="center"/>
          </w:tcPr>
          <w:p>
            <w:pPr>
              <w:pStyle w:val="24"/>
              <w:bidi w:val="0"/>
              <w:rPr>
                <w:rFonts w:hint="default"/>
                <w:lang w:val="en-US" w:eastAsia="zh-CN"/>
              </w:rPr>
            </w:pPr>
            <w:r>
              <w:rPr>
                <w:rFonts w:hint="eastAsia"/>
                <w:lang w:val="en-US" w:eastAsia="zh-CN"/>
              </w:rPr>
              <w:t>1.92</w:t>
            </w:r>
          </w:p>
        </w:tc>
        <w:tc>
          <w:tcPr>
            <w:tcW w:w="1374" w:type="dxa"/>
            <w:tcBorders>
              <w:tl2br w:val="nil"/>
              <w:tr2bl w:val="nil"/>
            </w:tcBorders>
            <w:vAlign w:val="center"/>
          </w:tcPr>
          <w:p>
            <w:pPr>
              <w:pStyle w:val="24"/>
              <w:bidi w:val="0"/>
            </w:pPr>
            <w:r>
              <w:rPr>
                <w:rFonts w:hint="default"/>
                <w:lang w:val="en-US" w:eastAsia="zh-CN"/>
              </w:rPr>
              <w:t>2.24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continue"/>
            <w:tcBorders>
              <w:tl2br w:val="nil"/>
              <w:tr2bl w:val="nil"/>
            </w:tcBorders>
            <w:vAlign w:val="center"/>
          </w:tcPr>
          <w:p>
            <w:pPr>
              <w:pStyle w:val="24"/>
              <w:tabs>
                <w:tab w:val="left" w:pos="0"/>
              </w:tabs>
              <w:rPr>
                <w:szCs w:val="20"/>
              </w:rPr>
            </w:pPr>
          </w:p>
        </w:tc>
        <w:tc>
          <w:tcPr>
            <w:tcW w:w="1752" w:type="dxa"/>
            <w:tcBorders>
              <w:tl2br w:val="nil"/>
              <w:tr2bl w:val="nil"/>
            </w:tcBorders>
            <w:vAlign w:val="center"/>
          </w:tcPr>
          <w:p>
            <w:pPr>
              <w:pStyle w:val="24"/>
              <w:tabs>
                <w:tab w:val="left" w:pos="0"/>
              </w:tabs>
              <w:rPr>
                <w:szCs w:val="20"/>
              </w:rPr>
            </w:pPr>
            <w:r>
              <w:rPr>
                <w:rFonts w:hint="eastAsia"/>
                <w:szCs w:val="20"/>
                <w:lang w:val="en-US" w:eastAsia="zh-CN"/>
              </w:rPr>
              <w:t>2023.3.24</w:t>
            </w:r>
          </w:p>
        </w:tc>
        <w:tc>
          <w:tcPr>
            <w:tcW w:w="1204" w:type="dxa"/>
            <w:tcBorders>
              <w:tl2br w:val="nil"/>
              <w:tr2bl w:val="nil"/>
            </w:tcBorders>
            <w:vAlign w:val="center"/>
          </w:tcPr>
          <w:p>
            <w:pPr>
              <w:pStyle w:val="24"/>
              <w:bidi w:val="0"/>
              <w:rPr>
                <w:rFonts w:hint="default" w:eastAsia="宋体"/>
                <w:lang w:val="en-US" w:eastAsia="zh-CN"/>
              </w:rPr>
            </w:pPr>
            <w:r>
              <w:rPr>
                <w:rFonts w:hint="eastAsia"/>
                <w:lang w:val="en-US" w:eastAsia="zh-CN"/>
              </w:rPr>
              <w:t>2.21</w:t>
            </w:r>
          </w:p>
        </w:tc>
        <w:tc>
          <w:tcPr>
            <w:tcW w:w="1342" w:type="dxa"/>
            <w:tcBorders>
              <w:tl2br w:val="nil"/>
              <w:tr2bl w:val="nil"/>
            </w:tcBorders>
            <w:vAlign w:val="center"/>
          </w:tcPr>
          <w:p>
            <w:pPr>
              <w:pStyle w:val="24"/>
              <w:bidi w:val="0"/>
              <w:rPr>
                <w:rFonts w:hint="default" w:eastAsia="宋体"/>
                <w:lang w:val="en-US" w:eastAsia="zh-CN"/>
              </w:rPr>
            </w:pPr>
            <w:r>
              <w:rPr>
                <w:rFonts w:hint="eastAsia"/>
                <w:lang w:val="en-US" w:eastAsia="zh-CN"/>
              </w:rPr>
              <w:t>2.13</w:t>
            </w:r>
          </w:p>
        </w:tc>
        <w:tc>
          <w:tcPr>
            <w:tcW w:w="1420" w:type="dxa"/>
            <w:tcBorders>
              <w:tl2br w:val="nil"/>
              <w:tr2bl w:val="nil"/>
            </w:tcBorders>
            <w:vAlign w:val="center"/>
          </w:tcPr>
          <w:p>
            <w:pPr>
              <w:pStyle w:val="24"/>
              <w:bidi w:val="0"/>
              <w:rPr>
                <w:rFonts w:hint="default" w:eastAsia="宋体"/>
                <w:lang w:val="en-US" w:eastAsia="zh-CN"/>
              </w:rPr>
            </w:pPr>
            <w:r>
              <w:rPr>
                <w:rFonts w:hint="eastAsia"/>
                <w:lang w:val="en-US" w:eastAsia="zh-CN"/>
              </w:rPr>
              <w:t>2.03</w:t>
            </w:r>
          </w:p>
        </w:tc>
        <w:tc>
          <w:tcPr>
            <w:tcW w:w="1374" w:type="dxa"/>
            <w:tcBorders>
              <w:tl2br w:val="nil"/>
              <w:tr2bl w:val="nil"/>
            </w:tcBorders>
            <w:vAlign w:val="center"/>
          </w:tcPr>
          <w:p>
            <w:pPr>
              <w:pStyle w:val="24"/>
              <w:bidi w:val="0"/>
            </w:pPr>
            <w:r>
              <w:rPr>
                <w:rFonts w:hint="default"/>
                <w:lang w:val="en-US" w:eastAsia="zh-CN"/>
              </w:rPr>
              <w:t>2.12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restart"/>
            <w:tcBorders>
              <w:tl2br w:val="nil"/>
              <w:tr2bl w:val="nil"/>
            </w:tcBorders>
            <w:vAlign w:val="center"/>
          </w:tcPr>
          <w:p>
            <w:pPr>
              <w:pStyle w:val="24"/>
              <w:tabs>
                <w:tab w:val="left" w:pos="0"/>
              </w:tabs>
              <w:rPr>
                <w:rFonts w:hint="default" w:eastAsia="宋体"/>
                <w:szCs w:val="20"/>
                <w:lang w:val="en-US" w:eastAsia="zh-CN"/>
              </w:rPr>
            </w:pPr>
            <w:r>
              <w:rPr>
                <w:rFonts w:hint="eastAsia"/>
                <w:szCs w:val="20"/>
                <w:lang w:val="en-US" w:eastAsia="zh-CN"/>
              </w:rPr>
              <w:t>码头装卸区下风向</w:t>
            </w:r>
          </w:p>
        </w:tc>
        <w:tc>
          <w:tcPr>
            <w:tcW w:w="1752" w:type="dxa"/>
            <w:tcBorders>
              <w:tl2br w:val="nil"/>
              <w:tr2bl w:val="nil"/>
            </w:tcBorders>
            <w:vAlign w:val="center"/>
          </w:tcPr>
          <w:p>
            <w:pPr>
              <w:pStyle w:val="24"/>
              <w:tabs>
                <w:tab w:val="left" w:pos="0"/>
              </w:tabs>
              <w:rPr>
                <w:rFonts w:hint="eastAsia"/>
                <w:szCs w:val="20"/>
                <w:lang w:val="en-US" w:eastAsia="zh-CN"/>
              </w:rPr>
            </w:pPr>
            <w:r>
              <w:rPr>
                <w:rFonts w:hint="eastAsia"/>
                <w:szCs w:val="20"/>
                <w:lang w:val="en-US" w:eastAsia="zh-CN"/>
              </w:rPr>
              <w:t>2023.3.23</w:t>
            </w:r>
          </w:p>
        </w:tc>
        <w:tc>
          <w:tcPr>
            <w:tcW w:w="1204" w:type="dxa"/>
            <w:tcBorders>
              <w:tl2br w:val="nil"/>
              <w:tr2bl w:val="nil"/>
            </w:tcBorders>
            <w:vAlign w:val="center"/>
          </w:tcPr>
          <w:p>
            <w:pPr>
              <w:pStyle w:val="24"/>
              <w:bidi w:val="0"/>
              <w:rPr>
                <w:rFonts w:hint="default"/>
                <w:lang w:val="en-US" w:eastAsia="zh-CN"/>
              </w:rPr>
            </w:pPr>
            <w:r>
              <w:rPr>
                <w:rFonts w:hint="eastAsia"/>
                <w:lang w:val="en-US" w:eastAsia="zh-CN"/>
              </w:rPr>
              <w:t>1.58</w:t>
            </w:r>
          </w:p>
        </w:tc>
        <w:tc>
          <w:tcPr>
            <w:tcW w:w="1342" w:type="dxa"/>
            <w:tcBorders>
              <w:tl2br w:val="nil"/>
              <w:tr2bl w:val="nil"/>
            </w:tcBorders>
            <w:vAlign w:val="center"/>
          </w:tcPr>
          <w:p>
            <w:pPr>
              <w:pStyle w:val="24"/>
              <w:bidi w:val="0"/>
              <w:rPr>
                <w:rFonts w:hint="default"/>
                <w:lang w:val="en-US" w:eastAsia="zh-CN"/>
              </w:rPr>
            </w:pPr>
            <w:r>
              <w:rPr>
                <w:rFonts w:hint="eastAsia"/>
                <w:lang w:val="en-US" w:eastAsia="zh-CN"/>
              </w:rPr>
              <w:t>1.73</w:t>
            </w:r>
          </w:p>
        </w:tc>
        <w:tc>
          <w:tcPr>
            <w:tcW w:w="1420" w:type="dxa"/>
            <w:tcBorders>
              <w:tl2br w:val="nil"/>
              <w:tr2bl w:val="nil"/>
            </w:tcBorders>
            <w:vAlign w:val="center"/>
          </w:tcPr>
          <w:p>
            <w:pPr>
              <w:pStyle w:val="24"/>
              <w:bidi w:val="0"/>
              <w:rPr>
                <w:rFonts w:hint="default"/>
                <w:lang w:val="en-US" w:eastAsia="zh-CN"/>
              </w:rPr>
            </w:pPr>
            <w:r>
              <w:rPr>
                <w:rFonts w:hint="eastAsia"/>
                <w:lang w:val="en-US" w:eastAsia="zh-CN"/>
              </w:rPr>
              <w:t>1.64</w:t>
            </w:r>
          </w:p>
        </w:tc>
        <w:tc>
          <w:tcPr>
            <w:tcW w:w="1374" w:type="dxa"/>
            <w:tcBorders>
              <w:tl2br w:val="nil"/>
              <w:tr2bl w:val="nil"/>
            </w:tcBorders>
            <w:vAlign w:val="center"/>
          </w:tcPr>
          <w:p>
            <w:pPr>
              <w:pStyle w:val="24"/>
              <w:bidi w:val="0"/>
            </w:pPr>
            <w:r>
              <w:rPr>
                <w:rFonts w:hint="default"/>
                <w:lang w:val="en-US" w:eastAsia="zh-CN"/>
              </w:rPr>
              <w:t>1.65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420" w:type="dxa"/>
            <w:vMerge w:val="continue"/>
            <w:tcBorders>
              <w:tl2br w:val="nil"/>
              <w:tr2bl w:val="nil"/>
            </w:tcBorders>
            <w:vAlign w:val="center"/>
          </w:tcPr>
          <w:p>
            <w:pPr>
              <w:pStyle w:val="24"/>
              <w:tabs>
                <w:tab w:val="left" w:pos="0"/>
              </w:tabs>
              <w:rPr>
                <w:szCs w:val="20"/>
              </w:rPr>
            </w:pPr>
          </w:p>
        </w:tc>
        <w:tc>
          <w:tcPr>
            <w:tcW w:w="1752" w:type="dxa"/>
            <w:tcBorders>
              <w:tl2br w:val="nil"/>
              <w:tr2bl w:val="nil"/>
            </w:tcBorders>
            <w:vAlign w:val="center"/>
          </w:tcPr>
          <w:p>
            <w:pPr>
              <w:pStyle w:val="24"/>
              <w:tabs>
                <w:tab w:val="left" w:pos="0"/>
              </w:tabs>
              <w:rPr>
                <w:rFonts w:hint="eastAsia"/>
                <w:szCs w:val="20"/>
                <w:lang w:val="en-US" w:eastAsia="zh-CN"/>
              </w:rPr>
            </w:pPr>
            <w:r>
              <w:rPr>
                <w:rFonts w:hint="eastAsia"/>
                <w:szCs w:val="20"/>
                <w:lang w:val="en-US" w:eastAsia="zh-CN"/>
              </w:rPr>
              <w:t>2023.3.24</w:t>
            </w:r>
          </w:p>
        </w:tc>
        <w:tc>
          <w:tcPr>
            <w:tcW w:w="1204" w:type="dxa"/>
            <w:tcBorders>
              <w:tl2br w:val="nil"/>
              <w:tr2bl w:val="nil"/>
            </w:tcBorders>
            <w:vAlign w:val="center"/>
          </w:tcPr>
          <w:p>
            <w:pPr>
              <w:pStyle w:val="24"/>
              <w:bidi w:val="0"/>
              <w:rPr>
                <w:rFonts w:hint="default" w:eastAsia="宋体"/>
                <w:lang w:val="en-US" w:eastAsia="zh-CN"/>
              </w:rPr>
            </w:pPr>
            <w:r>
              <w:rPr>
                <w:rFonts w:hint="eastAsia"/>
                <w:lang w:val="en-US" w:eastAsia="zh-CN"/>
              </w:rPr>
              <w:t>1.87</w:t>
            </w:r>
          </w:p>
        </w:tc>
        <w:tc>
          <w:tcPr>
            <w:tcW w:w="1342" w:type="dxa"/>
            <w:tcBorders>
              <w:tl2br w:val="nil"/>
              <w:tr2bl w:val="nil"/>
            </w:tcBorders>
            <w:vAlign w:val="center"/>
          </w:tcPr>
          <w:p>
            <w:pPr>
              <w:pStyle w:val="24"/>
              <w:bidi w:val="0"/>
              <w:rPr>
                <w:rFonts w:hint="default" w:eastAsia="宋体"/>
                <w:lang w:val="en-US" w:eastAsia="zh-CN"/>
              </w:rPr>
            </w:pPr>
            <w:r>
              <w:rPr>
                <w:rFonts w:hint="eastAsia"/>
                <w:lang w:val="en-US" w:eastAsia="zh-CN"/>
              </w:rPr>
              <w:t>1.56</w:t>
            </w:r>
          </w:p>
        </w:tc>
        <w:tc>
          <w:tcPr>
            <w:tcW w:w="1420" w:type="dxa"/>
            <w:tcBorders>
              <w:tl2br w:val="nil"/>
              <w:tr2bl w:val="nil"/>
            </w:tcBorders>
            <w:vAlign w:val="center"/>
          </w:tcPr>
          <w:p>
            <w:pPr>
              <w:pStyle w:val="24"/>
              <w:bidi w:val="0"/>
              <w:rPr>
                <w:rFonts w:hint="default" w:eastAsia="宋体"/>
                <w:lang w:val="en-US" w:eastAsia="zh-CN"/>
              </w:rPr>
            </w:pPr>
            <w:r>
              <w:rPr>
                <w:rFonts w:hint="eastAsia"/>
                <w:lang w:val="en-US" w:eastAsia="zh-CN"/>
              </w:rPr>
              <w:t>1.35</w:t>
            </w:r>
          </w:p>
        </w:tc>
        <w:tc>
          <w:tcPr>
            <w:tcW w:w="1374" w:type="dxa"/>
            <w:tcBorders>
              <w:tl2br w:val="nil"/>
              <w:tr2bl w:val="nil"/>
            </w:tcBorders>
            <w:vAlign w:val="center"/>
          </w:tcPr>
          <w:p>
            <w:pPr>
              <w:pStyle w:val="24"/>
              <w:bidi w:val="0"/>
            </w:pPr>
            <w:r>
              <w:rPr>
                <w:rFonts w:hint="default"/>
                <w:lang w:val="en-US" w:eastAsia="zh-CN"/>
              </w:rPr>
              <w:t>1.59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3172" w:type="dxa"/>
            <w:gridSpan w:val="2"/>
            <w:tcBorders>
              <w:tl2br w:val="nil"/>
              <w:tr2bl w:val="nil"/>
            </w:tcBorders>
            <w:vAlign w:val="center"/>
          </w:tcPr>
          <w:p>
            <w:pPr>
              <w:pStyle w:val="24"/>
              <w:tabs>
                <w:tab w:val="left" w:pos="0"/>
              </w:tabs>
              <w:rPr>
                <w:szCs w:val="20"/>
              </w:rPr>
            </w:pPr>
            <w:r>
              <w:rPr>
                <w:szCs w:val="20"/>
              </w:rPr>
              <w:t>最大值</w:t>
            </w:r>
          </w:p>
        </w:tc>
        <w:tc>
          <w:tcPr>
            <w:tcW w:w="3966" w:type="dxa"/>
            <w:gridSpan w:val="3"/>
            <w:tcBorders>
              <w:tl2br w:val="nil"/>
              <w:tr2bl w:val="nil"/>
            </w:tcBorders>
            <w:vAlign w:val="center"/>
          </w:tcPr>
          <w:p>
            <w:pPr>
              <w:pStyle w:val="24"/>
              <w:bidi w:val="0"/>
              <w:rPr>
                <w:rFonts w:hint="default" w:eastAsia="宋体"/>
                <w:lang w:val="en-US" w:eastAsia="zh-CN"/>
              </w:rPr>
            </w:pPr>
            <w:r>
              <w:rPr>
                <w:rFonts w:hint="eastAsia"/>
                <w:lang w:val="en-US" w:eastAsia="zh-CN"/>
              </w:rPr>
              <w:t>3.06</w:t>
            </w:r>
          </w:p>
        </w:tc>
        <w:tc>
          <w:tcPr>
            <w:tcW w:w="1374" w:type="dxa"/>
            <w:tcBorders>
              <w:tl2br w:val="nil"/>
              <w:tr2bl w:val="nil"/>
            </w:tcBorders>
            <w:vAlign w:val="center"/>
          </w:tcPr>
          <w:p>
            <w:pPr>
              <w:pStyle w:val="24"/>
              <w:bidi w:val="0"/>
              <w:rPr>
                <w:rFonts w:hint="default" w:eastAsia="宋体"/>
                <w:lang w:val="en-US" w:eastAsia="zh-CN"/>
              </w:rPr>
            </w:pPr>
            <w:r>
              <w:rPr>
                <w:rFonts w:hint="eastAsia"/>
                <w:lang w:val="en-US" w:eastAsia="zh-CN"/>
              </w:rPr>
              <w:t>2.85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3172" w:type="dxa"/>
            <w:gridSpan w:val="2"/>
            <w:tcBorders>
              <w:tl2br w:val="nil"/>
              <w:tr2bl w:val="nil"/>
            </w:tcBorders>
            <w:vAlign w:val="center"/>
          </w:tcPr>
          <w:p>
            <w:pPr>
              <w:pStyle w:val="24"/>
              <w:tabs>
                <w:tab w:val="left" w:pos="0"/>
              </w:tabs>
              <w:rPr>
                <w:szCs w:val="20"/>
              </w:rPr>
            </w:pPr>
            <w:r>
              <w:rPr>
                <w:szCs w:val="20"/>
              </w:rPr>
              <w:t>校核标准</w:t>
            </w:r>
          </w:p>
        </w:tc>
        <w:tc>
          <w:tcPr>
            <w:tcW w:w="3966" w:type="dxa"/>
            <w:gridSpan w:val="3"/>
            <w:tcBorders>
              <w:tl2br w:val="nil"/>
              <w:tr2bl w:val="nil"/>
            </w:tcBorders>
            <w:vAlign w:val="center"/>
          </w:tcPr>
          <w:p>
            <w:pPr>
              <w:pStyle w:val="24"/>
              <w:tabs>
                <w:tab w:val="left" w:pos="0"/>
              </w:tabs>
              <w:rPr>
                <w:szCs w:val="20"/>
              </w:rPr>
            </w:pPr>
            <w:r>
              <w:rPr>
                <w:szCs w:val="20"/>
              </w:rPr>
              <w:t>30</w:t>
            </w:r>
          </w:p>
        </w:tc>
        <w:tc>
          <w:tcPr>
            <w:tcW w:w="1374" w:type="dxa"/>
            <w:tcBorders>
              <w:tl2br w:val="nil"/>
              <w:tr2bl w:val="nil"/>
            </w:tcBorders>
            <w:vAlign w:val="center"/>
          </w:tcPr>
          <w:p>
            <w:pPr>
              <w:pStyle w:val="24"/>
              <w:tabs>
                <w:tab w:val="left" w:pos="0"/>
              </w:tabs>
              <w:rPr>
                <w:szCs w:val="20"/>
              </w:rPr>
            </w:pPr>
            <w:r>
              <w:rPr>
                <w:szCs w:val="20"/>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3172" w:type="dxa"/>
            <w:gridSpan w:val="2"/>
            <w:tcBorders>
              <w:tl2br w:val="nil"/>
              <w:tr2bl w:val="nil"/>
            </w:tcBorders>
            <w:vAlign w:val="center"/>
          </w:tcPr>
          <w:p>
            <w:pPr>
              <w:pStyle w:val="24"/>
              <w:tabs>
                <w:tab w:val="left" w:pos="0"/>
              </w:tabs>
              <w:rPr>
                <w:szCs w:val="20"/>
              </w:rPr>
            </w:pPr>
            <w:r>
              <w:rPr>
                <w:szCs w:val="20"/>
              </w:rPr>
              <w:t>达标情况</w:t>
            </w:r>
          </w:p>
        </w:tc>
        <w:tc>
          <w:tcPr>
            <w:tcW w:w="3966" w:type="dxa"/>
            <w:gridSpan w:val="3"/>
            <w:tcBorders>
              <w:tl2br w:val="nil"/>
              <w:tr2bl w:val="nil"/>
            </w:tcBorders>
            <w:vAlign w:val="center"/>
          </w:tcPr>
          <w:p>
            <w:pPr>
              <w:pStyle w:val="24"/>
              <w:tabs>
                <w:tab w:val="left" w:pos="0"/>
              </w:tabs>
              <w:rPr>
                <w:szCs w:val="20"/>
              </w:rPr>
            </w:pPr>
            <w:r>
              <w:rPr>
                <w:szCs w:val="20"/>
              </w:rPr>
              <w:t>达标</w:t>
            </w:r>
          </w:p>
        </w:tc>
        <w:tc>
          <w:tcPr>
            <w:tcW w:w="1374" w:type="dxa"/>
            <w:tcBorders>
              <w:tl2br w:val="nil"/>
              <w:tr2bl w:val="nil"/>
            </w:tcBorders>
            <w:vAlign w:val="center"/>
          </w:tcPr>
          <w:p>
            <w:pPr>
              <w:pStyle w:val="24"/>
              <w:tabs>
                <w:tab w:val="left" w:pos="0"/>
              </w:tabs>
              <w:rPr>
                <w:szCs w:val="20"/>
              </w:rPr>
            </w:pPr>
            <w:r>
              <w:rPr>
                <w:szCs w:val="20"/>
              </w:rPr>
              <w:t>达标</w:t>
            </w:r>
          </w:p>
        </w:tc>
      </w:tr>
    </w:tbl>
    <w:p>
      <w:pPr>
        <w:pStyle w:val="19"/>
        <w:ind w:firstLine="0" w:firstLineChars="0"/>
        <w:rPr>
          <w:lang w:val="en-US"/>
        </w:rPr>
        <w:sectPr>
          <w:pgSz w:w="11907" w:h="16839"/>
          <w:pgMar w:top="1440" w:right="1803" w:bottom="1440" w:left="1803" w:header="851" w:footer="992" w:gutter="0"/>
          <w:pgBorders>
            <w:top w:val="none" w:sz="0" w:space="0"/>
            <w:left w:val="none" w:sz="0" w:space="0"/>
            <w:bottom w:val="none" w:sz="0" w:space="0"/>
            <w:right w:val="none" w:sz="0" w:space="0"/>
          </w:pgBorders>
          <w:cols w:space="720" w:num="1"/>
          <w:docGrid w:type="lines" w:linePitch="312" w:charSpace="0"/>
        </w:sectPr>
      </w:pPr>
    </w:p>
    <w:p>
      <w:pPr>
        <w:pStyle w:val="25"/>
      </w:pPr>
      <w:r>
        <w:t>9.</w:t>
      </w:r>
      <w:r>
        <w:rPr>
          <w:lang w:val="en-US"/>
        </w:rPr>
        <w:t>2.2</w:t>
      </w:r>
      <w:r>
        <w:t>.3 厂界噪声</w:t>
      </w:r>
    </w:p>
    <w:p>
      <w:pPr>
        <w:pStyle w:val="19"/>
        <w:ind w:firstLine="480"/>
      </w:pPr>
      <w:r>
        <w:t>监测单位于</w:t>
      </w:r>
      <w:r>
        <w:rPr>
          <w:lang w:val="en-US"/>
        </w:rPr>
        <w:t>202</w:t>
      </w:r>
      <w:r>
        <w:rPr>
          <w:rFonts w:hint="eastAsia"/>
          <w:lang w:val="en-US" w:eastAsia="zh-CN"/>
        </w:rPr>
        <w:t>3</w:t>
      </w:r>
      <w:r>
        <w:t>年</w:t>
      </w:r>
      <w:r>
        <w:rPr>
          <w:rFonts w:hint="eastAsia"/>
          <w:lang w:val="en-US" w:eastAsia="zh-CN"/>
        </w:rPr>
        <w:t>3</w:t>
      </w:r>
      <w:r>
        <w:t>月</w:t>
      </w:r>
      <w:r>
        <w:rPr>
          <w:rFonts w:hint="eastAsia"/>
          <w:lang w:val="en-US" w:eastAsia="zh-CN"/>
        </w:rPr>
        <w:t>23</w:t>
      </w:r>
      <w:r>
        <w:t>日～</w:t>
      </w:r>
      <w:r>
        <w:rPr>
          <w:rFonts w:hint="eastAsia"/>
          <w:lang w:val="en-US" w:eastAsia="zh-CN"/>
        </w:rPr>
        <w:t>3</w:t>
      </w:r>
      <w:r>
        <w:t>月</w:t>
      </w:r>
      <w:r>
        <w:rPr>
          <w:rFonts w:hint="eastAsia"/>
          <w:lang w:val="en-US" w:eastAsia="zh-CN"/>
        </w:rPr>
        <w:t>24</w:t>
      </w:r>
      <w:r>
        <w:t>日对企业厂界噪声进行监测，厂界噪声监测共布设</w:t>
      </w:r>
      <w:r>
        <w:rPr>
          <w:rFonts w:hint="eastAsia"/>
          <w:lang w:val="en-US"/>
        </w:rPr>
        <w:t>8</w:t>
      </w:r>
      <w:r>
        <w:t>个监测点位。具体监测结果见表9.2</w:t>
      </w:r>
      <w:r>
        <w:rPr>
          <w:lang w:val="en-US"/>
        </w:rPr>
        <w:t>.1</w:t>
      </w:r>
      <w:r>
        <w:rPr>
          <w:rFonts w:hint="eastAsia"/>
          <w:lang w:val="en-US" w:eastAsia="zh-CN"/>
        </w:rPr>
        <w:t>4</w:t>
      </w:r>
      <w:r>
        <w:t>。</w:t>
      </w:r>
    </w:p>
    <w:p>
      <w:pPr>
        <w:pStyle w:val="19"/>
        <w:ind w:firstLine="480"/>
      </w:pPr>
      <w:r>
        <w:t>监测结果表明，验收监测期间本项目厂界噪声监测值</w:t>
      </w:r>
      <w:r>
        <w:rPr>
          <w:lang w:val="en-US"/>
        </w:rPr>
        <w:t>均</w:t>
      </w:r>
      <w:r>
        <w:t>符合《工业企业厂界环境噪声排放标准》（GB12348-2008）的3类标准的要求，即昼间≤65dB(</w:t>
      </w:r>
      <w:r>
        <w:rPr>
          <w:lang w:val="en-US"/>
        </w:rPr>
        <w:t>A</w:t>
      </w:r>
      <w:r>
        <w:t>)，夜间≤55dB(</w:t>
      </w:r>
      <w:r>
        <w:rPr>
          <w:lang w:val="en-US"/>
        </w:rPr>
        <w:t>A</w:t>
      </w:r>
      <w:r>
        <w:t>)，且夜间偶发噪声的最大声级不超过限值的15dB(</w:t>
      </w:r>
      <w:r>
        <w:rPr>
          <w:lang w:val="en-US"/>
        </w:rPr>
        <w:t>A</w:t>
      </w:r>
      <w:r>
        <w:t>)。</w:t>
      </w:r>
    </w:p>
    <w:p>
      <w:pPr>
        <w:pStyle w:val="23"/>
      </w:pPr>
      <w:r>
        <w:t>表9.2.1</w:t>
      </w:r>
      <w:r>
        <w:rPr>
          <w:rFonts w:hint="eastAsia"/>
          <w:lang w:val="en-US" w:eastAsia="zh-CN"/>
        </w:rPr>
        <w:t>4</w:t>
      </w:r>
      <w:r>
        <w:t xml:space="preserve"> 厂界噪声监测数据统计结果一览表</w:t>
      </w:r>
    </w:p>
    <w:tbl>
      <w:tblPr>
        <w:tblStyle w:val="14"/>
        <w:tblW w:w="852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3"/>
        <w:gridCol w:w="1200"/>
        <w:gridCol w:w="1079"/>
        <w:gridCol w:w="1067"/>
        <w:gridCol w:w="1214"/>
        <w:gridCol w:w="943"/>
        <w:gridCol w:w="95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063" w:type="dxa"/>
            <w:vMerge w:val="restart"/>
            <w:vAlign w:val="center"/>
          </w:tcPr>
          <w:p>
            <w:pPr>
              <w:pStyle w:val="24"/>
            </w:pPr>
            <w:r>
              <w:t>监测点位</w:t>
            </w:r>
          </w:p>
        </w:tc>
        <w:tc>
          <w:tcPr>
            <w:tcW w:w="3346" w:type="dxa"/>
            <w:gridSpan w:val="3"/>
            <w:vAlign w:val="center"/>
          </w:tcPr>
          <w:p>
            <w:pPr>
              <w:pStyle w:val="24"/>
              <w:rPr>
                <w:rFonts w:hint="default" w:eastAsia="宋体"/>
                <w:lang w:val="en-US" w:eastAsia="zh-CN"/>
              </w:rPr>
            </w:pPr>
            <w:r>
              <w:rPr>
                <w:rFonts w:hint="eastAsia"/>
                <w:lang w:val="en-US" w:eastAsia="zh-CN"/>
              </w:rPr>
              <w:t>2023.3.23</w:t>
            </w:r>
          </w:p>
        </w:tc>
        <w:tc>
          <w:tcPr>
            <w:tcW w:w="3112" w:type="dxa"/>
            <w:gridSpan w:val="3"/>
            <w:vAlign w:val="center"/>
          </w:tcPr>
          <w:p>
            <w:pPr>
              <w:pStyle w:val="24"/>
              <w:rPr>
                <w:rFonts w:hint="default" w:eastAsia="宋体"/>
                <w:lang w:val="en-US" w:eastAsia="zh-CN"/>
              </w:rPr>
            </w:pPr>
            <w:r>
              <w:rPr>
                <w:rFonts w:hint="eastAsia"/>
                <w:lang w:val="en-US" w:eastAsia="zh-CN"/>
              </w:rPr>
              <w:t>2023.3.24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063" w:type="dxa"/>
            <w:vMerge w:val="continue"/>
            <w:vAlign w:val="center"/>
          </w:tcPr>
          <w:p>
            <w:pPr>
              <w:pStyle w:val="24"/>
            </w:pPr>
          </w:p>
        </w:tc>
        <w:tc>
          <w:tcPr>
            <w:tcW w:w="1200" w:type="dxa"/>
            <w:vMerge w:val="restart"/>
            <w:vAlign w:val="center"/>
          </w:tcPr>
          <w:p>
            <w:pPr>
              <w:pStyle w:val="24"/>
              <w:rPr>
                <w:vertAlign w:val="subscript"/>
              </w:rPr>
            </w:pPr>
            <w:r>
              <w:t>昼间L</w:t>
            </w:r>
            <w:r>
              <w:rPr>
                <w:vertAlign w:val="subscript"/>
              </w:rPr>
              <w:t>Aeq</w:t>
            </w:r>
          </w:p>
          <w:p>
            <w:pPr>
              <w:pStyle w:val="24"/>
            </w:pPr>
            <w:r>
              <w:t>dB（A）</w:t>
            </w:r>
          </w:p>
        </w:tc>
        <w:tc>
          <w:tcPr>
            <w:tcW w:w="2146" w:type="dxa"/>
            <w:gridSpan w:val="2"/>
            <w:vAlign w:val="center"/>
          </w:tcPr>
          <w:p>
            <w:pPr>
              <w:pStyle w:val="24"/>
            </w:pPr>
            <w:r>
              <w:t>夜间dB（A）</w:t>
            </w:r>
          </w:p>
        </w:tc>
        <w:tc>
          <w:tcPr>
            <w:tcW w:w="1214" w:type="dxa"/>
            <w:vMerge w:val="restart"/>
            <w:vAlign w:val="center"/>
          </w:tcPr>
          <w:p>
            <w:pPr>
              <w:pStyle w:val="24"/>
            </w:pPr>
            <w:r>
              <w:t>昼间L</w:t>
            </w:r>
            <w:r>
              <w:rPr>
                <w:vertAlign w:val="subscript"/>
              </w:rPr>
              <w:t>Aeq</w:t>
            </w:r>
          </w:p>
          <w:p>
            <w:pPr>
              <w:pStyle w:val="24"/>
            </w:pPr>
            <w:r>
              <w:t>dB（A）</w:t>
            </w:r>
          </w:p>
        </w:tc>
        <w:tc>
          <w:tcPr>
            <w:tcW w:w="1898" w:type="dxa"/>
            <w:gridSpan w:val="2"/>
            <w:vAlign w:val="center"/>
          </w:tcPr>
          <w:p>
            <w:pPr>
              <w:pStyle w:val="24"/>
            </w:pPr>
            <w:r>
              <w:t>夜间dB（A）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063" w:type="dxa"/>
            <w:vMerge w:val="continue"/>
            <w:vAlign w:val="center"/>
          </w:tcPr>
          <w:p>
            <w:pPr>
              <w:pStyle w:val="24"/>
            </w:pPr>
          </w:p>
        </w:tc>
        <w:tc>
          <w:tcPr>
            <w:tcW w:w="1200" w:type="dxa"/>
            <w:vMerge w:val="continue"/>
            <w:vAlign w:val="center"/>
          </w:tcPr>
          <w:p>
            <w:pPr>
              <w:pStyle w:val="24"/>
            </w:pPr>
          </w:p>
        </w:tc>
        <w:tc>
          <w:tcPr>
            <w:tcW w:w="1079" w:type="dxa"/>
            <w:vAlign w:val="center"/>
          </w:tcPr>
          <w:p>
            <w:pPr>
              <w:pStyle w:val="24"/>
            </w:pPr>
            <w:r>
              <w:t>L</w:t>
            </w:r>
            <w:r>
              <w:rPr>
                <w:vertAlign w:val="subscript"/>
              </w:rPr>
              <w:t>Aeq</w:t>
            </w:r>
          </w:p>
        </w:tc>
        <w:tc>
          <w:tcPr>
            <w:tcW w:w="1067" w:type="dxa"/>
            <w:vAlign w:val="center"/>
          </w:tcPr>
          <w:p>
            <w:pPr>
              <w:pStyle w:val="24"/>
            </w:pPr>
            <w:r>
              <w:t>L</w:t>
            </w:r>
            <w:r>
              <w:rPr>
                <w:vertAlign w:val="subscript"/>
              </w:rPr>
              <w:t>max</w:t>
            </w:r>
          </w:p>
        </w:tc>
        <w:tc>
          <w:tcPr>
            <w:tcW w:w="1214" w:type="dxa"/>
            <w:vMerge w:val="continue"/>
            <w:vAlign w:val="center"/>
          </w:tcPr>
          <w:p>
            <w:pPr>
              <w:pStyle w:val="24"/>
            </w:pPr>
          </w:p>
        </w:tc>
        <w:tc>
          <w:tcPr>
            <w:tcW w:w="943" w:type="dxa"/>
            <w:vAlign w:val="center"/>
          </w:tcPr>
          <w:p>
            <w:pPr>
              <w:pStyle w:val="24"/>
            </w:pPr>
            <w:r>
              <w:t>L</w:t>
            </w:r>
            <w:r>
              <w:rPr>
                <w:vertAlign w:val="subscript"/>
              </w:rPr>
              <w:t>Aeq</w:t>
            </w:r>
          </w:p>
        </w:tc>
        <w:tc>
          <w:tcPr>
            <w:tcW w:w="955" w:type="dxa"/>
            <w:vAlign w:val="center"/>
          </w:tcPr>
          <w:p>
            <w:pPr>
              <w:pStyle w:val="24"/>
            </w:pPr>
            <w:r>
              <w:t>L</w:t>
            </w:r>
            <w:r>
              <w:rPr>
                <w:vertAlign w:val="subscript"/>
              </w:rPr>
              <w:t>max</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rPr>
                <w:rFonts w:hint="default" w:eastAsia="宋体"/>
                <w:lang w:val="en-US" w:eastAsia="zh-CN"/>
              </w:rPr>
            </w:pPr>
            <w:r>
              <w:t>厂界</w:t>
            </w:r>
            <w:r>
              <w:rPr>
                <w:rFonts w:hint="eastAsia"/>
                <w:lang w:eastAsia="zh-CN"/>
              </w:rPr>
              <w:t>噪声</w:t>
            </w:r>
            <w:r>
              <w:rPr>
                <w:rFonts w:hint="eastAsia"/>
                <w:lang w:val="en-US" w:eastAsia="zh-CN"/>
              </w:rPr>
              <w:t>1#</w:t>
            </w:r>
          </w:p>
        </w:tc>
        <w:tc>
          <w:tcPr>
            <w:tcW w:w="1200" w:type="dxa"/>
            <w:vAlign w:val="center"/>
          </w:tcPr>
          <w:p>
            <w:pPr>
              <w:pStyle w:val="24"/>
            </w:pPr>
            <w:r>
              <w:rPr>
                <w:rFonts w:hint="eastAsia"/>
                <w:lang w:val="en-US" w:eastAsia="zh-CN"/>
              </w:rPr>
              <w:t>53.8</w:t>
            </w:r>
          </w:p>
        </w:tc>
        <w:tc>
          <w:tcPr>
            <w:tcW w:w="1079" w:type="dxa"/>
            <w:vAlign w:val="center"/>
          </w:tcPr>
          <w:p>
            <w:pPr>
              <w:pStyle w:val="24"/>
            </w:pPr>
            <w:r>
              <w:rPr>
                <w:rFonts w:hint="eastAsia"/>
                <w:lang w:val="en-US" w:eastAsia="zh-CN"/>
              </w:rPr>
              <w:t>45.0</w:t>
            </w:r>
          </w:p>
        </w:tc>
        <w:tc>
          <w:tcPr>
            <w:tcW w:w="1067" w:type="dxa"/>
            <w:vAlign w:val="center"/>
          </w:tcPr>
          <w:p>
            <w:pPr>
              <w:pStyle w:val="24"/>
              <w:rPr>
                <w:rFonts w:hint="default" w:ascii="Times New Roman" w:hAnsi="Times New Roman" w:eastAsia="宋体" w:cs="Times New Roman"/>
                <w:lang w:val="en-US"/>
              </w:rPr>
            </w:pPr>
            <w:r>
              <w:rPr>
                <w:rFonts w:hint="eastAsia" w:ascii="Times New Roman" w:hAnsi="Times New Roman" w:eastAsia="宋体" w:cs="Times New Roman"/>
                <w:lang w:val="en-US" w:eastAsia="zh-CN"/>
              </w:rPr>
              <w:t>59.6</w:t>
            </w:r>
          </w:p>
        </w:tc>
        <w:tc>
          <w:tcPr>
            <w:tcW w:w="1214" w:type="dxa"/>
            <w:vAlign w:val="center"/>
          </w:tcPr>
          <w:p>
            <w:pPr>
              <w:pStyle w:val="24"/>
              <w:rPr>
                <w:rFonts w:ascii="Times New Roman" w:hAnsi="Times New Roman" w:eastAsia="宋体" w:cs="Times New Roman"/>
              </w:rPr>
            </w:pPr>
            <w:r>
              <w:rPr>
                <w:rFonts w:hint="eastAsia" w:ascii="Times New Roman" w:hAnsi="Times New Roman" w:eastAsia="宋体" w:cs="Times New Roman"/>
                <w:lang w:val="en-US" w:eastAsia="zh-CN"/>
              </w:rPr>
              <w:t>55.8</w:t>
            </w:r>
          </w:p>
        </w:tc>
        <w:tc>
          <w:tcPr>
            <w:tcW w:w="943" w:type="dxa"/>
            <w:vAlign w:val="center"/>
          </w:tcPr>
          <w:p>
            <w:pPr>
              <w:pStyle w:val="24"/>
              <w:rPr>
                <w:rFonts w:ascii="Times New Roman" w:hAnsi="Times New Roman" w:eastAsia="宋体" w:cs="Times New Roman"/>
              </w:rPr>
            </w:pPr>
            <w:r>
              <w:rPr>
                <w:rFonts w:hint="eastAsia" w:ascii="Times New Roman" w:hAnsi="Times New Roman" w:eastAsia="宋体" w:cs="Times New Roman"/>
                <w:lang w:val="en-US" w:eastAsia="zh-CN"/>
              </w:rPr>
              <w:t>47.1</w:t>
            </w:r>
          </w:p>
        </w:tc>
        <w:tc>
          <w:tcPr>
            <w:tcW w:w="955" w:type="dxa"/>
            <w:vAlign w:val="center"/>
          </w:tcPr>
          <w:p>
            <w:pPr>
              <w:pStyle w:val="24"/>
              <w:rPr>
                <w:rFonts w:ascii="Times New Roman" w:hAnsi="Times New Roman" w:eastAsia="宋体" w:cs="Times New Roman"/>
              </w:rPr>
            </w:pPr>
            <w:r>
              <w:rPr>
                <w:rFonts w:hint="eastAsia" w:ascii="Times New Roman" w:hAnsi="Times New Roman" w:eastAsia="宋体" w:cs="Times New Roman"/>
                <w:lang w:val="en-US" w:eastAsia="zh-CN"/>
              </w:rPr>
              <w:t>51.6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bidi w:val="0"/>
            </w:pPr>
            <w:r>
              <w:t>厂界</w:t>
            </w:r>
            <w:r>
              <w:rPr>
                <w:rFonts w:hint="eastAsia"/>
                <w:lang w:eastAsia="zh-CN"/>
              </w:rPr>
              <w:t>噪声</w:t>
            </w:r>
            <w:r>
              <w:rPr>
                <w:rFonts w:hint="eastAsia"/>
                <w:lang w:val="en-US" w:eastAsia="zh-CN"/>
              </w:rPr>
              <w:t>2#</w:t>
            </w:r>
          </w:p>
        </w:tc>
        <w:tc>
          <w:tcPr>
            <w:tcW w:w="1200" w:type="dxa"/>
            <w:vAlign w:val="center"/>
          </w:tcPr>
          <w:p>
            <w:pPr>
              <w:pStyle w:val="24"/>
            </w:pPr>
            <w:r>
              <w:rPr>
                <w:rFonts w:hint="eastAsia"/>
                <w:lang w:val="en-US" w:eastAsia="zh-CN"/>
              </w:rPr>
              <w:t>54.6</w:t>
            </w:r>
          </w:p>
        </w:tc>
        <w:tc>
          <w:tcPr>
            <w:tcW w:w="1079" w:type="dxa"/>
            <w:vAlign w:val="center"/>
          </w:tcPr>
          <w:p>
            <w:pPr>
              <w:pStyle w:val="24"/>
              <w:rPr>
                <w:rFonts w:hint="default"/>
                <w:lang w:val="en-US"/>
              </w:rPr>
            </w:pPr>
            <w:r>
              <w:rPr>
                <w:rFonts w:hint="eastAsia"/>
                <w:lang w:val="en-US" w:eastAsia="zh-CN"/>
              </w:rPr>
              <w:t>45.3</w:t>
            </w:r>
          </w:p>
        </w:tc>
        <w:tc>
          <w:tcPr>
            <w:tcW w:w="1067" w:type="dxa"/>
            <w:vAlign w:val="center"/>
          </w:tcPr>
          <w:p>
            <w:pPr>
              <w:pStyle w:val="24"/>
              <w:rPr>
                <w:rFonts w:hint="default" w:ascii="Times New Roman" w:hAnsi="Times New Roman" w:eastAsia="宋体" w:cs="Times New Roman"/>
                <w:lang w:val="en-US"/>
              </w:rPr>
            </w:pPr>
            <w:r>
              <w:rPr>
                <w:rFonts w:hint="eastAsia" w:ascii="Times New Roman" w:hAnsi="Times New Roman" w:eastAsia="宋体" w:cs="Times New Roman"/>
                <w:lang w:val="en-US" w:eastAsia="zh-CN"/>
              </w:rPr>
              <w:t>54.9</w:t>
            </w:r>
          </w:p>
        </w:tc>
        <w:tc>
          <w:tcPr>
            <w:tcW w:w="1214" w:type="dxa"/>
            <w:vAlign w:val="center"/>
          </w:tcPr>
          <w:p>
            <w:pPr>
              <w:pStyle w:val="24"/>
              <w:rPr>
                <w:rFonts w:ascii="Times New Roman" w:hAnsi="Times New Roman" w:eastAsia="宋体" w:cs="Times New Roman"/>
              </w:rPr>
            </w:pPr>
            <w:r>
              <w:rPr>
                <w:rFonts w:hint="eastAsia" w:ascii="Times New Roman" w:hAnsi="Times New Roman" w:eastAsia="宋体" w:cs="Times New Roman"/>
                <w:lang w:val="en-US" w:eastAsia="zh-CN"/>
              </w:rPr>
              <w:t>53.9</w:t>
            </w:r>
          </w:p>
        </w:tc>
        <w:tc>
          <w:tcPr>
            <w:tcW w:w="943" w:type="dxa"/>
            <w:vAlign w:val="center"/>
          </w:tcPr>
          <w:p>
            <w:pPr>
              <w:pStyle w:val="24"/>
              <w:rPr>
                <w:rFonts w:ascii="Times New Roman" w:hAnsi="Times New Roman" w:eastAsia="宋体" w:cs="Times New Roman"/>
              </w:rPr>
            </w:pPr>
            <w:r>
              <w:rPr>
                <w:rFonts w:hint="eastAsia" w:ascii="Times New Roman" w:hAnsi="Times New Roman" w:eastAsia="宋体" w:cs="Times New Roman"/>
                <w:lang w:val="en-US" w:eastAsia="zh-CN"/>
              </w:rPr>
              <w:t>45.8</w:t>
            </w:r>
          </w:p>
        </w:tc>
        <w:tc>
          <w:tcPr>
            <w:tcW w:w="955" w:type="dxa"/>
            <w:vAlign w:val="center"/>
          </w:tcPr>
          <w:p>
            <w:pPr>
              <w:pStyle w:val="24"/>
              <w:rPr>
                <w:rFonts w:ascii="Times New Roman" w:hAnsi="Times New Roman" w:eastAsia="宋体" w:cs="Times New Roman"/>
              </w:rPr>
            </w:pPr>
            <w:r>
              <w:rPr>
                <w:rFonts w:hint="eastAsia" w:ascii="Times New Roman" w:hAnsi="Times New Roman" w:eastAsia="宋体" w:cs="Times New Roman"/>
                <w:lang w:val="en-US" w:eastAsia="zh-CN"/>
              </w:rPr>
              <w:t>48.0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bidi w:val="0"/>
            </w:pPr>
            <w:r>
              <w:t>厂界</w:t>
            </w:r>
            <w:r>
              <w:rPr>
                <w:rFonts w:hint="eastAsia"/>
                <w:lang w:eastAsia="zh-CN"/>
              </w:rPr>
              <w:t>噪声</w:t>
            </w:r>
            <w:r>
              <w:rPr>
                <w:rFonts w:hint="eastAsia"/>
                <w:lang w:val="en-US" w:eastAsia="zh-CN"/>
              </w:rPr>
              <w:t>3#</w:t>
            </w:r>
          </w:p>
        </w:tc>
        <w:tc>
          <w:tcPr>
            <w:tcW w:w="1200" w:type="dxa"/>
            <w:vAlign w:val="center"/>
          </w:tcPr>
          <w:p>
            <w:pPr>
              <w:pStyle w:val="24"/>
            </w:pPr>
            <w:r>
              <w:rPr>
                <w:rFonts w:hint="eastAsia"/>
                <w:lang w:val="en-US" w:eastAsia="zh-CN"/>
              </w:rPr>
              <w:t>49.9</w:t>
            </w:r>
          </w:p>
        </w:tc>
        <w:tc>
          <w:tcPr>
            <w:tcW w:w="1079" w:type="dxa"/>
            <w:vAlign w:val="center"/>
          </w:tcPr>
          <w:p>
            <w:pPr>
              <w:pStyle w:val="24"/>
            </w:pPr>
            <w:r>
              <w:rPr>
                <w:rFonts w:hint="eastAsia"/>
                <w:lang w:val="en-US" w:eastAsia="zh-CN"/>
              </w:rPr>
              <w:t>47.6</w:t>
            </w:r>
          </w:p>
        </w:tc>
        <w:tc>
          <w:tcPr>
            <w:tcW w:w="1067" w:type="dxa"/>
            <w:vAlign w:val="center"/>
          </w:tcPr>
          <w:p>
            <w:pPr>
              <w:pStyle w:val="24"/>
              <w:rPr>
                <w:rFonts w:ascii="Times New Roman" w:hAnsi="Times New Roman" w:eastAsia="宋体" w:cs="Times New Roman"/>
              </w:rPr>
            </w:pPr>
            <w:r>
              <w:rPr>
                <w:rFonts w:hint="eastAsia" w:ascii="Times New Roman" w:hAnsi="Times New Roman" w:eastAsia="宋体" w:cs="Times New Roman"/>
                <w:lang w:val="en-US" w:eastAsia="zh-CN"/>
              </w:rPr>
              <w:t>53.3</w:t>
            </w:r>
          </w:p>
        </w:tc>
        <w:tc>
          <w:tcPr>
            <w:tcW w:w="121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52.0</w:t>
            </w:r>
          </w:p>
        </w:tc>
        <w:tc>
          <w:tcPr>
            <w:tcW w:w="943"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48.3</w:t>
            </w:r>
          </w:p>
        </w:tc>
        <w:tc>
          <w:tcPr>
            <w:tcW w:w="955"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bidi w:val="0"/>
            </w:pPr>
            <w:r>
              <w:t>厂界</w:t>
            </w:r>
            <w:r>
              <w:rPr>
                <w:rFonts w:hint="eastAsia"/>
                <w:lang w:eastAsia="zh-CN"/>
              </w:rPr>
              <w:t>噪声</w:t>
            </w:r>
            <w:r>
              <w:rPr>
                <w:rFonts w:hint="eastAsia"/>
                <w:lang w:val="en-US" w:eastAsia="zh-CN"/>
              </w:rPr>
              <w:t>4#</w:t>
            </w:r>
          </w:p>
        </w:tc>
        <w:tc>
          <w:tcPr>
            <w:tcW w:w="1200" w:type="dxa"/>
            <w:vAlign w:val="center"/>
          </w:tcPr>
          <w:p>
            <w:pPr>
              <w:pStyle w:val="24"/>
              <w:rPr>
                <w:rFonts w:hint="default" w:eastAsia="宋体"/>
                <w:lang w:val="en-US" w:eastAsia="zh-CN"/>
              </w:rPr>
            </w:pPr>
            <w:r>
              <w:rPr>
                <w:rFonts w:hint="eastAsia"/>
                <w:lang w:val="en-US" w:eastAsia="zh-CN"/>
              </w:rPr>
              <w:t>52.4</w:t>
            </w:r>
          </w:p>
        </w:tc>
        <w:tc>
          <w:tcPr>
            <w:tcW w:w="1079" w:type="dxa"/>
            <w:vAlign w:val="center"/>
          </w:tcPr>
          <w:p>
            <w:pPr>
              <w:pStyle w:val="24"/>
              <w:rPr>
                <w:rFonts w:hint="default" w:eastAsia="宋体"/>
                <w:lang w:val="en-US" w:eastAsia="zh-CN"/>
              </w:rPr>
            </w:pPr>
            <w:r>
              <w:rPr>
                <w:rFonts w:hint="eastAsia"/>
                <w:lang w:val="en-US" w:eastAsia="zh-CN"/>
              </w:rPr>
              <w:t>44.9</w:t>
            </w:r>
          </w:p>
        </w:tc>
        <w:tc>
          <w:tcPr>
            <w:tcW w:w="1067"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50.8</w:t>
            </w:r>
          </w:p>
        </w:tc>
        <w:tc>
          <w:tcPr>
            <w:tcW w:w="121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52.1</w:t>
            </w:r>
          </w:p>
        </w:tc>
        <w:tc>
          <w:tcPr>
            <w:tcW w:w="943"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46.8</w:t>
            </w:r>
          </w:p>
        </w:tc>
        <w:tc>
          <w:tcPr>
            <w:tcW w:w="955"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bidi w:val="0"/>
            </w:pPr>
            <w:r>
              <w:t>厂界</w:t>
            </w:r>
            <w:r>
              <w:rPr>
                <w:rFonts w:hint="eastAsia"/>
                <w:lang w:eastAsia="zh-CN"/>
              </w:rPr>
              <w:t>噪声</w:t>
            </w:r>
            <w:r>
              <w:rPr>
                <w:rFonts w:hint="eastAsia"/>
                <w:lang w:val="en-US" w:eastAsia="zh-CN"/>
              </w:rPr>
              <w:t>5#</w:t>
            </w:r>
          </w:p>
        </w:tc>
        <w:tc>
          <w:tcPr>
            <w:tcW w:w="1200" w:type="dxa"/>
            <w:vAlign w:val="center"/>
          </w:tcPr>
          <w:p>
            <w:pPr>
              <w:pStyle w:val="24"/>
              <w:rPr>
                <w:rFonts w:hint="default" w:eastAsia="宋体"/>
                <w:lang w:val="en-US" w:eastAsia="zh-CN"/>
              </w:rPr>
            </w:pPr>
            <w:r>
              <w:rPr>
                <w:rFonts w:hint="eastAsia"/>
                <w:lang w:val="en-US" w:eastAsia="zh-CN"/>
              </w:rPr>
              <w:t>51.0</w:t>
            </w:r>
          </w:p>
        </w:tc>
        <w:tc>
          <w:tcPr>
            <w:tcW w:w="1079" w:type="dxa"/>
            <w:vAlign w:val="center"/>
          </w:tcPr>
          <w:p>
            <w:pPr>
              <w:pStyle w:val="24"/>
              <w:rPr>
                <w:rFonts w:hint="default" w:eastAsia="宋体"/>
                <w:lang w:val="en-US" w:eastAsia="zh-CN"/>
              </w:rPr>
            </w:pPr>
            <w:r>
              <w:rPr>
                <w:rFonts w:hint="eastAsia"/>
                <w:lang w:val="en-US" w:eastAsia="zh-CN"/>
              </w:rPr>
              <w:t>47.9</w:t>
            </w:r>
          </w:p>
        </w:tc>
        <w:tc>
          <w:tcPr>
            <w:tcW w:w="1067"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53.1</w:t>
            </w:r>
          </w:p>
        </w:tc>
        <w:tc>
          <w:tcPr>
            <w:tcW w:w="121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50.4</w:t>
            </w:r>
          </w:p>
        </w:tc>
        <w:tc>
          <w:tcPr>
            <w:tcW w:w="943"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45.4</w:t>
            </w:r>
          </w:p>
        </w:tc>
        <w:tc>
          <w:tcPr>
            <w:tcW w:w="955"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bidi w:val="0"/>
            </w:pPr>
            <w:r>
              <w:t>厂界</w:t>
            </w:r>
            <w:r>
              <w:rPr>
                <w:rFonts w:hint="eastAsia"/>
                <w:lang w:eastAsia="zh-CN"/>
              </w:rPr>
              <w:t>噪声</w:t>
            </w:r>
            <w:r>
              <w:rPr>
                <w:rFonts w:hint="eastAsia"/>
                <w:lang w:val="en-US" w:eastAsia="zh-CN"/>
              </w:rPr>
              <w:t>6#</w:t>
            </w:r>
          </w:p>
        </w:tc>
        <w:tc>
          <w:tcPr>
            <w:tcW w:w="1200" w:type="dxa"/>
            <w:vAlign w:val="center"/>
          </w:tcPr>
          <w:p>
            <w:pPr>
              <w:pStyle w:val="24"/>
              <w:rPr>
                <w:rFonts w:hint="default" w:eastAsia="宋体"/>
                <w:lang w:val="en-US" w:eastAsia="zh-CN"/>
              </w:rPr>
            </w:pPr>
            <w:r>
              <w:rPr>
                <w:rFonts w:hint="eastAsia"/>
                <w:lang w:val="en-US" w:eastAsia="zh-CN"/>
              </w:rPr>
              <w:t>53.9</w:t>
            </w:r>
          </w:p>
        </w:tc>
        <w:tc>
          <w:tcPr>
            <w:tcW w:w="1079" w:type="dxa"/>
            <w:vAlign w:val="center"/>
          </w:tcPr>
          <w:p>
            <w:pPr>
              <w:pStyle w:val="24"/>
              <w:rPr>
                <w:rFonts w:hint="default" w:eastAsia="宋体"/>
                <w:lang w:val="en-US" w:eastAsia="zh-CN"/>
              </w:rPr>
            </w:pPr>
            <w:r>
              <w:rPr>
                <w:rFonts w:hint="eastAsia"/>
                <w:lang w:val="en-US" w:eastAsia="zh-CN"/>
              </w:rPr>
              <w:t>43.9</w:t>
            </w:r>
          </w:p>
        </w:tc>
        <w:tc>
          <w:tcPr>
            <w:tcW w:w="1067"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52.6</w:t>
            </w:r>
          </w:p>
        </w:tc>
        <w:tc>
          <w:tcPr>
            <w:tcW w:w="121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50.4</w:t>
            </w:r>
          </w:p>
        </w:tc>
        <w:tc>
          <w:tcPr>
            <w:tcW w:w="943"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45.5</w:t>
            </w:r>
          </w:p>
        </w:tc>
        <w:tc>
          <w:tcPr>
            <w:tcW w:w="955"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bidi w:val="0"/>
            </w:pPr>
            <w:r>
              <w:t>厂界</w:t>
            </w:r>
            <w:r>
              <w:rPr>
                <w:rFonts w:hint="eastAsia"/>
                <w:lang w:eastAsia="zh-CN"/>
              </w:rPr>
              <w:t>噪声</w:t>
            </w:r>
            <w:r>
              <w:rPr>
                <w:rFonts w:hint="eastAsia"/>
                <w:lang w:val="en-US" w:eastAsia="zh-CN"/>
              </w:rPr>
              <w:t>7#</w:t>
            </w:r>
          </w:p>
        </w:tc>
        <w:tc>
          <w:tcPr>
            <w:tcW w:w="1200" w:type="dxa"/>
            <w:vAlign w:val="center"/>
          </w:tcPr>
          <w:p>
            <w:pPr>
              <w:pStyle w:val="24"/>
              <w:rPr>
                <w:rFonts w:hint="default" w:eastAsia="宋体"/>
                <w:lang w:val="en-US" w:eastAsia="zh-CN"/>
              </w:rPr>
            </w:pPr>
            <w:r>
              <w:rPr>
                <w:rFonts w:hint="eastAsia"/>
                <w:lang w:val="en-US" w:eastAsia="zh-CN"/>
              </w:rPr>
              <w:t>50.8</w:t>
            </w:r>
          </w:p>
        </w:tc>
        <w:tc>
          <w:tcPr>
            <w:tcW w:w="1079" w:type="dxa"/>
            <w:vAlign w:val="center"/>
          </w:tcPr>
          <w:p>
            <w:pPr>
              <w:pStyle w:val="24"/>
              <w:rPr>
                <w:rFonts w:hint="default" w:eastAsia="宋体"/>
                <w:lang w:val="en-US" w:eastAsia="zh-CN"/>
              </w:rPr>
            </w:pPr>
            <w:r>
              <w:rPr>
                <w:rFonts w:hint="eastAsia"/>
                <w:lang w:val="en-US" w:eastAsia="zh-CN"/>
              </w:rPr>
              <w:t>41.3</w:t>
            </w:r>
          </w:p>
        </w:tc>
        <w:tc>
          <w:tcPr>
            <w:tcW w:w="1067"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53.0</w:t>
            </w:r>
          </w:p>
        </w:tc>
        <w:tc>
          <w:tcPr>
            <w:tcW w:w="121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52.5</w:t>
            </w:r>
          </w:p>
        </w:tc>
        <w:tc>
          <w:tcPr>
            <w:tcW w:w="943"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45.6</w:t>
            </w:r>
          </w:p>
        </w:tc>
        <w:tc>
          <w:tcPr>
            <w:tcW w:w="955"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54.1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bidi w:val="0"/>
            </w:pPr>
            <w:r>
              <w:t>厂界</w:t>
            </w:r>
            <w:r>
              <w:rPr>
                <w:rFonts w:hint="eastAsia"/>
                <w:lang w:eastAsia="zh-CN"/>
              </w:rPr>
              <w:t>噪声</w:t>
            </w:r>
            <w:r>
              <w:rPr>
                <w:rFonts w:hint="eastAsia"/>
                <w:lang w:val="en-US" w:eastAsia="zh-CN"/>
              </w:rPr>
              <w:t>8#</w:t>
            </w:r>
          </w:p>
        </w:tc>
        <w:tc>
          <w:tcPr>
            <w:tcW w:w="1200" w:type="dxa"/>
            <w:vAlign w:val="center"/>
          </w:tcPr>
          <w:p>
            <w:pPr>
              <w:pStyle w:val="24"/>
              <w:rPr>
                <w:rFonts w:hint="default" w:eastAsia="宋体"/>
                <w:lang w:val="en-US" w:eastAsia="zh-CN"/>
              </w:rPr>
            </w:pPr>
            <w:r>
              <w:rPr>
                <w:rFonts w:hint="eastAsia"/>
                <w:lang w:val="en-US" w:eastAsia="zh-CN"/>
              </w:rPr>
              <w:t>49.6</w:t>
            </w:r>
          </w:p>
        </w:tc>
        <w:tc>
          <w:tcPr>
            <w:tcW w:w="1079" w:type="dxa"/>
            <w:vAlign w:val="center"/>
          </w:tcPr>
          <w:p>
            <w:pPr>
              <w:pStyle w:val="24"/>
              <w:rPr>
                <w:rFonts w:hint="default" w:eastAsia="宋体"/>
                <w:lang w:val="en-US" w:eastAsia="zh-CN"/>
              </w:rPr>
            </w:pPr>
            <w:r>
              <w:rPr>
                <w:rFonts w:hint="eastAsia"/>
                <w:lang w:val="en-US" w:eastAsia="zh-CN"/>
              </w:rPr>
              <w:t>42.3</w:t>
            </w:r>
          </w:p>
        </w:tc>
        <w:tc>
          <w:tcPr>
            <w:tcW w:w="1067"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45.2</w:t>
            </w:r>
          </w:p>
        </w:tc>
        <w:tc>
          <w:tcPr>
            <w:tcW w:w="121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52.7</w:t>
            </w:r>
          </w:p>
        </w:tc>
        <w:tc>
          <w:tcPr>
            <w:tcW w:w="943"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46.6</w:t>
            </w:r>
          </w:p>
        </w:tc>
        <w:tc>
          <w:tcPr>
            <w:tcW w:w="955"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57.2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pPr>
            <w:r>
              <w:t>标准值</w:t>
            </w:r>
          </w:p>
        </w:tc>
        <w:tc>
          <w:tcPr>
            <w:tcW w:w="1200" w:type="dxa"/>
            <w:vAlign w:val="center"/>
          </w:tcPr>
          <w:p>
            <w:pPr>
              <w:pStyle w:val="24"/>
              <w:rPr>
                <w:rFonts w:hint="default" w:eastAsia="宋体"/>
                <w:lang w:val="en-US" w:eastAsia="zh-CN"/>
              </w:rPr>
            </w:pPr>
            <w:r>
              <w:rPr>
                <w:rFonts w:hint="eastAsia"/>
                <w:lang w:val="en-US" w:eastAsia="zh-CN"/>
              </w:rPr>
              <w:t>65</w:t>
            </w:r>
          </w:p>
        </w:tc>
        <w:tc>
          <w:tcPr>
            <w:tcW w:w="1079" w:type="dxa"/>
            <w:vAlign w:val="center"/>
          </w:tcPr>
          <w:p>
            <w:pPr>
              <w:pStyle w:val="24"/>
              <w:rPr>
                <w:rFonts w:hint="default" w:eastAsia="宋体"/>
                <w:lang w:val="en-US" w:eastAsia="zh-CN"/>
              </w:rPr>
            </w:pPr>
            <w:r>
              <w:rPr>
                <w:rFonts w:hint="eastAsia"/>
                <w:lang w:val="en-US" w:eastAsia="zh-CN"/>
              </w:rPr>
              <w:t>55</w:t>
            </w:r>
          </w:p>
        </w:tc>
        <w:tc>
          <w:tcPr>
            <w:tcW w:w="1067"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70</w:t>
            </w:r>
          </w:p>
        </w:tc>
        <w:tc>
          <w:tcPr>
            <w:tcW w:w="1214"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65</w:t>
            </w:r>
          </w:p>
        </w:tc>
        <w:tc>
          <w:tcPr>
            <w:tcW w:w="943"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55</w:t>
            </w:r>
          </w:p>
        </w:tc>
        <w:tc>
          <w:tcPr>
            <w:tcW w:w="955" w:type="dxa"/>
            <w:vAlign w:val="center"/>
          </w:tcPr>
          <w:p>
            <w:pPr>
              <w:pStyle w:val="24"/>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63" w:type="dxa"/>
            <w:vAlign w:val="center"/>
          </w:tcPr>
          <w:p>
            <w:pPr>
              <w:pStyle w:val="24"/>
            </w:pPr>
            <w:r>
              <w:t>达标情况</w:t>
            </w:r>
          </w:p>
        </w:tc>
        <w:tc>
          <w:tcPr>
            <w:tcW w:w="1200" w:type="dxa"/>
            <w:vAlign w:val="center"/>
          </w:tcPr>
          <w:p>
            <w:pPr>
              <w:pStyle w:val="24"/>
            </w:pPr>
            <w:r>
              <w:t>达标</w:t>
            </w:r>
          </w:p>
        </w:tc>
        <w:tc>
          <w:tcPr>
            <w:tcW w:w="2146" w:type="dxa"/>
            <w:gridSpan w:val="2"/>
            <w:vAlign w:val="center"/>
          </w:tcPr>
          <w:p>
            <w:pPr>
              <w:pStyle w:val="24"/>
            </w:pPr>
            <w:r>
              <w:t>达标</w:t>
            </w:r>
          </w:p>
        </w:tc>
        <w:tc>
          <w:tcPr>
            <w:tcW w:w="1214" w:type="dxa"/>
            <w:vAlign w:val="center"/>
          </w:tcPr>
          <w:p>
            <w:pPr>
              <w:pStyle w:val="24"/>
            </w:pPr>
            <w:r>
              <w:t>达标</w:t>
            </w:r>
          </w:p>
        </w:tc>
        <w:tc>
          <w:tcPr>
            <w:tcW w:w="1898" w:type="dxa"/>
            <w:gridSpan w:val="2"/>
            <w:vAlign w:val="center"/>
          </w:tcPr>
          <w:p>
            <w:pPr>
              <w:pStyle w:val="24"/>
            </w:pPr>
            <w:r>
              <w:t>达标</w:t>
            </w:r>
          </w:p>
        </w:tc>
      </w:tr>
    </w:tbl>
    <w:p>
      <w:pPr>
        <w:pStyle w:val="25"/>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eastAsia="宋体"/>
          <w:lang w:val="en-US" w:eastAsia="zh-Hans"/>
        </w:rPr>
      </w:pPr>
      <w:r>
        <w:rPr>
          <w:rFonts w:eastAsia="宋体"/>
        </w:rPr>
        <w:t>9.2.2.</w:t>
      </w:r>
      <w:r>
        <w:rPr>
          <w:rFonts w:hint="eastAsia"/>
          <w:lang w:val="en-US" w:eastAsia="zh-CN"/>
        </w:rPr>
        <w:t>4</w:t>
      </w:r>
      <w:r>
        <w:rPr>
          <w:rFonts w:eastAsia="宋体"/>
        </w:rPr>
        <w:t xml:space="preserve"> </w:t>
      </w:r>
      <w:r>
        <w:rPr>
          <w:rFonts w:hint="eastAsia" w:eastAsia="宋体"/>
          <w:lang w:val="en-US" w:eastAsia="zh-Hans"/>
        </w:rPr>
        <w:t>固体废物调查结果</w:t>
      </w:r>
    </w:p>
    <w:p>
      <w:pPr>
        <w:pStyle w:val="19"/>
        <w:ind w:firstLine="480"/>
        <w:rPr>
          <w:rFonts w:hint="default" w:eastAsia="宋体"/>
          <w:lang w:eastAsia="zh-Hans"/>
        </w:rPr>
      </w:pPr>
      <w:r>
        <w:rPr>
          <w:rFonts w:hint="eastAsia"/>
          <w:lang w:val="en-US" w:eastAsia="zh-Hans"/>
        </w:rPr>
        <w:t>根据福建港丰能源有限公司生产运行记录</w:t>
      </w:r>
      <w:r>
        <w:rPr>
          <w:rFonts w:hint="default"/>
          <w:lang w:eastAsia="zh-Hans"/>
        </w:rPr>
        <w:t>，</w:t>
      </w:r>
      <w:r>
        <w:rPr>
          <w:rFonts w:hint="eastAsia"/>
          <w:lang w:val="en-US" w:eastAsia="zh-Hans"/>
        </w:rPr>
        <w:t>项目试生产至验收监测期间共产生危险废物</w:t>
      </w:r>
      <w:r>
        <w:rPr>
          <w:rFonts w:hint="eastAsia"/>
          <w:lang w:val="en-US" w:eastAsia="zh-CN"/>
        </w:rPr>
        <w:t>2.02</w:t>
      </w:r>
      <w:r>
        <w:rPr>
          <w:rFonts w:hint="eastAsia"/>
          <w:lang w:val="en-US" w:eastAsia="zh-Hans"/>
        </w:rPr>
        <w:t>吨</w:t>
      </w:r>
      <w:r>
        <w:rPr>
          <w:lang w:eastAsia="zh-Hans"/>
        </w:rPr>
        <w:t>。</w:t>
      </w:r>
      <w:r>
        <w:rPr>
          <w:rFonts w:hint="eastAsia"/>
          <w:lang w:val="en-US" w:eastAsia="zh-Hans"/>
        </w:rPr>
        <w:t>上述危险废物目前已委托福建兴业东江环保科技有限公司按要求进行清运处置</w:t>
      </w:r>
      <w:r>
        <w:rPr>
          <w:rFonts w:hint="default"/>
          <w:lang w:eastAsia="zh-Hans"/>
        </w:rPr>
        <w:t>。</w:t>
      </w:r>
    </w:p>
    <w:p>
      <w:pPr>
        <w:pStyle w:val="25"/>
        <w:rPr>
          <w:rFonts w:eastAsia="宋体"/>
        </w:rPr>
      </w:pPr>
      <w:r>
        <w:rPr>
          <w:rFonts w:eastAsia="宋体"/>
        </w:rPr>
        <w:t>9.2.2.</w:t>
      </w:r>
      <w:r>
        <w:rPr>
          <w:rFonts w:hint="eastAsia"/>
          <w:lang w:val="en-US" w:eastAsia="zh-CN"/>
        </w:rPr>
        <w:t>5</w:t>
      </w:r>
      <w:r>
        <w:rPr>
          <w:rFonts w:eastAsia="宋体"/>
        </w:rPr>
        <w:t xml:space="preserve"> 污染物排放总量核算</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根据环评及批复，本项目的总量控制项目为：</w:t>
      </w:r>
      <w:r>
        <w:rPr>
          <w:color w:val="000000" w:themeColor="text1"/>
          <w:lang w:val="en-US"/>
          <w14:textFill>
            <w14:solidFill>
              <w14:schemeClr w14:val="tx1"/>
            </w14:solidFill>
          </w14:textFill>
        </w:rPr>
        <w:t>废水排放量</w:t>
      </w:r>
      <w:r>
        <w:rPr>
          <w:color w:val="000000" w:themeColor="text1"/>
          <w14:textFill>
            <w14:solidFill>
              <w14:schemeClr w14:val="tx1"/>
            </w14:solidFill>
          </w14:textFill>
        </w:rPr>
        <w:t>、</w:t>
      </w:r>
      <w:r>
        <w:rPr>
          <w:color w:val="000000" w:themeColor="text1"/>
          <w:lang w:val="en-US"/>
          <w14:textFill>
            <w14:solidFill>
              <w14:schemeClr w14:val="tx1"/>
            </w14:solidFill>
          </w14:textFill>
        </w:rPr>
        <w:t>废水</w:t>
      </w:r>
      <w:r>
        <w:rPr>
          <w:color w:val="000000" w:themeColor="text1"/>
          <w14:textFill>
            <w14:solidFill>
              <w14:schemeClr w14:val="tx1"/>
            </w14:solidFill>
          </w14:textFill>
        </w:rPr>
        <w:t>COD、</w:t>
      </w:r>
      <w:r>
        <w:rPr>
          <w:color w:val="000000" w:themeColor="text1"/>
          <w:lang w:val="en-US"/>
          <w14:textFill>
            <w14:solidFill>
              <w14:schemeClr w14:val="tx1"/>
            </w14:solidFill>
          </w14:textFill>
        </w:rPr>
        <w:t>废水</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废气</w:t>
      </w:r>
      <w:r>
        <w:rPr>
          <w:color w:val="000000" w:themeColor="text1"/>
          <w14:textFill>
            <w14:solidFill>
              <w14:schemeClr w14:val="tx1"/>
            </w14:solidFill>
          </w14:textFill>
        </w:rPr>
        <w:t>VOCs。</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（1）废水</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根据表9.2</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6</w:t>
      </w:r>
      <w:r>
        <w:rPr>
          <w:color w:val="000000" w:themeColor="text1"/>
          <w14:textFill>
            <w14:solidFill>
              <w14:schemeClr w14:val="tx1"/>
            </w14:solidFill>
          </w14:textFill>
        </w:rPr>
        <w:t>可知，废水COD平均</w:t>
      </w:r>
      <w:r>
        <w:rPr>
          <w:color w:val="000000" w:themeColor="text1"/>
          <w:lang w:val="en-US"/>
          <w14:textFill>
            <w14:solidFill>
              <w14:schemeClr w14:val="tx1"/>
            </w14:solidFill>
          </w14:textFill>
        </w:rPr>
        <w:t>排放</w:t>
      </w:r>
      <w:r>
        <w:rPr>
          <w:color w:val="000000" w:themeColor="text1"/>
          <w14:textFill>
            <w14:solidFill>
              <w14:schemeClr w14:val="tx1"/>
            </w14:solidFill>
          </w14:textFill>
        </w:rPr>
        <w:t>浓度为</w:t>
      </w:r>
      <w:r>
        <w:rPr>
          <w:rFonts w:hint="eastAsia"/>
          <w:color w:val="000000" w:themeColor="text1"/>
          <w:lang w:val="en-US" w:eastAsia="zh-CN"/>
          <w14:textFill>
            <w14:solidFill>
              <w14:schemeClr w14:val="tx1"/>
            </w14:solidFill>
          </w14:textFill>
        </w:rPr>
        <w:t>25.5</w:t>
      </w:r>
      <w:r>
        <w:rPr>
          <w:color w:val="000000" w:themeColor="text1"/>
          <w14:textFill>
            <w14:solidFill>
              <w14:schemeClr w14:val="tx1"/>
            </w14:solidFill>
          </w14:textFill>
        </w:rPr>
        <w:t>mg/L、NH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-N平均</w:t>
      </w:r>
      <w:r>
        <w:rPr>
          <w:color w:val="000000" w:themeColor="text1"/>
          <w:lang w:val="en-US"/>
          <w14:textFill>
            <w14:solidFill>
              <w14:schemeClr w14:val="tx1"/>
            </w14:solidFill>
          </w14:textFill>
        </w:rPr>
        <w:t>排放</w:t>
      </w:r>
      <w:r>
        <w:rPr>
          <w:color w:val="000000" w:themeColor="text1"/>
          <w14:textFill>
            <w14:solidFill>
              <w14:schemeClr w14:val="tx1"/>
            </w14:solidFill>
          </w14:textFill>
        </w:rPr>
        <w:t>浓度为</w:t>
      </w:r>
      <w:r>
        <w:rPr>
          <w:rFonts w:hint="eastAsia"/>
          <w:color w:val="000000" w:themeColor="text1"/>
          <w:lang w:val="en-US" w:eastAsia="zh-CN"/>
          <w14:textFill>
            <w14:solidFill>
              <w14:schemeClr w14:val="tx1"/>
            </w14:solidFill>
          </w14:textFill>
        </w:rPr>
        <w:t>0.214</w:t>
      </w:r>
      <w:r>
        <w:rPr>
          <w:color w:val="000000" w:themeColor="text1"/>
          <w14:textFill>
            <w14:solidFill>
              <w14:schemeClr w14:val="tx1"/>
            </w14:solidFill>
          </w14:textFill>
        </w:rPr>
        <w:t>mg/L，</w:t>
      </w:r>
      <w:r>
        <w:rPr>
          <w:rFonts w:hint="eastAsia"/>
          <w:color w:val="000000" w:themeColor="text1"/>
          <w:lang w:val="en-US" w:eastAsia="zh-Hans"/>
          <w14:textFill>
            <w14:solidFill>
              <w14:schemeClr w14:val="tx1"/>
            </w14:solidFill>
          </w14:textFill>
        </w:rPr>
        <w:t>全厂污水总量为</w:t>
      </w:r>
      <w:r>
        <w:rPr>
          <w:rFonts w:hint="eastAsia"/>
          <w:color w:val="000000" w:themeColor="text1"/>
          <w:lang w:val="en-US" w:eastAsia="zh-CN"/>
          <w14:textFill>
            <w14:solidFill>
              <w14:schemeClr w14:val="tx1"/>
            </w14:solidFill>
          </w14:textFill>
        </w:rPr>
        <w:t>52482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/a。因此，根据核算，COD排放</w:t>
      </w:r>
      <w:r>
        <w:rPr>
          <w:rFonts w:hint="eastAsia"/>
          <w:color w:val="000000" w:themeColor="text1"/>
          <w:lang w:val="en-US" w:eastAsia="zh-Hans"/>
          <w14:textFill>
            <w14:solidFill>
              <w14:schemeClr w14:val="tx1"/>
            </w14:solidFill>
          </w14:textFill>
        </w:rPr>
        <w:t>总</w:t>
      </w:r>
      <w:r>
        <w:rPr>
          <w:color w:val="000000" w:themeColor="text1"/>
          <w14:textFill>
            <w14:solidFill>
              <w14:schemeClr w14:val="tx1"/>
            </w14:solidFill>
          </w14:textFill>
        </w:rPr>
        <w:t>量为</w:t>
      </w:r>
      <w:r>
        <w:rPr>
          <w:rFonts w:hint="eastAsia"/>
          <w:color w:val="000000" w:themeColor="text1"/>
          <w:lang w:val="en-US" w:eastAsia="zh-CN"/>
          <w14:textFill>
            <w14:solidFill>
              <w14:schemeClr w14:val="tx1"/>
            </w14:solidFill>
          </w14:textFill>
        </w:rPr>
        <w:t>1.338</w:t>
      </w:r>
      <w:r>
        <w:rPr>
          <w:color w:val="000000" w:themeColor="text1"/>
          <w14:textFill>
            <w14:solidFill>
              <w14:schemeClr w14:val="tx1"/>
            </w14:solidFill>
          </w14:textFill>
        </w:rPr>
        <w:t>t/a、NH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-N排放</w:t>
      </w:r>
      <w:r>
        <w:rPr>
          <w:rFonts w:hint="eastAsia"/>
          <w:color w:val="000000" w:themeColor="text1"/>
          <w:lang w:val="en-US" w:eastAsia="zh-Hans"/>
          <w14:textFill>
            <w14:solidFill>
              <w14:schemeClr w14:val="tx1"/>
            </w14:solidFill>
          </w14:textFill>
        </w:rPr>
        <w:t>总</w:t>
      </w:r>
      <w:r>
        <w:rPr>
          <w:color w:val="000000" w:themeColor="text1"/>
          <w14:textFill>
            <w14:solidFill>
              <w14:schemeClr w14:val="tx1"/>
            </w14:solidFill>
          </w14:textFill>
        </w:rPr>
        <w:t>量为</w:t>
      </w:r>
      <w:r>
        <w:rPr>
          <w:rFonts w:hint="eastAsia"/>
          <w:color w:val="000000" w:themeColor="text1"/>
          <w:lang w:val="en-US" w:eastAsia="zh-CN"/>
          <w14:textFill>
            <w14:solidFill>
              <w14:schemeClr w14:val="tx1"/>
            </w14:solidFill>
          </w14:textFill>
        </w:rPr>
        <w:t>0.011</w:t>
      </w:r>
      <w:r>
        <w:rPr>
          <w:color w:val="000000" w:themeColor="text1"/>
          <w14:textFill>
            <w14:solidFill>
              <w14:schemeClr w14:val="tx1"/>
            </w14:solidFill>
          </w14:textFill>
        </w:rPr>
        <w:t>t/a。各污染物指标均符合环评</w:t>
      </w:r>
      <w:r>
        <w:rPr>
          <w:color w:val="000000" w:themeColor="text1"/>
          <w:lang w:val="en-US"/>
          <w14:textFill>
            <w14:solidFill>
              <w14:schemeClr w14:val="tx1"/>
            </w14:solidFill>
          </w14:textFill>
        </w:rPr>
        <w:t>及批复</w:t>
      </w:r>
      <w:r>
        <w:rPr>
          <w:color w:val="000000" w:themeColor="text1"/>
          <w14:textFill>
            <w14:solidFill>
              <w14:schemeClr w14:val="tx1"/>
            </w14:solidFill>
          </w14:textFill>
        </w:rPr>
        <w:t>中提出的</w:t>
      </w:r>
      <w:r>
        <w:rPr>
          <w:color w:val="000000" w:themeColor="text1"/>
          <w:lang w:val="en-US"/>
          <w14:textFill>
            <w14:solidFill>
              <w14:schemeClr w14:val="tx1"/>
            </w14:solidFill>
          </w14:textFill>
        </w:rPr>
        <w:t>水</w:t>
      </w:r>
      <w:r>
        <w:rPr>
          <w:color w:val="000000" w:themeColor="text1"/>
          <w14:textFill>
            <w14:solidFill>
              <w14:schemeClr w14:val="tx1"/>
            </w14:solidFill>
          </w14:textFill>
        </w:rPr>
        <w:t>污染物排放量控制指标要求。</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（2）废气</w:t>
      </w:r>
    </w:p>
    <w:p>
      <w:pPr>
        <w:pStyle w:val="19"/>
        <w:ind w:firstLine="480"/>
        <w:rPr>
          <w:color w:val="000000" w:themeColor="text1"/>
          <w:lang w:val="en-US"/>
          <w14:textFill>
            <w14:solidFill>
              <w14:schemeClr w14:val="tx1"/>
            </w14:solidFill>
          </w14:textFill>
        </w:rPr>
      </w:pPr>
      <w:r>
        <w:rPr>
          <w:color w:val="000000" w:themeColor="text1"/>
          <w:lang w:val="en-US"/>
          <w14:textFill>
            <w14:solidFill>
              <w14:schemeClr w14:val="tx1"/>
            </w14:solidFill>
          </w14:textFill>
        </w:rPr>
        <w:t>经核算</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按</w:t>
      </w:r>
      <w:r>
        <w:rPr>
          <w:rFonts w:hint="eastAsia"/>
          <w:color w:val="000000" w:themeColor="text1"/>
          <w:lang w:val="en-US" w:eastAsia="zh-CN"/>
          <w14:textFill>
            <w14:solidFill>
              <w14:schemeClr w14:val="tx1"/>
            </w14:solidFill>
          </w14:textFill>
        </w:rPr>
        <w:t>340d工作时间，</w:t>
      </w:r>
      <w:r>
        <w:rPr>
          <w:rFonts w:hint="eastAsia"/>
          <w:color w:val="000000" w:themeColor="text1"/>
          <w:lang w:val="en-US"/>
          <w14:textFill>
            <w14:solidFill>
              <w14:schemeClr w14:val="tx1"/>
            </w14:solidFill>
          </w14:textFill>
        </w:rPr>
        <w:t>全厂</w:t>
      </w:r>
      <w:r>
        <w:rPr>
          <w:color w:val="000000" w:themeColor="text1"/>
          <w14:textFill>
            <w14:solidFill>
              <w14:schemeClr w14:val="tx1"/>
            </w14:solidFill>
          </w14:textFill>
        </w:rPr>
        <w:t>废气</w:t>
      </w:r>
      <w:r>
        <w:rPr>
          <w:color w:val="000000" w:themeColor="text1"/>
          <w:lang w:val="en-US"/>
          <w14:textFill>
            <w14:solidFill>
              <w14:schemeClr w14:val="tx1"/>
            </w14:solidFill>
          </w14:textFill>
        </w:rPr>
        <w:t>有组织</w:t>
      </w:r>
      <w:r>
        <w:rPr>
          <w:rFonts w:hint="eastAsia"/>
          <w:color w:val="000000" w:themeColor="text1"/>
          <w:lang w:val="en-US"/>
          <w14:textFill>
            <w14:solidFill>
              <w14:schemeClr w14:val="tx1"/>
            </w14:solidFill>
          </w14:textFill>
        </w:rPr>
        <w:t>（包括油气回收装置1、水喷淋装置、废气净化装置2、污水站和危废间废气装置）</w:t>
      </w:r>
      <w:r>
        <w:rPr>
          <w:color w:val="000000" w:themeColor="text1"/>
          <w:lang w:val="en-US"/>
          <w14:textFill>
            <w14:solidFill>
              <w14:schemeClr w14:val="tx1"/>
            </w14:solidFill>
          </w14:textFill>
        </w:rPr>
        <w:t>NMHC</w:t>
      </w:r>
      <w:r>
        <w:rPr>
          <w:color w:val="000000" w:themeColor="text1"/>
          <w14:textFill>
            <w14:solidFill>
              <w14:schemeClr w14:val="tx1"/>
            </w14:solidFill>
          </w14:textFill>
        </w:rPr>
        <w:t>排放量</w:t>
      </w:r>
      <w:r>
        <w:rPr>
          <w:color w:val="000000" w:themeColor="text1"/>
          <w:lang w:val="en-US"/>
          <w14:textFill>
            <w14:solidFill>
              <w14:schemeClr w14:val="tx1"/>
            </w14:solidFill>
          </w14:textFill>
        </w:rPr>
        <w:t>为</w:t>
      </w:r>
      <w:r>
        <w:rPr>
          <w:rFonts w:hint="eastAsia"/>
          <w:color w:val="000000" w:themeColor="text1"/>
          <w:lang w:val="en-US" w:eastAsia="zh-CN"/>
          <w14:textFill>
            <w14:solidFill>
              <w14:schemeClr w14:val="tx1"/>
            </w14:solidFill>
          </w14:textFill>
        </w:rPr>
        <w:t>15.814</w:t>
      </w:r>
      <w:r>
        <w:rPr>
          <w:color w:val="000000" w:themeColor="text1"/>
          <w:lang w:val="en-US"/>
          <w14:textFill>
            <w14:solidFill>
              <w14:schemeClr w14:val="tx1"/>
            </w14:solidFill>
          </w14:textFill>
        </w:rPr>
        <w:t>t/a</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码头无组织</w:t>
      </w:r>
      <w:r>
        <w:rPr>
          <w:color w:val="000000" w:themeColor="text1"/>
          <w:lang w:val="en-US"/>
          <w14:textFill>
            <w14:solidFill>
              <w14:schemeClr w14:val="tx1"/>
            </w14:solidFill>
          </w14:textFill>
        </w:rPr>
        <w:t>NMHC排放量为</w:t>
      </w:r>
      <w:r>
        <w:rPr>
          <w:rFonts w:hint="eastAsia"/>
          <w:color w:val="000000" w:themeColor="text1"/>
          <w:lang w:val="en-US" w:eastAsia="zh-CN"/>
          <w14:textFill>
            <w14:solidFill>
              <w14:schemeClr w14:val="tx1"/>
            </w14:solidFill>
          </w14:textFill>
        </w:rPr>
        <w:t>0.09</w:t>
      </w:r>
      <w:r>
        <w:rPr>
          <w:color w:val="000000" w:themeColor="text1"/>
          <w:lang w:val="en-US"/>
          <w14:textFill>
            <w14:solidFill>
              <w14:schemeClr w14:val="tx1"/>
            </w14:solidFill>
          </w14:textFill>
        </w:rPr>
        <w:t>t/a</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库区无组织</w:t>
      </w:r>
      <w:r>
        <w:rPr>
          <w:rFonts w:hint="eastAsia"/>
          <w:color w:val="000000" w:themeColor="text1"/>
          <w:lang w:val="en-US" w:eastAsia="zh-CN"/>
          <w14:textFill>
            <w14:solidFill>
              <w14:schemeClr w14:val="tx1"/>
            </w14:solidFill>
          </w14:textFill>
        </w:rPr>
        <w:t>NMHC排放量</w:t>
      </w:r>
      <w:r>
        <w:rPr>
          <w:color w:val="000000" w:themeColor="text1"/>
          <w:lang w:val="en-US"/>
          <w14:textFill>
            <w14:solidFill>
              <w14:schemeClr w14:val="tx1"/>
            </w14:solidFill>
          </w14:textFill>
        </w:rPr>
        <w:t>为</w:t>
      </w:r>
      <w:r>
        <w:rPr>
          <w:rFonts w:hint="eastAsia"/>
          <w:color w:val="000000" w:themeColor="text1"/>
          <w:lang w:val="en-US" w:eastAsia="zh-CN"/>
          <w14:textFill>
            <w14:solidFill>
              <w14:schemeClr w14:val="tx1"/>
            </w14:solidFill>
          </w14:textFill>
        </w:rPr>
        <w:t>3.931</w:t>
      </w:r>
      <w:r>
        <w:rPr>
          <w:color w:val="000000" w:themeColor="text1"/>
          <w:lang w:val="en-US"/>
          <w14:textFill>
            <w14:solidFill>
              <w14:schemeClr w14:val="tx1"/>
            </w14:solidFill>
          </w14:textFill>
        </w:rPr>
        <w:t>t/a</w:t>
      </w:r>
      <w:r>
        <w:rPr>
          <w:color w:val="000000" w:themeColor="text1"/>
          <w14:textFill>
            <w14:solidFill>
              <w14:schemeClr w14:val="tx1"/>
            </w14:solidFill>
          </w14:textFill>
        </w:rPr>
        <w:t>，</w:t>
      </w:r>
      <w:r>
        <w:rPr>
          <w:color w:val="000000" w:themeColor="text1"/>
          <w:lang w:val="en-US"/>
          <w14:textFill>
            <w14:solidFill>
              <w14:schemeClr w14:val="tx1"/>
            </w14:solidFill>
          </w14:textFill>
        </w:rPr>
        <w:t>合计NMHC排放总量</w:t>
      </w:r>
      <w:r>
        <w:rPr>
          <w:rFonts w:hint="eastAsia"/>
          <w:color w:val="000000" w:themeColor="text1"/>
          <w:lang w:val="en-US" w:eastAsia="zh-CN"/>
          <w14:textFill>
            <w14:solidFill>
              <w14:schemeClr w14:val="tx1"/>
            </w14:solidFill>
          </w14:textFill>
        </w:rPr>
        <w:t>19.835</w:t>
      </w:r>
      <w:r>
        <w:rPr>
          <w:color w:val="000000" w:themeColor="text1"/>
          <w:lang w:val="en-US"/>
          <w14:textFill>
            <w14:solidFill>
              <w14:schemeClr w14:val="tx1"/>
            </w14:solidFill>
          </w14:textFill>
        </w:rPr>
        <w:t>t/a</w:t>
      </w:r>
      <w:r>
        <w:rPr>
          <w:color w:val="000000" w:themeColor="text1"/>
          <w14:textFill>
            <w14:solidFill>
              <w14:schemeClr w14:val="tx1"/>
            </w14:solidFill>
          </w14:textFill>
        </w:rPr>
        <w:t>，符合环评</w:t>
      </w:r>
      <w:r>
        <w:rPr>
          <w:color w:val="000000" w:themeColor="text1"/>
          <w:lang w:val="en-US"/>
          <w14:textFill>
            <w14:solidFill>
              <w14:schemeClr w14:val="tx1"/>
            </w14:solidFill>
          </w14:textFill>
        </w:rPr>
        <w:t>及批复</w:t>
      </w:r>
      <w:r>
        <w:rPr>
          <w:color w:val="000000" w:themeColor="text1"/>
          <w14:textFill>
            <w14:solidFill>
              <w14:schemeClr w14:val="tx1"/>
            </w14:solidFill>
          </w14:textFill>
        </w:rPr>
        <w:t>中提出的</w:t>
      </w:r>
      <w:r>
        <w:rPr>
          <w:color w:val="000000" w:themeColor="text1"/>
          <w:lang w:val="en-US"/>
          <w14:textFill>
            <w14:solidFill>
              <w14:schemeClr w14:val="tx1"/>
            </w14:solidFill>
          </w14:textFill>
        </w:rPr>
        <w:t>VOCs</w:t>
      </w:r>
      <w:r>
        <w:rPr>
          <w:color w:val="000000" w:themeColor="text1"/>
          <w14:textFill>
            <w14:solidFill>
              <w14:schemeClr w14:val="tx1"/>
            </w14:solidFill>
          </w14:textFill>
        </w:rPr>
        <w:t>排放量控制指标要求，</w:t>
      </w:r>
      <w:r>
        <w:rPr>
          <w:color w:val="000000" w:themeColor="text1"/>
          <w:lang w:val="en-US"/>
          <w14:textFill>
            <w14:solidFill>
              <w14:schemeClr w14:val="tx1"/>
            </w14:solidFill>
          </w14:textFill>
        </w:rPr>
        <w:t>亦符合排污许可证提出的VOCs控制指标要求</w:t>
      </w:r>
      <w:r>
        <w:rPr>
          <w:color w:val="000000" w:themeColor="text1"/>
          <w14:textFill>
            <w14:solidFill>
              <w14:schemeClr w14:val="tx1"/>
            </w14:solidFill>
          </w14:textFill>
        </w:rPr>
        <w:t>。</w:t>
      </w:r>
    </w:p>
    <w:p>
      <w:pPr>
        <w:pStyle w:val="23"/>
        <w:rPr>
          <w:color w:val="000000" w:themeColor="text1"/>
          <w14:textFill>
            <w14:solidFill>
              <w14:schemeClr w14:val="tx1"/>
            </w14:solidFill>
          </w14:textFill>
        </w:rPr>
      </w:pPr>
      <w:r>
        <w:rPr>
          <w:color w:val="000000" w:themeColor="text1"/>
          <w14:textFill>
            <w14:solidFill>
              <w14:schemeClr w14:val="tx1"/>
            </w14:solidFill>
          </w14:textFill>
        </w:rPr>
        <w:t>表9.2.1</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 xml:space="preserve"> 污染物总量控制指标对照表</w:t>
      </w:r>
    </w:p>
    <w:tbl>
      <w:tblPr>
        <w:tblStyle w:val="14"/>
        <w:tblW w:w="8334" w:type="dxa"/>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
      <w:tblGrid>
        <w:gridCol w:w="1814"/>
        <w:gridCol w:w="1794"/>
        <w:gridCol w:w="1807"/>
        <w:gridCol w:w="1459"/>
        <w:gridCol w:w="146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416" w:hRule="atLeast"/>
        </w:trPr>
        <w:tc>
          <w:tcPr>
            <w:tcW w:w="1814" w:type="dxa"/>
            <w:tcBorders>
              <w:top w:val="single" w:color="000000" w:sz="4" w:space="0"/>
              <w:bottom w:val="single" w:color="000000" w:sz="4" w:space="0"/>
              <w:right w:val="single" w:color="000000" w:sz="4" w:space="0"/>
            </w:tcBorders>
            <w:shd w:val="clear" w:color="auto" w:fill="auto"/>
            <w:vAlign w:val="center"/>
          </w:tcPr>
          <w:p>
            <w:pPr>
              <w:pStyle w:val="24"/>
            </w:pPr>
            <w:r>
              <w:t>总量控制项目</w:t>
            </w:r>
          </w:p>
        </w:tc>
        <w:tc>
          <w:tcPr>
            <w:tcW w:w="17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rPr>
                <w:rFonts w:hint="eastAsia"/>
                <w:lang w:eastAsia="zh-Hans"/>
              </w:rPr>
              <w:t>库区项目</w:t>
            </w:r>
            <w:r>
              <w:t>排放总量</w:t>
            </w:r>
          </w:p>
          <w:p>
            <w:pPr>
              <w:pStyle w:val="24"/>
            </w:pPr>
            <w:r>
              <w:t>（t/a）</w:t>
            </w:r>
          </w:p>
        </w:tc>
        <w:tc>
          <w:tcPr>
            <w:tcW w:w="180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环评批复总量</w:t>
            </w:r>
          </w:p>
          <w:p>
            <w:pPr>
              <w:pStyle w:val="24"/>
            </w:pPr>
            <w:r>
              <w:t>（t/a）</w:t>
            </w:r>
          </w:p>
        </w:tc>
        <w:tc>
          <w:tcPr>
            <w:tcW w:w="145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环评预测值</w:t>
            </w:r>
          </w:p>
          <w:p>
            <w:pPr>
              <w:pStyle w:val="24"/>
            </w:pPr>
            <w:r>
              <w:t>（t/a）</w:t>
            </w:r>
          </w:p>
        </w:tc>
        <w:tc>
          <w:tcPr>
            <w:tcW w:w="1460" w:type="dxa"/>
            <w:tcBorders>
              <w:top w:val="single" w:color="000000" w:sz="4" w:space="0"/>
              <w:left w:val="single" w:color="000000" w:sz="4" w:space="0"/>
              <w:bottom w:val="single" w:color="000000" w:sz="4" w:space="0"/>
            </w:tcBorders>
            <w:shd w:val="clear" w:color="auto" w:fill="auto"/>
            <w:vAlign w:val="center"/>
          </w:tcPr>
          <w:p>
            <w:pPr>
              <w:pStyle w:val="24"/>
            </w:pPr>
            <w:r>
              <w:t>结果评价</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294" w:hRule="atLeast"/>
        </w:trPr>
        <w:tc>
          <w:tcPr>
            <w:tcW w:w="1814" w:type="dxa"/>
            <w:tcBorders>
              <w:top w:val="single" w:color="000000" w:sz="4" w:space="0"/>
              <w:bottom w:val="single" w:color="000000" w:sz="4" w:space="0"/>
              <w:right w:val="single" w:color="000000" w:sz="4" w:space="0"/>
            </w:tcBorders>
            <w:shd w:val="clear" w:color="auto" w:fill="auto"/>
            <w:vAlign w:val="center"/>
          </w:tcPr>
          <w:p>
            <w:pPr>
              <w:pStyle w:val="24"/>
            </w:pPr>
            <w:r>
              <w:t>废水排放总量</w:t>
            </w:r>
          </w:p>
        </w:tc>
        <w:tc>
          <w:tcPr>
            <w:tcW w:w="17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52482</w:t>
            </w:r>
          </w:p>
        </w:tc>
        <w:tc>
          <w:tcPr>
            <w:tcW w:w="180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5</w:t>
            </w:r>
            <w:r>
              <w:rPr>
                <w:rFonts w:hint="eastAsia"/>
                <w:lang w:val="en-US" w:eastAsia="zh-CN"/>
              </w:rPr>
              <w:t>8</w:t>
            </w:r>
            <w:r>
              <w:t>769</w:t>
            </w:r>
          </w:p>
        </w:tc>
        <w:tc>
          <w:tcPr>
            <w:tcW w:w="145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58088</w:t>
            </w:r>
          </w:p>
        </w:tc>
        <w:tc>
          <w:tcPr>
            <w:tcW w:w="1460" w:type="dxa"/>
            <w:tcBorders>
              <w:top w:val="single" w:color="000000" w:sz="4" w:space="0"/>
              <w:left w:val="single" w:color="000000" w:sz="4" w:space="0"/>
              <w:bottom w:val="single" w:color="000000" w:sz="4" w:space="0"/>
            </w:tcBorders>
            <w:shd w:val="clear" w:color="auto" w:fill="auto"/>
            <w:vAlign w:val="center"/>
          </w:tcPr>
          <w:p>
            <w:pPr>
              <w:pStyle w:val="24"/>
            </w:pPr>
            <w:r>
              <w:t>符合</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294" w:hRule="atLeast"/>
        </w:trPr>
        <w:tc>
          <w:tcPr>
            <w:tcW w:w="1814" w:type="dxa"/>
            <w:tcBorders>
              <w:top w:val="single" w:color="000000" w:sz="4" w:space="0"/>
              <w:bottom w:val="single" w:color="000000" w:sz="4" w:space="0"/>
              <w:right w:val="single" w:color="000000" w:sz="4" w:space="0"/>
            </w:tcBorders>
            <w:shd w:val="clear" w:color="auto" w:fill="auto"/>
            <w:vAlign w:val="center"/>
          </w:tcPr>
          <w:p>
            <w:pPr>
              <w:pStyle w:val="24"/>
            </w:pPr>
            <w:r>
              <w:t>COD</w:t>
            </w:r>
          </w:p>
        </w:tc>
        <w:tc>
          <w:tcPr>
            <w:tcW w:w="17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1.338</w:t>
            </w:r>
          </w:p>
        </w:tc>
        <w:tc>
          <w:tcPr>
            <w:tcW w:w="180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3.53</w:t>
            </w:r>
          </w:p>
        </w:tc>
        <w:tc>
          <w:tcPr>
            <w:tcW w:w="145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3.485</w:t>
            </w:r>
          </w:p>
        </w:tc>
        <w:tc>
          <w:tcPr>
            <w:tcW w:w="1460" w:type="dxa"/>
            <w:tcBorders>
              <w:top w:val="single" w:color="000000" w:sz="4" w:space="0"/>
              <w:left w:val="single" w:color="000000" w:sz="4" w:space="0"/>
              <w:bottom w:val="single" w:color="000000" w:sz="4" w:space="0"/>
            </w:tcBorders>
            <w:shd w:val="clear" w:color="auto" w:fill="auto"/>
            <w:vAlign w:val="center"/>
          </w:tcPr>
          <w:p>
            <w:pPr>
              <w:pStyle w:val="24"/>
            </w:pPr>
            <w:r>
              <w:t>符合</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294" w:hRule="atLeast"/>
        </w:trPr>
        <w:tc>
          <w:tcPr>
            <w:tcW w:w="1814" w:type="dxa"/>
            <w:tcBorders>
              <w:top w:val="single" w:color="000000" w:sz="4" w:space="0"/>
              <w:bottom w:val="single" w:color="000000" w:sz="4" w:space="0"/>
              <w:right w:val="single" w:color="000000" w:sz="4" w:space="0"/>
            </w:tcBorders>
            <w:shd w:val="clear" w:color="auto" w:fill="auto"/>
            <w:vAlign w:val="center"/>
          </w:tcPr>
          <w:p>
            <w:pPr>
              <w:pStyle w:val="24"/>
            </w:pPr>
            <w:r>
              <w:t>NH</w:t>
            </w:r>
            <w:r>
              <w:rPr>
                <w:vertAlign w:val="subscript"/>
              </w:rPr>
              <w:t>3</w:t>
            </w:r>
            <w:r>
              <w:t>-N</w:t>
            </w:r>
          </w:p>
        </w:tc>
        <w:tc>
          <w:tcPr>
            <w:tcW w:w="17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0.011</w:t>
            </w:r>
          </w:p>
        </w:tc>
        <w:tc>
          <w:tcPr>
            <w:tcW w:w="180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0.47</w:t>
            </w:r>
          </w:p>
        </w:tc>
        <w:tc>
          <w:tcPr>
            <w:tcW w:w="145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0.465</w:t>
            </w:r>
          </w:p>
        </w:tc>
        <w:tc>
          <w:tcPr>
            <w:tcW w:w="1460" w:type="dxa"/>
            <w:tcBorders>
              <w:top w:val="single" w:color="000000" w:sz="4" w:space="0"/>
              <w:left w:val="single" w:color="000000" w:sz="4" w:space="0"/>
              <w:bottom w:val="single" w:color="000000" w:sz="4" w:space="0"/>
            </w:tcBorders>
            <w:shd w:val="clear" w:color="auto" w:fill="auto"/>
            <w:vAlign w:val="center"/>
          </w:tcPr>
          <w:p>
            <w:pPr>
              <w:pStyle w:val="24"/>
            </w:pPr>
            <w:r>
              <w:t>符合</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15" w:type="dxa"/>
            <w:left w:w="15" w:type="dxa"/>
            <w:bottom w:w="15" w:type="dxa"/>
            <w:right w:w="15" w:type="dxa"/>
          </w:tblCellMar>
        </w:tblPrEx>
        <w:trPr>
          <w:trHeight w:val="300" w:hRule="atLeast"/>
        </w:trPr>
        <w:tc>
          <w:tcPr>
            <w:tcW w:w="1814" w:type="dxa"/>
            <w:tcBorders>
              <w:top w:val="single" w:color="000000" w:sz="4" w:space="0"/>
              <w:bottom w:val="single" w:color="000000" w:sz="4" w:space="0"/>
              <w:right w:val="single" w:color="000000" w:sz="4" w:space="0"/>
            </w:tcBorders>
            <w:shd w:val="clear" w:color="auto" w:fill="auto"/>
            <w:vAlign w:val="center"/>
          </w:tcPr>
          <w:p>
            <w:pPr>
              <w:pStyle w:val="24"/>
            </w:pPr>
            <w:r>
              <w:t>VOCs</w:t>
            </w:r>
          </w:p>
        </w:tc>
        <w:tc>
          <w:tcPr>
            <w:tcW w:w="179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19.835</w:t>
            </w:r>
          </w:p>
        </w:tc>
        <w:tc>
          <w:tcPr>
            <w:tcW w:w="180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rPr>
                <w:rFonts w:hint="default" w:eastAsia="宋体"/>
                <w:lang w:val="en-US" w:eastAsia="zh-CN"/>
              </w:rPr>
            </w:pPr>
            <w:r>
              <w:rPr>
                <w:rFonts w:hint="eastAsia"/>
                <w:lang w:val="en-US" w:eastAsia="zh-CN"/>
              </w:rPr>
              <w:t>61.4771</w:t>
            </w:r>
          </w:p>
        </w:tc>
        <w:tc>
          <w:tcPr>
            <w:tcW w:w="145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4"/>
            </w:pPr>
            <w:r>
              <w:t>60.618</w:t>
            </w:r>
          </w:p>
        </w:tc>
        <w:tc>
          <w:tcPr>
            <w:tcW w:w="1460" w:type="dxa"/>
            <w:tcBorders>
              <w:top w:val="single" w:color="000000" w:sz="4" w:space="0"/>
              <w:left w:val="single" w:color="000000" w:sz="4" w:space="0"/>
              <w:bottom w:val="single" w:color="000000" w:sz="4" w:space="0"/>
            </w:tcBorders>
            <w:shd w:val="clear" w:color="auto" w:fill="auto"/>
            <w:vAlign w:val="center"/>
          </w:tcPr>
          <w:p>
            <w:pPr>
              <w:pStyle w:val="24"/>
            </w:pPr>
            <w:r>
              <w:t>符合</w:t>
            </w:r>
          </w:p>
        </w:tc>
      </w:tr>
    </w:tbl>
    <w:p>
      <w:pPr>
        <w:pStyle w:val="17"/>
        <w:spacing w:before="156" w:beforeLines="50"/>
      </w:pPr>
      <w:bookmarkStart w:id="183" w:name="_Toc2197"/>
      <w:r>
        <w:t>9.3</w:t>
      </w:r>
      <w:r>
        <w:rPr>
          <w:rFonts w:hint="eastAsia"/>
          <w:lang w:val="en-US" w:eastAsia="zh-CN"/>
        </w:rPr>
        <w:t xml:space="preserve"> </w:t>
      </w:r>
      <w:r>
        <w:t>工程建设对环境的影响</w:t>
      </w:r>
      <w:bookmarkEnd w:id="183"/>
    </w:p>
    <w:p>
      <w:pPr>
        <w:pStyle w:val="19"/>
        <w:ind w:firstLine="480"/>
      </w:pPr>
      <w:r>
        <w:t>为了解和掌握本项目对周边环境质量的影响，本项目验收监测期间，监测单位对周边环境空气、地下水、土壤、</w:t>
      </w:r>
      <w:r>
        <w:rPr>
          <w:lang w:val="en-US"/>
        </w:rPr>
        <w:t>噪声</w:t>
      </w:r>
      <w:r>
        <w:t>环境进行监测。</w:t>
      </w:r>
    </w:p>
    <w:p>
      <w:pPr>
        <w:pStyle w:val="18"/>
      </w:pPr>
      <w:r>
        <w:t>9.3.1 环境空气</w:t>
      </w:r>
    </w:p>
    <w:p>
      <w:pPr>
        <w:pStyle w:val="19"/>
        <w:ind w:firstLine="480"/>
      </w:pPr>
      <w:r>
        <w:t>监测单位于</w:t>
      </w:r>
      <w:r>
        <w:rPr>
          <w:lang w:val="en-US"/>
        </w:rPr>
        <w:t>202</w:t>
      </w:r>
      <w:r>
        <w:rPr>
          <w:rFonts w:hint="eastAsia"/>
          <w:lang w:val="en-US" w:eastAsia="zh-CN"/>
        </w:rPr>
        <w:t>3</w:t>
      </w:r>
      <w:r>
        <w:t>年</w:t>
      </w:r>
      <w:r>
        <w:rPr>
          <w:rFonts w:hint="eastAsia"/>
          <w:lang w:val="en-US" w:eastAsia="zh-CN"/>
        </w:rPr>
        <w:t>3</w:t>
      </w:r>
      <w:r>
        <w:t>月</w:t>
      </w:r>
      <w:r>
        <w:rPr>
          <w:rFonts w:hint="eastAsia"/>
          <w:lang w:val="en-US" w:eastAsia="zh-CN"/>
        </w:rPr>
        <w:t>23</w:t>
      </w:r>
      <w:r>
        <w:t>日～</w:t>
      </w:r>
      <w:r>
        <w:rPr>
          <w:rFonts w:hint="eastAsia"/>
          <w:lang w:val="en-US" w:eastAsia="zh-CN"/>
        </w:rPr>
        <w:t>3</w:t>
      </w:r>
      <w:r>
        <w:rPr>
          <w:lang w:val="en-US"/>
        </w:rPr>
        <w:t>月</w:t>
      </w:r>
      <w:r>
        <w:rPr>
          <w:rFonts w:hint="eastAsia"/>
          <w:lang w:val="en-US" w:eastAsia="zh-CN"/>
        </w:rPr>
        <w:t>24</w:t>
      </w:r>
      <w:r>
        <w:t>日对项目</w:t>
      </w:r>
      <w:r>
        <w:rPr>
          <w:lang w:val="en-US"/>
        </w:rPr>
        <w:t>周边环境敏感点杜厝村</w:t>
      </w:r>
      <w:r>
        <w:t>环境空气现状进行监测，监测结果详见表9.3</w:t>
      </w:r>
      <w:r>
        <w:rPr>
          <w:lang w:val="en-US"/>
        </w:rPr>
        <w:t>.</w:t>
      </w:r>
      <w:r>
        <w:t>1。</w:t>
      </w:r>
    </w:p>
    <w:p>
      <w:pPr>
        <w:pStyle w:val="19"/>
        <w:ind w:firstLine="480"/>
      </w:pPr>
      <w:r>
        <w:t>监测结果表明，</w:t>
      </w:r>
      <w:r>
        <w:rPr>
          <w:lang w:val="en-US"/>
        </w:rPr>
        <w:t>杜厝村</w:t>
      </w:r>
      <w:r>
        <w:rPr>
          <w:rFonts w:hint="eastAsia"/>
          <w:lang w:val="en-US" w:eastAsia="zh-CN"/>
        </w:rPr>
        <w:t>苯</w:t>
      </w:r>
      <w:r>
        <w:t>小时浓度</w:t>
      </w:r>
      <w:r>
        <w:rPr>
          <w:rFonts w:hint="eastAsia"/>
        </w:rPr>
        <w:t>均为未检出</w:t>
      </w:r>
      <w:r>
        <w:t>，低于标准值0</w:t>
      </w:r>
      <w:r>
        <w:rPr>
          <w:lang w:val="en-US"/>
        </w:rPr>
        <w:t>.</w:t>
      </w:r>
      <w:r>
        <w:rPr>
          <w:rFonts w:hint="eastAsia"/>
          <w:lang w:val="en-US" w:eastAsia="zh-CN"/>
        </w:rPr>
        <w:t>11</w:t>
      </w:r>
      <w:r>
        <w:t>mg/m</w:t>
      </w:r>
      <w:r>
        <w:rPr>
          <w:vertAlign w:val="superscript"/>
        </w:rPr>
        <w:t>3</w:t>
      </w:r>
      <w:r>
        <w:t>；</w:t>
      </w:r>
      <w:r>
        <w:rPr>
          <w:rFonts w:hint="eastAsia"/>
          <w:lang w:val="en-US" w:eastAsia="zh-CN"/>
        </w:rPr>
        <w:t>杜厝村甲苯、二甲苯小时浓度均为未检出，低于标准值0.22mg/m</w:t>
      </w:r>
      <w:r>
        <w:rPr>
          <w:rFonts w:hint="eastAsia"/>
          <w:vertAlign w:val="superscript"/>
          <w:lang w:val="en-US" w:eastAsia="zh-CN"/>
        </w:rPr>
        <w:t>3</w:t>
      </w:r>
      <w:r>
        <w:rPr>
          <w:rFonts w:hint="eastAsia"/>
          <w:lang w:val="en-US" w:eastAsia="zh-CN"/>
        </w:rPr>
        <w:t>；</w:t>
      </w:r>
      <w:r>
        <w:rPr>
          <w:lang w:val="en-US"/>
        </w:rPr>
        <w:t>TVOC</w:t>
      </w:r>
      <w:r>
        <w:t>的</w:t>
      </w:r>
      <w:r>
        <w:rPr>
          <w:rFonts w:hint="eastAsia"/>
          <w:lang w:val="en-US" w:eastAsia="zh-CN"/>
        </w:rPr>
        <w:t>8</w:t>
      </w:r>
      <w:r>
        <w:t>小时浓度范围为</w:t>
      </w:r>
      <w:r>
        <w:rPr>
          <w:rFonts w:hint="eastAsia"/>
          <w:lang w:val="en-US"/>
        </w:rPr>
        <w:t>0.</w:t>
      </w:r>
      <w:r>
        <w:rPr>
          <w:rFonts w:hint="eastAsia"/>
          <w:lang w:val="en-US" w:eastAsia="zh-CN"/>
        </w:rPr>
        <w:t>119</w:t>
      </w:r>
      <w:r>
        <w:rPr>
          <w:rFonts w:hint="eastAsia"/>
          <w:lang w:val="en-US"/>
        </w:rPr>
        <w:t>~0.</w:t>
      </w:r>
      <w:r>
        <w:rPr>
          <w:rFonts w:hint="eastAsia"/>
          <w:lang w:val="en-US" w:eastAsia="zh-CN"/>
        </w:rPr>
        <w:t>138</w:t>
      </w:r>
      <w:r>
        <w:t>mg/m</w:t>
      </w:r>
      <w:r>
        <w:rPr>
          <w:vertAlign w:val="superscript"/>
        </w:rPr>
        <w:t>3</w:t>
      </w:r>
      <w:r>
        <w:t>，低于标准值0</w:t>
      </w:r>
      <w:r>
        <w:rPr>
          <w:lang w:val="en-US"/>
        </w:rPr>
        <w:t>.6</w:t>
      </w:r>
      <w:r>
        <w:t>mg/m</w:t>
      </w:r>
      <w:r>
        <w:rPr>
          <w:vertAlign w:val="superscript"/>
        </w:rPr>
        <w:t>3</w:t>
      </w:r>
      <w:r>
        <w:t>，</w:t>
      </w:r>
      <w:r>
        <w:rPr>
          <w:lang w:val="en-US"/>
        </w:rPr>
        <w:t>均符合</w:t>
      </w:r>
      <w:r>
        <w:t>《环境影响评价技术导则 大气环境》（HJ2.2-2018）中污染物质量浓度参考限值</w:t>
      </w:r>
      <w:r>
        <w:rPr>
          <w:lang w:val="en-US"/>
        </w:rPr>
        <w:t>。</w:t>
      </w:r>
    </w:p>
    <w:p>
      <w:pPr>
        <w:pStyle w:val="19"/>
        <w:ind w:firstLine="480"/>
        <w:rPr>
          <w:lang w:val="en-US"/>
        </w:rPr>
      </w:pPr>
      <w:r>
        <w:rPr>
          <w:lang w:val="en-US"/>
        </w:rPr>
        <w:t>杜厝村NMHC</w:t>
      </w:r>
      <w:r>
        <w:t>的小时浓度范围为</w:t>
      </w:r>
      <w:r>
        <w:rPr>
          <w:lang w:val="en-US"/>
        </w:rPr>
        <w:t>0.</w:t>
      </w:r>
      <w:r>
        <w:rPr>
          <w:rFonts w:hint="eastAsia"/>
          <w:lang w:val="en-US" w:eastAsia="zh-CN"/>
        </w:rPr>
        <w:t>27</w:t>
      </w:r>
      <w:r>
        <w:rPr>
          <w:lang w:val="en-US"/>
        </w:rPr>
        <w:t>~0.</w:t>
      </w:r>
      <w:r>
        <w:rPr>
          <w:rFonts w:hint="eastAsia"/>
          <w:lang w:val="en-US" w:eastAsia="zh-CN"/>
        </w:rPr>
        <w:t>48</w:t>
      </w:r>
      <w:r>
        <w:rPr>
          <w:lang w:val="en-US"/>
        </w:rPr>
        <w:t>mg/m</w:t>
      </w:r>
      <w:r>
        <w:rPr>
          <w:vertAlign w:val="superscript"/>
          <w:lang w:val="en-US"/>
        </w:rPr>
        <w:t>3</w:t>
      </w:r>
      <w:r>
        <w:rPr>
          <w:lang w:val="en-US"/>
        </w:rPr>
        <w:t>，低于标准值2mg/m</w:t>
      </w:r>
      <w:r>
        <w:rPr>
          <w:vertAlign w:val="superscript"/>
          <w:lang w:val="en-US"/>
        </w:rPr>
        <w:t>3</w:t>
      </w:r>
      <w:r>
        <w:rPr>
          <w:lang w:val="en-US"/>
        </w:rPr>
        <w:t>，符合《大气污染物综合排放标准详解》中的限值要求。</w:t>
      </w:r>
    </w:p>
    <w:p>
      <w:pPr>
        <w:pStyle w:val="19"/>
        <w:ind w:firstLine="480"/>
        <w:rPr>
          <w:lang w:val="en-US"/>
        </w:rPr>
      </w:pPr>
      <w:r>
        <w:rPr>
          <w:lang w:val="en-US"/>
        </w:rPr>
        <w:t>上述环境空气监测指标均符合相关标准要求，项目建设对周边环境影响较小。</w:t>
      </w:r>
    </w:p>
    <w:p>
      <w:pPr>
        <w:pStyle w:val="19"/>
        <w:ind w:firstLine="480"/>
        <w:sectPr>
          <w:pgSz w:w="11907" w:h="16839"/>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19"/>
        <w:ind w:firstLine="480"/>
      </w:pPr>
    </w:p>
    <w:p>
      <w:pPr>
        <w:pStyle w:val="23"/>
      </w:pPr>
      <w:r>
        <w:t xml:space="preserve">表9.3.1 </w:t>
      </w:r>
      <w:r>
        <w:rPr>
          <w:rFonts w:hint="eastAsia"/>
          <w:lang w:val="en-US" w:eastAsia="zh-CN"/>
        </w:rPr>
        <w:t>苯、</w:t>
      </w:r>
      <w:r>
        <w:t>甲苯、</w:t>
      </w:r>
      <w:r>
        <w:rPr>
          <w:rFonts w:hint="eastAsia"/>
          <w:lang w:val="en-US" w:eastAsia="zh-CN"/>
        </w:rPr>
        <w:t>二甲苯</w:t>
      </w:r>
      <w:r>
        <w:rPr>
          <w:rFonts w:hint="eastAsia"/>
        </w:rPr>
        <w:t>、</w:t>
      </w:r>
      <w:r>
        <w:t>NMHC、TVOC</w:t>
      </w:r>
      <w:r>
        <w:rPr>
          <w:rFonts w:hint="eastAsia"/>
          <w:lang w:val="en-US" w:eastAsia="zh-CN"/>
        </w:rPr>
        <w:t xml:space="preserve"> 8h</w:t>
      </w:r>
      <w:r>
        <w:t>浓度监测数据统计结果一览表</w:t>
      </w:r>
    </w:p>
    <w:tbl>
      <w:tblPr>
        <w:tblStyle w:val="14"/>
        <w:tblW w:w="13450"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461"/>
        <w:gridCol w:w="1359"/>
        <w:gridCol w:w="1359"/>
        <w:gridCol w:w="1359"/>
        <w:gridCol w:w="1386"/>
        <w:gridCol w:w="1364"/>
        <w:gridCol w:w="455"/>
        <w:gridCol w:w="904"/>
        <w:gridCol w:w="915"/>
        <w:gridCol w:w="449"/>
        <w:gridCol w:w="13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restart"/>
            <w:vAlign w:val="center"/>
          </w:tcPr>
          <w:p>
            <w:pPr>
              <w:pStyle w:val="24"/>
            </w:pPr>
            <w:r>
              <w:t>监测点位</w:t>
            </w:r>
          </w:p>
        </w:tc>
        <w:tc>
          <w:tcPr>
            <w:tcW w:w="1461" w:type="dxa"/>
            <w:vMerge w:val="restart"/>
            <w:vAlign w:val="center"/>
          </w:tcPr>
          <w:p>
            <w:pPr>
              <w:pStyle w:val="24"/>
            </w:pPr>
            <w:r>
              <w:t>日期</w:t>
            </w:r>
          </w:p>
        </w:tc>
        <w:tc>
          <w:tcPr>
            <w:tcW w:w="5463" w:type="dxa"/>
            <w:gridSpan w:val="4"/>
            <w:vAlign w:val="center"/>
          </w:tcPr>
          <w:p>
            <w:pPr>
              <w:pStyle w:val="24"/>
            </w:pPr>
            <w:r>
              <w:t>苯小时浓度值（mg/m</w:t>
            </w:r>
            <w:r>
              <w:rPr>
                <w:vertAlign w:val="superscript"/>
              </w:rPr>
              <w:t>3</w:t>
            </w:r>
            <w:r>
              <w:t>）</w:t>
            </w:r>
          </w:p>
        </w:tc>
        <w:tc>
          <w:tcPr>
            <w:tcW w:w="5463" w:type="dxa"/>
            <w:gridSpan w:val="6"/>
            <w:vAlign w:val="center"/>
          </w:tcPr>
          <w:p>
            <w:pPr>
              <w:pStyle w:val="24"/>
            </w:pPr>
            <w:r>
              <w:rPr>
                <w:rFonts w:hint="eastAsia"/>
                <w:lang w:val="en-US" w:eastAsia="zh-CN"/>
              </w:rPr>
              <w:t>甲苯</w:t>
            </w:r>
            <w:r>
              <w:t>小时浓度值（mg/m</w:t>
            </w:r>
            <w:r>
              <w:rPr>
                <w:vertAlign w:val="superscript"/>
              </w:rPr>
              <w:t>3</w:t>
            </w:r>
            <w: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continue"/>
            <w:vAlign w:val="center"/>
          </w:tcPr>
          <w:p>
            <w:pPr>
              <w:pStyle w:val="24"/>
            </w:pPr>
          </w:p>
        </w:tc>
        <w:tc>
          <w:tcPr>
            <w:tcW w:w="1461" w:type="dxa"/>
            <w:vMerge w:val="continue"/>
            <w:vAlign w:val="center"/>
          </w:tcPr>
          <w:p>
            <w:pPr>
              <w:pStyle w:val="24"/>
            </w:pPr>
          </w:p>
        </w:tc>
        <w:tc>
          <w:tcPr>
            <w:tcW w:w="1359" w:type="dxa"/>
            <w:vAlign w:val="center"/>
          </w:tcPr>
          <w:p>
            <w:pPr>
              <w:pStyle w:val="24"/>
            </w:pPr>
            <w:r>
              <w:t>第一次</w:t>
            </w:r>
          </w:p>
        </w:tc>
        <w:tc>
          <w:tcPr>
            <w:tcW w:w="1359" w:type="dxa"/>
            <w:vAlign w:val="center"/>
          </w:tcPr>
          <w:p>
            <w:pPr>
              <w:pStyle w:val="24"/>
            </w:pPr>
            <w:r>
              <w:t>第二次</w:t>
            </w:r>
          </w:p>
        </w:tc>
        <w:tc>
          <w:tcPr>
            <w:tcW w:w="1359" w:type="dxa"/>
            <w:vAlign w:val="center"/>
          </w:tcPr>
          <w:p>
            <w:pPr>
              <w:pStyle w:val="24"/>
            </w:pPr>
            <w:r>
              <w:t>第三次</w:t>
            </w:r>
          </w:p>
        </w:tc>
        <w:tc>
          <w:tcPr>
            <w:tcW w:w="1386" w:type="dxa"/>
            <w:vAlign w:val="center"/>
          </w:tcPr>
          <w:p>
            <w:pPr>
              <w:pStyle w:val="24"/>
            </w:pPr>
            <w:r>
              <w:t>第四次</w:t>
            </w:r>
          </w:p>
        </w:tc>
        <w:tc>
          <w:tcPr>
            <w:tcW w:w="1364" w:type="dxa"/>
            <w:vAlign w:val="center"/>
          </w:tcPr>
          <w:p>
            <w:pPr>
              <w:pStyle w:val="24"/>
            </w:pPr>
            <w:r>
              <w:t>第一次</w:t>
            </w:r>
          </w:p>
        </w:tc>
        <w:tc>
          <w:tcPr>
            <w:tcW w:w="1359" w:type="dxa"/>
            <w:gridSpan w:val="2"/>
            <w:vAlign w:val="center"/>
          </w:tcPr>
          <w:p>
            <w:pPr>
              <w:pStyle w:val="24"/>
            </w:pPr>
            <w:r>
              <w:t>第二次</w:t>
            </w:r>
          </w:p>
        </w:tc>
        <w:tc>
          <w:tcPr>
            <w:tcW w:w="1364" w:type="dxa"/>
            <w:gridSpan w:val="2"/>
            <w:vAlign w:val="center"/>
          </w:tcPr>
          <w:p>
            <w:pPr>
              <w:pStyle w:val="24"/>
            </w:pPr>
            <w:r>
              <w:t>第三次</w:t>
            </w:r>
          </w:p>
        </w:tc>
        <w:tc>
          <w:tcPr>
            <w:tcW w:w="1376" w:type="dxa"/>
            <w:vAlign w:val="center"/>
          </w:tcPr>
          <w:p>
            <w:pPr>
              <w:pStyle w:val="24"/>
            </w:pPr>
            <w:r>
              <w:t>第四次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restart"/>
            <w:vAlign w:val="center"/>
          </w:tcPr>
          <w:p>
            <w:pPr>
              <w:pStyle w:val="24"/>
            </w:pPr>
            <w:r>
              <w:t>杜厝村</w:t>
            </w:r>
          </w:p>
        </w:tc>
        <w:tc>
          <w:tcPr>
            <w:tcW w:w="1461" w:type="dxa"/>
            <w:vAlign w:val="center"/>
          </w:tcPr>
          <w:p>
            <w:pPr>
              <w:pStyle w:val="24"/>
              <w:rPr>
                <w:rFonts w:hint="default" w:eastAsia="宋体"/>
                <w:lang w:val="en-US" w:eastAsia="zh-CN"/>
              </w:rPr>
            </w:pPr>
            <w:r>
              <w:rPr>
                <w:rFonts w:hint="eastAsia"/>
                <w:lang w:val="en-US" w:eastAsia="zh-CN"/>
              </w:rPr>
              <w:t>2023.3.23</w:t>
            </w:r>
          </w:p>
        </w:tc>
        <w:tc>
          <w:tcPr>
            <w:tcW w:w="1359" w:type="dxa"/>
            <w:vAlign w:val="center"/>
          </w:tcPr>
          <w:p>
            <w:pPr>
              <w:pStyle w:val="24"/>
              <w:rPr>
                <w:rFonts w:hint="default"/>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86" w:type="dxa"/>
            <w:vAlign w:val="center"/>
          </w:tcPr>
          <w:p>
            <w:pPr>
              <w:pStyle w:val="24"/>
              <w:rPr>
                <w:rFonts w:hint="eastAsia"/>
                <w:szCs w:val="21"/>
                <w:lang w:val="en-US" w:eastAsia="zh-CN"/>
              </w:rPr>
            </w:pPr>
            <w:r>
              <w:rPr>
                <w:rFonts w:hint="eastAsia"/>
                <w:szCs w:val="21"/>
                <w:lang w:val="en-US" w:eastAsia="zh-CN"/>
              </w:rPr>
              <w:t>＜0.01</w:t>
            </w:r>
          </w:p>
        </w:tc>
        <w:tc>
          <w:tcPr>
            <w:tcW w:w="1364" w:type="dxa"/>
            <w:vAlign w:val="center"/>
          </w:tcPr>
          <w:p>
            <w:pPr>
              <w:pStyle w:val="24"/>
              <w:rPr>
                <w:rFonts w:hint="eastAsia"/>
                <w:szCs w:val="21"/>
                <w:lang w:val="en-US" w:eastAsia="zh-CN"/>
              </w:rPr>
            </w:pPr>
            <w:r>
              <w:rPr>
                <w:rFonts w:hint="eastAsia"/>
                <w:szCs w:val="21"/>
                <w:lang w:val="en-US" w:eastAsia="zh-CN"/>
              </w:rPr>
              <w:t>＜0.01</w:t>
            </w:r>
          </w:p>
        </w:tc>
        <w:tc>
          <w:tcPr>
            <w:tcW w:w="1359" w:type="dxa"/>
            <w:gridSpan w:val="2"/>
            <w:vAlign w:val="center"/>
          </w:tcPr>
          <w:p>
            <w:pPr>
              <w:pStyle w:val="24"/>
              <w:rPr>
                <w:rFonts w:hint="eastAsia"/>
                <w:szCs w:val="21"/>
                <w:lang w:val="en-US" w:eastAsia="zh-CN"/>
              </w:rPr>
            </w:pPr>
            <w:r>
              <w:rPr>
                <w:rFonts w:hint="eastAsia"/>
                <w:szCs w:val="21"/>
                <w:lang w:val="en-US" w:eastAsia="zh-CN"/>
              </w:rPr>
              <w:t>＜0.01</w:t>
            </w:r>
          </w:p>
        </w:tc>
        <w:tc>
          <w:tcPr>
            <w:tcW w:w="1364" w:type="dxa"/>
            <w:gridSpan w:val="2"/>
            <w:vAlign w:val="center"/>
          </w:tcPr>
          <w:p>
            <w:pPr>
              <w:pStyle w:val="24"/>
              <w:rPr>
                <w:rFonts w:hint="eastAsia"/>
                <w:szCs w:val="21"/>
                <w:lang w:val="en-US" w:eastAsia="zh-CN"/>
              </w:rPr>
            </w:pPr>
            <w:r>
              <w:rPr>
                <w:rFonts w:hint="eastAsia"/>
                <w:szCs w:val="21"/>
                <w:lang w:val="en-US" w:eastAsia="zh-CN"/>
              </w:rPr>
              <w:t>＜0.01</w:t>
            </w:r>
          </w:p>
        </w:tc>
        <w:tc>
          <w:tcPr>
            <w:tcW w:w="1376" w:type="dxa"/>
            <w:vAlign w:val="center"/>
          </w:tcPr>
          <w:p>
            <w:pPr>
              <w:pStyle w:val="24"/>
              <w:rPr>
                <w:rFonts w:hint="eastAsia"/>
                <w:szCs w:val="21"/>
                <w:lang w:val="en-US" w:eastAsia="zh-CN"/>
              </w:rPr>
            </w:pPr>
            <w:r>
              <w:rPr>
                <w:rFonts w:hint="eastAsia"/>
                <w:szCs w:val="21"/>
                <w:lang w:val="en-US" w:eastAsia="zh-CN"/>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continue"/>
            <w:vAlign w:val="center"/>
          </w:tcPr>
          <w:p>
            <w:pPr>
              <w:pStyle w:val="24"/>
            </w:pPr>
          </w:p>
        </w:tc>
        <w:tc>
          <w:tcPr>
            <w:tcW w:w="1461" w:type="dxa"/>
            <w:vAlign w:val="center"/>
          </w:tcPr>
          <w:p>
            <w:pPr>
              <w:pStyle w:val="24"/>
              <w:rPr>
                <w:rFonts w:hint="default" w:eastAsia="宋体"/>
                <w:lang w:val="en-US" w:eastAsia="zh-CN"/>
              </w:rPr>
            </w:pPr>
            <w:r>
              <w:rPr>
                <w:rFonts w:hint="eastAsia"/>
                <w:lang w:val="en-US" w:eastAsia="zh-CN"/>
              </w:rPr>
              <w:t>2023.3.24</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86" w:type="dxa"/>
            <w:vAlign w:val="center"/>
          </w:tcPr>
          <w:p>
            <w:pPr>
              <w:pStyle w:val="24"/>
              <w:rPr>
                <w:rFonts w:hint="eastAsia"/>
                <w:szCs w:val="21"/>
                <w:lang w:val="en-US" w:eastAsia="zh-CN"/>
              </w:rPr>
            </w:pPr>
            <w:r>
              <w:rPr>
                <w:rFonts w:hint="eastAsia"/>
                <w:szCs w:val="21"/>
                <w:lang w:val="en-US" w:eastAsia="zh-CN"/>
              </w:rPr>
              <w:t>＜0.01</w:t>
            </w:r>
          </w:p>
        </w:tc>
        <w:tc>
          <w:tcPr>
            <w:tcW w:w="1364" w:type="dxa"/>
            <w:vAlign w:val="center"/>
          </w:tcPr>
          <w:p>
            <w:pPr>
              <w:pStyle w:val="24"/>
              <w:rPr>
                <w:rFonts w:hint="eastAsia"/>
                <w:szCs w:val="21"/>
                <w:lang w:val="en-US" w:eastAsia="zh-CN"/>
              </w:rPr>
            </w:pPr>
            <w:r>
              <w:rPr>
                <w:rFonts w:hint="eastAsia"/>
                <w:szCs w:val="21"/>
                <w:lang w:val="en-US" w:eastAsia="zh-CN"/>
              </w:rPr>
              <w:t>＜0.01</w:t>
            </w:r>
          </w:p>
        </w:tc>
        <w:tc>
          <w:tcPr>
            <w:tcW w:w="1359" w:type="dxa"/>
            <w:gridSpan w:val="2"/>
            <w:vAlign w:val="center"/>
          </w:tcPr>
          <w:p>
            <w:pPr>
              <w:pStyle w:val="24"/>
              <w:rPr>
                <w:rFonts w:hint="eastAsia"/>
                <w:szCs w:val="21"/>
                <w:lang w:val="en-US" w:eastAsia="zh-CN"/>
              </w:rPr>
            </w:pPr>
            <w:r>
              <w:rPr>
                <w:rFonts w:hint="eastAsia"/>
                <w:szCs w:val="21"/>
                <w:lang w:val="en-US" w:eastAsia="zh-CN"/>
              </w:rPr>
              <w:t>＜0.01</w:t>
            </w:r>
          </w:p>
        </w:tc>
        <w:tc>
          <w:tcPr>
            <w:tcW w:w="1364" w:type="dxa"/>
            <w:gridSpan w:val="2"/>
            <w:vAlign w:val="center"/>
          </w:tcPr>
          <w:p>
            <w:pPr>
              <w:pStyle w:val="24"/>
              <w:rPr>
                <w:rFonts w:hint="eastAsia"/>
                <w:szCs w:val="21"/>
                <w:lang w:val="en-US" w:eastAsia="zh-CN"/>
              </w:rPr>
            </w:pPr>
            <w:r>
              <w:rPr>
                <w:rFonts w:hint="eastAsia"/>
                <w:szCs w:val="21"/>
                <w:lang w:val="en-US" w:eastAsia="zh-CN"/>
              </w:rPr>
              <w:t>＜0.01</w:t>
            </w:r>
          </w:p>
        </w:tc>
        <w:tc>
          <w:tcPr>
            <w:tcW w:w="1376" w:type="dxa"/>
            <w:vAlign w:val="center"/>
          </w:tcPr>
          <w:p>
            <w:pPr>
              <w:pStyle w:val="24"/>
              <w:rPr>
                <w:rFonts w:hint="eastAsia"/>
                <w:szCs w:val="21"/>
                <w:lang w:val="en-US" w:eastAsia="zh-CN"/>
              </w:rPr>
            </w:pPr>
            <w:r>
              <w:rPr>
                <w:rFonts w:hint="eastAsia"/>
                <w:szCs w:val="21"/>
                <w:lang w:val="en-US" w:eastAsia="zh-CN"/>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浓度范围</w:t>
            </w:r>
          </w:p>
        </w:tc>
        <w:tc>
          <w:tcPr>
            <w:tcW w:w="5463" w:type="dxa"/>
            <w:gridSpan w:val="4"/>
            <w:vAlign w:val="center"/>
          </w:tcPr>
          <w:p>
            <w:pPr>
              <w:pStyle w:val="24"/>
            </w:pPr>
            <w:r>
              <w:rPr>
                <w:rFonts w:hint="eastAsia"/>
                <w:lang w:val="en-US" w:eastAsia="zh-CN"/>
              </w:rPr>
              <w:t>＜0.01</w:t>
            </w:r>
          </w:p>
        </w:tc>
        <w:tc>
          <w:tcPr>
            <w:tcW w:w="5463" w:type="dxa"/>
            <w:gridSpan w:val="6"/>
            <w:vAlign w:val="center"/>
          </w:tcPr>
          <w:p>
            <w:pPr>
              <w:pStyle w:val="24"/>
            </w:pPr>
            <w:r>
              <w:rPr>
                <w:rFonts w:hint="eastAsia"/>
                <w:lang w:val="en-US" w:eastAsia="zh-CN"/>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标准值</w:t>
            </w:r>
          </w:p>
        </w:tc>
        <w:tc>
          <w:tcPr>
            <w:tcW w:w="5463" w:type="dxa"/>
            <w:gridSpan w:val="4"/>
            <w:vAlign w:val="center"/>
          </w:tcPr>
          <w:p>
            <w:pPr>
              <w:pStyle w:val="24"/>
              <w:rPr>
                <w:rFonts w:hint="default" w:eastAsia="宋体"/>
                <w:lang w:val="en-US" w:eastAsia="zh-CN"/>
              </w:rPr>
            </w:pPr>
            <w:r>
              <w:rPr>
                <w:rFonts w:hint="eastAsia"/>
                <w:lang w:val="en-US" w:eastAsia="zh-CN"/>
              </w:rPr>
              <w:t>0.11</w:t>
            </w:r>
          </w:p>
        </w:tc>
        <w:tc>
          <w:tcPr>
            <w:tcW w:w="5463" w:type="dxa"/>
            <w:gridSpan w:val="6"/>
            <w:vAlign w:val="center"/>
          </w:tcPr>
          <w:p>
            <w:pPr>
              <w:pStyle w:val="24"/>
              <w:rPr>
                <w:rFonts w:hint="default" w:eastAsia="宋体"/>
                <w:lang w:val="en-US" w:eastAsia="zh-CN"/>
              </w:rPr>
            </w:pPr>
            <w:r>
              <w:rPr>
                <w:rFonts w:hint="eastAsia"/>
                <w:lang w:val="en-US" w:eastAsia="zh-CN"/>
              </w:rPr>
              <w:t>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达标情况</w:t>
            </w:r>
          </w:p>
        </w:tc>
        <w:tc>
          <w:tcPr>
            <w:tcW w:w="5463" w:type="dxa"/>
            <w:gridSpan w:val="4"/>
            <w:vAlign w:val="center"/>
          </w:tcPr>
          <w:p>
            <w:pPr>
              <w:pStyle w:val="24"/>
            </w:pPr>
            <w:r>
              <w:t>达标</w:t>
            </w:r>
          </w:p>
        </w:tc>
        <w:tc>
          <w:tcPr>
            <w:tcW w:w="5463" w:type="dxa"/>
            <w:gridSpan w:val="6"/>
            <w:vAlign w:val="center"/>
          </w:tcPr>
          <w:p>
            <w:pPr>
              <w:pStyle w:val="24"/>
            </w:pPr>
            <w: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restart"/>
            <w:vAlign w:val="center"/>
          </w:tcPr>
          <w:p>
            <w:pPr>
              <w:pStyle w:val="24"/>
            </w:pPr>
            <w:r>
              <w:t>监测点位</w:t>
            </w:r>
          </w:p>
        </w:tc>
        <w:tc>
          <w:tcPr>
            <w:tcW w:w="1461" w:type="dxa"/>
            <w:vMerge w:val="restart"/>
            <w:vAlign w:val="center"/>
          </w:tcPr>
          <w:p>
            <w:pPr>
              <w:pStyle w:val="24"/>
            </w:pPr>
            <w:r>
              <w:t>日期</w:t>
            </w:r>
          </w:p>
        </w:tc>
        <w:tc>
          <w:tcPr>
            <w:tcW w:w="5463" w:type="dxa"/>
            <w:gridSpan w:val="4"/>
            <w:vAlign w:val="center"/>
          </w:tcPr>
          <w:p>
            <w:pPr>
              <w:pStyle w:val="24"/>
            </w:pPr>
            <w:r>
              <w:rPr>
                <w:rFonts w:hint="eastAsia"/>
                <w:lang w:val="en-US" w:eastAsia="zh-CN"/>
              </w:rPr>
              <w:t>二甲</w:t>
            </w:r>
            <w:r>
              <w:t>苯小时浓度值（mg/m</w:t>
            </w:r>
            <w:r>
              <w:rPr>
                <w:vertAlign w:val="superscript"/>
              </w:rPr>
              <w:t>3</w:t>
            </w:r>
            <w:r>
              <w:t>）</w:t>
            </w:r>
          </w:p>
        </w:tc>
        <w:tc>
          <w:tcPr>
            <w:tcW w:w="5463" w:type="dxa"/>
            <w:gridSpan w:val="6"/>
            <w:tcBorders>
              <w:bottom w:val="single" w:color="000000" w:sz="4" w:space="0"/>
            </w:tcBorders>
            <w:vAlign w:val="center"/>
          </w:tcPr>
          <w:p>
            <w:pPr>
              <w:pStyle w:val="24"/>
            </w:pPr>
            <w:r>
              <w:t>NMHC小时浓度值（mg/m</w:t>
            </w:r>
            <w:r>
              <w:rPr>
                <w:vertAlign w:val="superscript"/>
              </w:rPr>
              <w:t>3</w:t>
            </w:r>
            <w: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continue"/>
            <w:vAlign w:val="center"/>
          </w:tcPr>
          <w:p>
            <w:pPr>
              <w:pStyle w:val="24"/>
            </w:pPr>
          </w:p>
        </w:tc>
        <w:tc>
          <w:tcPr>
            <w:tcW w:w="1461" w:type="dxa"/>
            <w:vMerge w:val="continue"/>
            <w:vAlign w:val="center"/>
          </w:tcPr>
          <w:p>
            <w:pPr>
              <w:pStyle w:val="24"/>
            </w:pPr>
          </w:p>
        </w:tc>
        <w:tc>
          <w:tcPr>
            <w:tcW w:w="1359" w:type="dxa"/>
            <w:vAlign w:val="center"/>
          </w:tcPr>
          <w:p>
            <w:pPr>
              <w:pStyle w:val="24"/>
            </w:pPr>
            <w:r>
              <w:t>第一次</w:t>
            </w:r>
          </w:p>
        </w:tc>
        <w:tc>
          <w:tcPr>
            <w:tcW w:w="1359" w:type="dxa"/>
            <w:vAlign w:val="center"/>
          </w:tcPr>
          <w:p>
            <w:pPr>
              <w:pStyle w:val="24"/>
            </w:pPr>
            <w:r>
              <w:t>第二次</w:t>
            </w:r>
          </w:p>
        </w:tc>
        <w:tc>
          <w:tcPr>
            <w:tcW w:w="1359" w:type="dxa"/>
            <w:vAlign w:val="center"/>
          </w:tcPr>
          <w:p>
            <w:pPr>
              <w:pStyle w:val="24"/>
            </w:pPr>
            <w:r>
              <w:t>第三次</w:t>
            </w:r>
          </w:p>
        </w:tc>
        <w:tc>
          <w:tcPr>
            <w:tcW w:w="1386" w:type="dxa"/>
            <w:vAlign w:val="center"/>
          </w:tcPr>
          <w:p>
            <w:pPr>
              <w:pStyle w:val="24"/>
            </w:pPr>
            <w:r>
              <w:t>第四次</w:t>
            </w:r>
          </w:p>
        </w:tc>
        <w:tc>
          <w:tcPr>
            <w:tcW w:w="1819" w:type="dxa"/>
            <w:gridSpan w:val="2"/>
            <w:tcBorders>
              <w:top w:val="single" w:color="000000" w:sz="4" w:space="0"/>
            </w:tcBorders>
            <w:vAlign w:val="center"/>
          </w:tcPr>
          <w:p>
            <w:pPr>
              <w:pStyle w:val="24"/>
            </w:pPr>
            <w:r>
              <w:t>第一次</w:t>
            </w:r>
          </w:p>
        </w:tc>
        <w:tc>
          <w:tcPr>
            <w:tcW w:w="1819" w:type="dxa"/>
            <w:gridSpan w:val="2"/>
            <w:tcBorders>
              <w:top w:val="single" w:color="000000" w:sz="4" w:space="0"/>
            </w:tcBorders>
            <w:vAlign w:val="center"/>
          </w:tcPr>
          <w:p>
            <w:pPr>
              <w:pStyle w:val="24"/>
            </w:pPr>
            <w:r>
              <w:t>第二次</w:t>
            </w:r>
          </w:p>
        </w:tc>
        <w:tc>
          <w:tcPr>
            <w:tcW w:w="1825" w:type="dxa"/>
            <w:gridSpan w:val="2"/>
            <w:tcBorders>
              <w:top w:val="single" w:color="000000" w:sz="4" w:space="0"/>
            </w:tcBorders>
            <w:vAlign w:val="center"/>
          </w:tcPr>
          <w:p>
            <w:pPr>
              <w:pStyle w:val="24"/>
            </w:pPr>
            <w:r>
              <w:t>第三次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restart"/>
            <w:vAlign w:val="center"/>
          </w:tcPr>
          <w:p>
            <w:pPr>
              <w:pStyle w:val="24"/>
            </w:pPr>
            <w:r>
              <w:t>杜厝村</w:t>
            </w:r>
          </w:p>
        </w:tc>
        <w:tc>
          <w:tcPr>
            <w:tcW w:w="1461" w:type="dxa"/>
            <w:vAlign w:val="center"/>
          </w:tcPr>
          <w:p>
            <w:pPr>
              <w:pStyle w:val="24"/>
            </w:pPr>
            <w:r>
              <w:rPr>
                <w:rFonts w:hint="eastAsia"/>
                <w:lang w:val="en-US" w:eastAsia="zh-CN"/>
              </w:rPr>
              <w:t>2023.3.23</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86" w:type="dxa"/>
            <w:vAlign w:val="center"/>
          </w:tcPr>
          <w:p>
            <w:pPr>
              <w:pStyle w:val="24"/>
              <w:rPr>
                <w:rFonts w:hint="eastAsia"/>
                <w:szCs w:val="21"/>
                <w:lang w:val="en-US" w:eastAsia="zh-CN"/>
              </w:rPr>
            </w:pPr>
            <w:r>
              <w:rPr>
                <w:rFonts w:hint="eastAsia"/>
                <w:szCs w:val="21"/>
                <w:lang w:val="en-US" w:eastAsia="zh-CN"/>
              </w:rPr>
              <w:t>＜0.01</w:t>
            </w:r>
          </w:p>
        </w:tc>
        <w:tc>
          <w:tcPr>
            <w:tcW w:w="1819" w:type="dxa"/>
            <w:gridSpan w:val="2"/>
            <w:vAlign w:val="center"/>
          </w:tcPr>
          <w:p>
            <w:pPr>
              <w:pStyle w:val="24"/>
              <w:rPr>
                <w:rFonts w:hint="default" w:eastAsia="宋体"/>
                <w:lang w:val="en-US" w:eastAsia="zh-CN"/>
              </w:rPr>
            </w:pPr>
            <w:r>
              <w:rPr>
                <w:rFonts w:hint="eastAsia"/>
                <w:lang w:val="en-US" w:eastAsia="zh-CN"/>
              </w:rPr>
              <w:t>0.27</w:t>
            </w:r>
          </w:p>
        </w:tc>
        <w:tc>
          <w:tcPr>
            <w:tcW w:w="1819" w:type="dxa"/>
            <w:gridSpan w:val="2"/>
            <w:vAlign w:val="center"/>
          </w:tcPr>
          <w:p>
            <w:pPr>
              <w:pStyle w:val="24"/>
              <w:rPr>
                <w:rFonts w:hint="default" w:eastAsia="宋体"/>
                <w:lang w:val="en-US" w:eastAsia="zh-CN"/>
              </w:rPr>
            </w:pPr>
            <w:r>
              <w:rPr>
                <w:rFonts w:hint="eastAsia"/>
                <w:lang w:val="en-US" w:eastAsia="zh-CN"/>
              </w:rPr>
              <w:t>0.31</w:t>
            </w:r>
          </w:p>
        </w:tc>
        <w:tc>
          <w:tcPr>
            <w:tcW w:w="1825" w:type="dxa"/>
            <w:gridSpan w:val="2"/>
            <w:vAlign w:val="center"/>
          </w:tcPr>
          <w:p>
            <w:pPr>
              <w:pStyle w:val="24"/>
              <w:rPr>
                <w:rFonts w:hint="default" w:eastAsia="宋体"/>
                <w:lang w:val="en-US" w:eastAsia="zh-CN"/>
              </w:rPr>
            </w:pPr>
            <w:r>
              <w:rPr>
                <w:rFonts w:hint="eastAsia"/>
                <w:lang w:val="en-US" w:eastAsia="zh-CN"/>
              </w:rPr>
              <w:t>0.36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3" w:type="dxa"/>
            <w:vMerge w:val="continue"/>
            <w:vAlign w:val="center"/>
          </w:tcPr>
          <w:p>
            <w:pPr>
              <w:pStyle w:val="24"/>
            </w:pPr>
          </w:p>
        </w:tc>
        <w:tc>
          <w:tcPr>
            <w:tcW w:w="1461" w:type="dxa"/>
            <w:vAlign w:val="center"/>
          </w:tcPr>
          <w:p>
            <w:pPr>
              <w:pStyle w:val="24"/>
            </w:pPr>
            <w:r>
              <w:rPr>
                <w:rFonts w:hint="eastAsia"/>
                <w:lang w:val="en-US" w:eastAsia="zh-CN"/>
              </w:rPr>
              <w:t>2023.3.24</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59" w:type="dxa"/>
            <w:vAlign w:val="center"/>
          </w:tcPr>
          <w:p>
            <w:pPr>
              <w:pStyle w:val="24"/>
              <w:rPr>
                <w:rFonts w:hint="eastAsia"/>
                <w:szCs w:val="21"/>
                <w:lang w:val="en-US" w:eastAsia="zh-CN"/>
              </w:rPr>
            </w:pPr>
            <w:r>
              <w:rPr>
                <w:rFonts w:hint="eastAsia"/>
                <w:szCs w:val="21"/>
                <w:lang w:val="en-US" w:eastAsia="zh-CN"/>
              </w:rPr>
              <w:t>＜0.01</w:t>
            </w:r>
          </w:p>
        </w:tc>
        <w:tc>
          <w:tcPr>
            <w:tcW w:w="1386" w:type="dxa"/>
            <w:vAlign w:val="center"/>
          </w:tcPr>
          <w:p>
            <w:pPr>
              <w:pStyle w:val="24"/>
              <w:rPr>
                <w:rFonts w:hint="eastAsia"/>
                <w:szCs w:val="21"/>
                <w:lang w:val="en-US" w:eastAsia="zh-CN"/>
              </w:rPr>
            </w:pPr>
            <w:r>
              <w:rPr>
                <w:rFonts w:hint="eastAsia"/>
                <w:szCs w:val="21"/>
                <w:lang w:val="en-US" w:eastAsia="zh-CN"/>
              </w:rPr>
              <w:t>＜0.01</w:t>
            </w:r>
          </w:p>
        </w:tc>
        <w:tc>
          <w:tcPr>
            <w:tcW w:w="1819" w:type="dxa"/>
            <w:gridSpan w:val="2"/>
            <w:vAlign w:val="center"/>
          </w:tcPr>
          <w:p>
            <w:pPr>
              <w:pStyle w:val="24"/>
              <w:rPr>
                <w:rFonts w:hint="default" w:eastAsia="宋体"/>
                <w:lang w:val="en-US" w:eastAsia="zh-CN"/>
              </w:rPr>
            </w:pPr>
            <w:r>
              <w:rPr>
                <w:rFonts w:hint="eastAsia"/>
                <w:lang w:val="en-US" w:eastAsia="zh-CN"/>
              </w:rPr>
              <w:t>0.48</w:t>
            </w:r>
          </w:p>
        </w:tc>
        <w:tc>
          <w:tcPr>
            <w:tcW w:w="1819" w:type="dxa"/>
            <w:gridSpan w:val="2"/>
            <w:vAlign w:val="center"/>
          </w:tcPr>
          <w:p>
            <w:pPr>
              <w:pStyle w:val="24"/>
              <w:rPr>
                <w:rFonts w:hint="default" w:eastAsia="宋体"/>
                <w:lang w:val="en-US" w:eastAsia="zh-CN"/>
              </w:rPr>
            </w:pPr>
            <w:r>
              <w:rPr>
                <w:rFonts w:hint="eastAsia"/>
                <w:lang w:val="en-US" w:eastAsia="zh-CN"/>
              </w:rPr>
              <w:t>0.41</w:t>
            </w:r>
          </w:p>
        </w:tc>
        <w:tc>
          <w:tcPr>
            <w:tcW w:w="1825" w:type="dxa"/>
            <w:gridSpan w:val="2"/>
            <w:vAlign w:val="center"/>
          </w:tcPr>
          <w:p>
            <w:pPr>
              <w:pStyle w:val="24"/>
              <w:rPr>
                <w:rFonts w:hint="default" w:eastAsia="宋体"/>
                <w:lang w:val="en-US" w:eastAsia="zh-CN"/>
              </w:rPr>
            </w:pPr>
            <w:r>
              <w:rPr>
                <w:rFonts w:hint="eastAsia"/>
                <w:lang w:val="en-US" w:eastAsia="zh-CN"/>
              </w:rPr>
              <w:t>0.44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浓度范围</w:t>
            </w:r>
          </w:p>
        </w:tc>
        <w:tc>
          <w:tcPr>
            <w:tcW w:w="5463" w:type="dxa"/>
            <w:gridSpan w:val="4"/>
            <w:vAlign w:val="center"/>
          </w:tcPr>
          <w:p>
            <w:pPr>
              <w:pStyle w:val="24"/>
            </w:pPr>
            <w:r>
              <w:rPr>
                <w:rFonts w:hint="eastAsia"/>
                <w:lang w:val="en-US" w:eastAsia="zh-CN"/>
              </w:rPr>
              <w:t>＜0.01</w:t>
            </w:r>
          </w:p>
        </w:tc>
        <w:tc>
          <w:tcPr>
            <w:tcW w:w="5463" w:type="dxa"/>
            <w:gridSpan w:val="6"/>
            <w:vAlign w:val="center"/>
          </w:tcPr>
          <w:p>
            <w:pPr>
              <w:pStyle w:val="24"/>
              <w:rPr>
                <w:rFonts w:hint="default" w:eastAsia="宋体"/>
                <w:lang w:val="en-US" w:eastAsia="zh-CN"/>
              </w:rPr>
            </w:pPr>
            <w:r>
              <w:rPr>
                <w:rFonts w:hint="eastAsia"/>
                <w:lang w:val="en-US" w:eastAsia="zh-CN"/>
              </w:rPr>
              <w:t>0.27~0.48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标准值</w:t>
            </w:r>
          </w:p>
        </w:tc>
        <w:tc>
          <w:tcPr>
            <w:tcW w:w="5463" w:type="dxa"/>
            <w:gridSpan w:val="4"/>
            <w:vAlign w:val="center"/>
          </w:tcPr>
          <w:p>
            <w:pPr>
              <w:pStyle w:val="24"/>
            </w:pPr>
            <w:r>
              <w:t>0.2</w:t>
            </w:r>
          </w:p>
        </w:tc>
        <w:tc>
          <w:tcPr>
            <w:tcW w:w="5463" w:type="dxa"/>
            <w:gridSpan w:val="6"/>
            <w:vAlign w:val="center"/>
          </w:tcPr>
          <w:p>
            <w:pPr>
              <w:pStyle w:val="24"/>
            </w:pPr>
            <w: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达标情况</w:t>
            </w:r>
          </w:p>
        </w:tc>
        <w:tc>
          <w:tcPr>
            <w:tcW w:w="5463" w:type="dxa"/>
            <w:gridSpan w:val="4"/>
            <w:vAlign w:val="center"/>
          </w:tcPr>
          <w:p>
            <w:pPr>
              <w:pStyle w:val="24"/>
            </w:pPr>
            <w:r>
              <w:t>达标</w:t>
            </w:r>
          </w:p>
        </w:tc>
        <w:tc>
          <w:tcPr>
            <w:tcW w:w="5463" w:type="dxa"/>
            <w:gridSpan w:val="6"/>
            <w:vAlign w:val="center"/>
          </w:tcPr>
          <w:p>
            <w:pPr>
              <w:pStyle w:val="24"/>
            </w:pPr>
            <w: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杜厝村</w:t>
            </w:r>
          </w:p>
        </w:tc>
        <w:tc>
          <w:tcPr>
            <w:tcW w:w="5463" w:type="dxa"/>
            <w:gridSpan w:val="4"/>
            <w:vAlign w:val="center"/>
          </w:tcPr>
          <w:p>
            <w:pPr>
              <w:pStyle w:val="24"/>
            </w:pPr>
            <w:r>
              <w:t>TVOC 8h浓度值（mg/m</w:t>
            </w:r>
            <w:r>
              <w:rPr>
                <w:vertAlign w:val="superscript"/>
              </w:rPr>
              <w:t>3</w:t>
            </w:r>
            <w:r>
              <w:t>）</w:t>
            </w:r>
          </w:p>
        </w:tc>
        <w:tc>
          <w:tcPr>
            <w:tcW w:w="5463" w:type="dxa"/>
            <w:gridSpan w:val="6"/>
            <w:vMerge w:val="restart"/>
            <w:vAlign w:val="center"/>
          </w:tcPr>
          <w:p>
            <w:pPr>
              <w:pStyle w:val="24"/>
            </w:pPr>
            <w: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rPr>
                <w:rFonts w:hint="eastAsia"/>
                <w:lang w:val="en-US" w:eastAsia="zh-CN"/>
              </w:rPr>
              <w:t>2023.3.23</w:t>
            </w:r>
          </w:p>
        </w:tc>
        <w:tc>
          <w:tcPr>
            <w:tcW w:w="5463" w:type="dxa"/>
            <w:gridSpan w:val="4"/>
            <w:vAlign w:val="center"/>
          </w:tcPr>
          <w:p>
            <w:pPr>
              <w:pStyle w:val="24"/>
              <w:rPr>
                <w:rFonts w:hint="default" w:eastAsia="宋体"/>
                <w:lang w:val="en-US" w:eastAsia="zh-CN"/>
              </w:rPr>
            </w:pPr>
            <w:r>
              <w:rPr>
                <w:rFonts w:hint="eastAsia"/>
                <w:lang w:val="en-US" w:eastAsia="zh-CN"/>
              </w:rPr>
              <w:t>0.119</w:t>
            </w:r>
          </w:p>
        </w:tc>
        <w:tc>
          <w:tcPr>
            <w:tcW w:w="5463" w:type="dxa"/>
            <w:gridSpan w:val="6"/>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rPr>
                <w:rFonts w:hint="eastAsia"/>
                <w:lang w:val="en-US" w:eastAsia="zh-CN"/>
              </w:rPr>
              <w:t>2023.3.24</w:t>
            </w:r>
          </w:p>
        </w:tc>
        <w:tc>
          <w:tcPr>
            <w:tcW w:w="5463" w:type="dxa"/>
            <w:gridSpan w:val="4"/>
            <w:vAlign w:val="center"/>
          </w:tcPr>
          <w:p>
            <w:pPr>
              <w:pStyle w:val="24"/>
              <w:rPr>
                <w:rFonts w:hint="default" w:eastAsia="宋体"/>
                <w:lang w:val="en-US" w:eastAsia="zh-CN"/>
              </w:rPr>
            </w:pPr>
            <w:r>
              <w:rPr>
                <w:rFonts w:hint="eastAsia"/>
                <w:lang w:val="en-US" w:eastAsia="zh-CN"/>
              </w:rPr>
              <w:t>0.138</w:t>
            </w:r>
          </w:p>
        </w:tc>
        <w:tc>
          <w:tcPr>
            <w:tcW w:w="5463" w:type="dxa"/>
            <w:gridSpan w:val="6"/>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浓度范围</w:t>
            </w:r>
          </w:p>
        </w:tc>
        <w:tc>
          <w:tcPr>
            <w:tcW w:w="5463" w:type="dxa"/>
            <w:gridSpan w:val="4"/>
            <w:vAlign w:val="center"/>
          </w:tcPr>
          <w:p>
            <w:pPr>
              <w:pStyle w:val="24"/>
              <w:rPr>
                <w:rFonts w:hint="default" w:eastAsia="宋体"/>
                <w:lang w:val="en-US" w:eastAsia="zh-CN"/>
              </w:rPr>
            </w:pPr>
            <w:r>
              <w:rPr>
                <w:rFonts w:hint="eastAsia"/>
                <w:lang w:val="en-US" w:eastAsia="zh-CN"/>
              </w:rPr>
              <w:t>0.119~0.138</w:t>
            </w:r>
          </w:p>
        </w:tc>
        <w:tc>
          <w:tcPr>
            <w:tcW w:w="5463" w:type="dxa"/>
            <w:gridSpan w:val="6"/>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标准值</w:t>
            </w:r>
          </w:p>
        </w:tc>
        <w:tc>
          <w:tcPr>
            <w:tcW w:w="5463" w:type="dxa"/>
            <w:gridSpan w:val="4"/>
            <w:vAlign w:val="center"/>
          </w:tcPr>
          <w:p>
            <w:pPr>
              <w:pStyle w:val="24"/>
            </w:pPr>
            <w:r>
              <w:t>0.6</w:t>
            </w:r>
          </w:p>
        </w:tc>
        <w:tc>
          <w:tcPr>
            <w:tcW w:w="5463" w:type="dxa"/>
            <w:gridSpan w:val="6"/>
            <w:vMerge w:val="continue"/>
            <w:vAlign w:val="center"/>
          </w:tcPr>
          <w:p>
            <w:pPr>
              <w:pStyle w:val="24"/>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24" w:type="dxa"/>
            <w:gridSpan w:val="2"/>
            <w:vAlign w:val="center"/>
          </w:tcPr>
          <w:p>
            <w:pPr>
              <w:pStyle w:val="24"/>
            </w:pPr>
            <w:r>
              <w:t>达标情况</w:t>
            </w:r>
          </w:p>
        </w:tc>
        <w:tc>
          <w:tcPr>
            <w:tcW w:w="5463" w:type="dxa"/>
            <w:gridSpan w:val="4"/>
            <w:vAlign w:val="center"/>
          </w:tcPr>
          <w:p>
            <w:pPr>
              <w:pStyle w:val="24"/>
            </w:pPr>
            <w:r>
              <w:t>达标</w:t>
            </w:r>
          </w:p>
        </w:tc>
        <w:tc>
          <w:tcPr>
            <w:tcW w:w="5463" w:type="dxa"/>
            <w:gridSpan w:val="6"/>
            <w:vMerge w:val="continue"/>
            <w:vAlign w:val="center"/>
          </w:tcPr>
          <w:p>
            <w:pPr>
              <w:pStyle w:val="24"/>
            </w:pPr>
          </w:p>
        </w:tc>
      </w:tr>
    </w:tbl>
    <w:p>
      <w:pPr>
        <w:pStyle w:val="19"/>
        <w:ind w:firstLine="0" w:firstLineChars="0"/>
        <w:sectPr>
          <w:pgSz w:w="16839" w:h="11907"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18"/>
      </w:pPr>
      <w:r>
        <w:t>9.3.2 地下水环境</w:t>
      </w:r>
    </w:p>
    <w:p>
      <w:pPr>
        <w:pStyle w:val="19"/>
        <w:ind w:firstLine="480"/>
        <w:rPr>
          <w:lang w:val="en-US"/>
        </w:rPr>
      </w:pPr>
      <w:r>
        <w:rPr>
          <w:lang w:val="en-US"/>
        </w:rPr>
        <w:t>地下水监测共布设5个点位，分别在北厂界</w:t>
      </w:r>
      <w:r>
        <w:rPr>
          <w:rFonts w:hint="eastAsia"/>
          <w:lang w:val="en-US" w:eastAsia="zh-CN"/>
        </w:rPr>
        <w:t>D1</w:t>
      </w:r>
      <w:r>
        <w:rPr>
          <w:lang w:val="en-US"/>
        </w:rPr>
        <w:t>（E</w:t>
      </w:r>
      <w:r>
        <w:rPr>
          <w:rFonts w:hint="eastAsia"/>
          <w:lang w:val="en-US"/>
        </w:rPr>
        <w:t>:</w:t>
      </w:r>
      <w:r>
        <w:rPr>
          <w:lang w:val="en-US"/>
        </w:rPr>
        <w:t>119.01024967° N</w:t>
      </w:r>
      <w:r>
        <w:rPr>
          <w:rFonts w:hint="eastAsia"/>
          <w:lang w:val="en-US"/>
        </w:rPr>
        <w:t>:</w:t>
      </w:r>
      <w:r>
        <w:rPr>
          <w:lang w:val="en-US"/>
        </w:rPr>
        <w:t>25.04135012°）、东厂界</w:t>
      </w:r>
      <w:r>
        <w:rPr>
          <w:rFonts w:hint="eastAsia"/>
          <w:lang w:val="en-US" w:eastAsia="zh-CN"/>
        </w:rPr>
        <w:t>D2</w:t>
      </w:r>
      <w:r>
        <w:rPr>
          <w:lang w:val="en-US"/>
        </w:rPr>
        <w:t>（E</w:t>
      </w:r>
      <w:r>
        <w:rPr>
          <w:rFonts w:hint="eastAsia"/>
          <w:lang w:val="en-US"/>
        </w:rPr>
        <w:t>:</w:t>
      </w:r>
      <w:r>
        <w:rPr>
          <w:lang w:val="en-US"/>
        </w:rPr>
        <w:t>119.01171416° N</w:t>
      </w:r>
      <w:r>
        <w:rPr>
          <w:rFonts w:hint="eastAsia"/>
          <w:lang w:val="en-US"/>
        </w:rPr>
        <w:t>:</w:t>
      </w:r>
      <w:r>
        <w:rPr>
          <w:lang w:val="en-US"/>
        </w:rPr>
        <w:t>25.04039995°）、厂区内</w:t>
      </w:r>
      <w:r>
        <w:rPr>
          <w:rFonts w:hint="eastAsia"/>
          <w:lang w:val="en-US" w:eastAsia="zh-CN"/>
        </w:rPr>
        <w:t>D3</w:t>
      </w:r>
      <w:r>
        <w:rPr>
          <w:lang w:val="en-US"/>
        </w:rPr>
        <w:t>（E：119.01010752° N:25.03987748°）、西厂界</w:t>
      </w:r>
      <w:r>
        <w:rPr>
          <w:rFonts w:hint="eastAsia"/>
          <w:lang w:val="en-US" w:eastAsia="zh-CN"/>
        </w:rPr>
        <w:t>D4</w:t>
      </w:r>
      <w:r>
        <w:rPr>
          <w:lang w:val="en-US"/>
        </w:rPr>
        <w:t>（E</w:t>
      </w:r>
      <w:r>
        <w:rPr>
          <w:rFonts w:hint="eastAsia"/>
          <w:lang w:val="en-US"/>
        </w:rPr>
        <w:t>:</w:t>
      </w:r>
      <w:r>
        <w:rPr>
          <w:lang w:val="en-US"/>
        </w:rPr>
        <w:t>119.00867254°</w:t>
      </w:r>
      <w:r>
        <w:rPr>
          <w:rFonts w:hint="eastAsia"/>
          <w:lang w:val="en-US"/>
        </w:rPr>
        <w:t xml:space="preserve"> </w:t>
      </w:r>
      <w:r>
        <w:rPr>
          <w:lang w:val="en-US"/>
        </w:rPr>
        <w:t>N:25.04074017°）、南厂界</w:t>
      </w:r>
      <w:r>
        <w:rPr>
          <w:rFonts w:hint="eastAsia"/>
          <w:lang w:val="en-US" w:eastAsia="zh-CN"/>
        </w:rPr>
        <w:t>D5</w:t>
      </w:r>
      <w:r>
        <w:rPr>
          <w:lang w:val="en-US"/>
        </w:rPr>
        <w:t>（E</w:t>
      </w:r>
      <w:r>
        <w:rPr>
          <w:rFonts w:hint="eastAsia"/>
          <w:lang w:val="en-US"/>
        </w:rPr>
        <w:t>:</w:t>
      </w:r>
      <w:r>
        <w:rPr>
          <w:lang w:val="en-US"/>
        </w:rPr>
        <w:t>119.00802076°</w:t>
      </w:r>
      <w:r>
        <w:rPr>
          <w:rFonts w:hint="eastAsia"/>
          <w:lang w:val="en-US"/>
        </w:rPr>
        <w:t xml:space="preserve"> </w:t>
      </w:r>
      <w:r>
        <w:rPr>
          <w:lang w:val="en-US"/>
        </w:rPr>
        <w:t>N:25.03818124°）。监测结果见表9.3.2。</w:t>
      </w:r>
    </w:p>
    <w:p>
      <w:pPr>
        <w:pStyle w:val="19"/>
        <w:ind w:firstLine="480"/>
        <w:rPr>
          <w:lang w:val="en-US"/>
        </w:rPr>
        <w:sectPr>
          <w:pgSz w:w="11907" w:h="16839"/>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lang w:val="en-US"/>
        </w:rPr>
        <w:t>根据监测结果可知，各地下水监测点氨氮、亚硝酸盐、硝酸盐、挥发酚、石油类、硫化物、氰化物、六价铬、镉、铅、汞、砷、苯、甲苯、二甲苯、苯乙烯均未超标。</w:t>
      </w:r>
      <w:r>
        <w:rPr>
          <w:rFonts w:hint="eastAsia"/>
          <w:lang w:val="en-US" w:eastAsia="zh-Hans"/>
        </w:rPr>
        <w:t>与项目有关的各特征污染物监测浓度均能符合《地下水质量标准》（GB14848-2017）中Ⅲ类标准</w:t>
      </w:r>
      <w:r>
        <w:rPr>
          <w:rFonts w:hint="eastAsia"/>
          <w:lang w:val="en-US"/>
        </w:rPr>
        <w:t>。</w:t>
      </w:r>
      <w:r>
        <w:rPr>
          <w:lang w:val="en-US"/>
        </w:rPr>
        <w:t>部分点位总硬度、溶解性总固体、</w:t>
      </w:r>
      <w:r>
        <w:rPr>
          <w:rFonts w:hint="eastAsia"/>
          <w:lang w:val="en-US" w:eastAsia="zh-CN"/>
        </w:rPr>
        <w:t>耗氧量、</w:t>
      </w:r>
      <w:r>
        <w:rPr>
          <w:rFonts w:hint="eastAsia"/>
          <w:lang w:val="en-US"/>
        </w:rPr>
        <w:t>钠、</w:t>
      </w:r>
      <w:r>
        <w:rPr>
          <w:lang w:val="en-US"/>
        </w:rPr>
        <w:t>硫酸盐、氯化物及pH指标出现不同程度的超标情况。</w:t>
      </w:r>
    </w:p>
    <w:p>
      <w:pPr>
        <w:pStyle w:val="23"/>
      </w:pPr>
      <w:r>
        <w:t>表9.3.2 地下水监测结果统计一览表  单位：mg/L，pH无量纲</w:t>
      </w:r>
    </w:p>
    <w:tbl>
      <w:tblPr>
        <w:tblStyle w:val="14"/>
        <w:tblW w:w="1459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30"/>
        <w:gridCol w:w="981"/>
        <w:gridCol w:w="830"/>
        <w:gridCol w:w="721"/>
        <w:gridCol w:w="1098"/>
        <w:gridCol w:w="1110"/>
        <w:gridCol w:w="955"/>
        <w:gridCol w:w="824"/>
        <w:gridCol w:w="1040"/>
        <w:gridCol w:w="736"/>
        <w:gridCol w:w="692"/>
        <w:gridCol w:w="692"/>
        <w:gridCol w:w="663"/>
        <w:gridCol w:w="678"/>
        <w:gridCol w:w="911"/>
        <w:gridCol w:w="634"/>
        <w:gridCol w:w="678"/>
        <w:gridCol w:w="6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34" w:hRule="atLeast"/>
          <w:tblHeader/>
        </w:trPr>
        <w:tc>
          <w:tcPr>
            <w:tcW w:w="730" w:type="dxa"/>
            <w:vMerge w:val="restart"/>
            <w:shd w:val="clear" w:color="auto" w:fill="auto"/>
            <w:tcMar>
              <w:top w:w="15" w:type="dxa"/>
              <w:left w:w="15" w:type="dxa"/>
              <w:right w:w="15" w:type="dxa"/>
            </w:tcMar>
            <w:vAlign w:val="center"/>
          </w:tcPr>
          <w:p>
            <w:pPr>
              <w:pStyle w:val="24"/>
              <w:bidi w:val="0"/>
            </w:pPr>
            <w:r>
              <w:t>点位</w:t>
            </w:r>
          </w:p>
        </w:tc>
        <w:tc>
          <w:tcPr>
            <w:tcW w:w="981" w:type="dxa"/>
            <w:vMerge w:val="restart"/>
            <w:shd w:val="clear" w:color="auto" w:fill="auto"/>
            <w:tcMar>
              <w:top w:w="15" w:type="dxa"/>
              <w:left w:w="15" w:type="dxa"/>
              <w:right w:w="15" w:type="dxa"/>
            </w:tcMar>
            <w:vAlign w:val="center"/>
          </w:tcPr>
          <w:p>
            <w:pPr>
              <w:pStyle w:val="24"/>
              <w:bidi w:val="0"/>
            </w:pPr>
            <w:r>
              <w:t>采样日期</w:t>
            </w:r>
          </w:p>
        </w:tc>
        <w:tc>
          <w:tcPr>
            <w:tcW w:w="830" w:type="dxa"/>
            <w:vMerge w:val="restart"/>
            <w:shd w:val="clear" w:color="auto" w:fill="auto"/>
            <w:tcMar>
              <w:top w:w="15" w:type="dxa"/>
              <w:left w:w="15" w:type="dxa"/>
              <w:right w:w="15" w:type="dxa"/>
            </w:tcMar>
            <w:vAlign w:val="center"/>
          </w:tcPr>
          <w:p>
            <w:pPr>
              <w:pStyle w:val="24"/>
              <w:bidi w:val="0"/>
            </w:pPr>
            <w:r>
              <w:t>频次</w:t>
            </w:r>
          </w:p>
        </w:tc>
        <w:tc>
          <w:tcPr>
            <w:tcW w:w="721" w:type="dxa"/>
            <w:shd w:val="clear" w:color="auto" w:fill="auto"/>
            <w:tcMar>
              <w:top w:w="15" w:type="dxa"/>
              <w:left w:w="15" w:type="dxa"/>
              <w:right w:w="15" w:type="dxa"/>
            </w:tcMar>
            <w:vAlign w:val="center"/>
          </w:tcPr>
          <w:p>
            <w:pPr>
              <w:pStyle w:val="24"/>
              <w:bidi w:val="0"/>
            </w:pPr>
            <w:r>
              <w:t>pH</w:t>
            </w:r>
          </w:p>
        </w:tc>
        <w:tc>
          <w:tcPr>
            <w:tcW w:w="1098" w:type="dxa"/>
            <w:shd w:val="clear" w:color="auto" w:fill="auto"/>
            <w:tcMar>
              <w:top w:w="15" w:type="dxa"/>
              <w:left w:w="15" w:type="dxa"/>
              <w:right w:w="15" w:type="dxa"/>
            </w:tcMar>
            <w:vAlign w:val="center"/>
          </w:tcPr>
          <w:p>
            <w:pPr>
              <w:pStyle w:val="24"/>
              <w:bidi w:val="0"/>
            </w:pPr>
            <w:r>
              <w:t>总硬度</w:t>
            </w:r>
          </w:p>
        </w:tc>
        <w:tc>
          <w:tcPr>
            <w:tcW w:w="1110" w:type="dxa"/>
            <w:shd w:val="clear" w:color="auto" w:fill="auto"/>
            <w:tcMar>
              <w:top w:w="15" w:type="dxa"/>
              <w:left w:w="15" w:type="dxa"/>
              <w:right w:w="15" w:type="dxa"/>
            </w:tcMar>
            <w:vAlign w:val="center"/>
          </w:tcPr>
          <w:p>
            <w:pPr>
              <w:pStyle w:val="24"/>
              <w:bidi w:val="0"/>
            </w:pPr>
            <w:r>
              <w:t>溶解性</w:t>
            </w:r>
          </w:p>
          <w:p>
            <w:pPr>
              <w:pStyle w:val="24"/>
              <w:bidi w:val="0"/>
            </w:pPr>
            <w:r>
              <w:t>总固体</w:t>
            </w:r>
          </w:p>
        </w:tc>
        <w:tc>
          <w:tcPr>
            <w:tcW w:w="955" w:type="dxa"/>
            <w:shd w:val="clear" w:color="auto" w:fill="auto"/>
            <w:tcMar>
              <w:top w:w="15" w:type="dxa"/>
              <w:left w:w="15" w:type="dxa"/>
              <w:right w:w="15" w:type="dxa"/>
            </w:tcMar>
            <w:vAlign w:val="center"/>
          </w:tcPr>
          <w:p>
            <w:pPr>
              <w:pStyle w:val="24"/>
              <w:bidi w:val="0"/>
            </w:pPr>
            <w:r>
              <w:t>硫酸盐</w:t>
            </w:r>
          </w:p>
        </w:tc>
        <w:tc>
          <w:tcPr>
            <w:tcW w:w="824" w:type="dxa"/>
            <w:shd w:val="clear" w:color="auto" w:fill="auto"/>
            <w:tcMar>
              <w:top w:w="15" w:type="dxa"/>
              <w:left w:w="15" w:type="dxa"/>
              <w:right w:w="15" w:type="dxa"/>
            </w:tcMar>
            <w:vAlign w:val="center"/>
          </w:tcPr>
          <w:p>
            <w:pPr>
              <w:pStyle w:val="24"/>
              <w:bidi w:val="0"/>
            </w:pPr>
            <w:r>
              <w:t>氯化物</w:t>
            </w:r>
          </w:p>
        </w:tc>
        <w:tc>
          <w:tcPr>
            <w:tcW w:w="1040" w:type="dxa"/>
            <w:shd w:val="clear" w:color="auto" w:fill="auto"/>
            <w:tcMar>
              <w:top w:w="15" w:type="dxa"/>
              <w:left w:w="15" w:type="dxa"/>
              <w:right w:w="15" w:type="dxa"/>
            </w:tcMar>
            <w:vAlign w:val="center"/>
          </w:tcPr>
          <w:p>
            <w:pPr>
              <w:pStyle w:val="24"/>
              <w:bidi w:val="0"/>
            </w:pPr>
            <w:r>
              <w:t>挥发性酚类（以苯酚计）</w:t>
            </w:r>
          </w:p>
        </w:tc>
        <w:tc>
          <w:tcPr>
            <w:tcW w:w="736" w:type="dxa"/>
            <w:shd w:val="clear" w:color="auto" w:fill="auto"/>
            <w:tcMar>
              <w:top w:w="15" w:type="dxa"/>
              <w:left w:w="15" w:type="dxa"/>
              <w:right w:w="15" w:type="dxa"/>
            </w:tcMar>
            <w:vAlign w:val="center"/>
          </w:tcPr>
          <w:p>
            <w:pPr>
              <w:pStyle w:val="24"/>
              <w:bidi w:val="0"/>
            </w:pPr>
            <w:r>
              <w:t>耗氧量</w:t>
            </w:r>
          </w:p>
        </w:tc>
        <w:tc>
          <w:tcPr>
            <w:tcW w:w="692" w:type="dxa"/>
            <w:shd w:val="clear" w:color="auto" w:fill="auto"/>
            <w:tcMar>
              <w:top w:w="15" w:type="dxa"/>
              <w:left w:w="15" w:type="dxa"/>
              <w:right w:w="15" w:type="dxa"/>
            </w:tcMar>
            <w:vAlign w:val="center"/>
          </w:tcPr>
          <w:p>
            <w:pPr>
              <w:pStyle w:val="24"/>
              <w:bidi w:val="0"/>
            </w:pPr>
            <w:r>
              <w:t>氨氮</w:t>
            </w:r>
          </w:p>
        </w:tc>
        <w:tc>
          <w:tcPr>
            <w:tcW w:w="692" w:type="dxa"/>
            <w:shd w:val="clear" w:color="auto" w:fill="auto"/>
            <w:tcMar>
              <w:top w:w="15" w:type="dxa"/>
              <w:left w:w="15" w:type="dxa"/>
              <w:right w:w="15" w:type="dxa"/>
            </w:tcMar>
            <w:vAlign w:val="center"/>
          </w:tcPr>
          <w:p>
            <w:pPr>
              <w:pStyle w:val="24"/>
              <w:bidi w:val="0"/>
            </w:pPr>
            <w:r>
              <w:t>石油类</w:t>
            </w:r>
          </w:p>
        </w:tc>
        <w:tc>
          <w:tcPr>
            <w:tcW w:w="663" w:type="dxa"/>
            <w:shd w:val="clear" w:color="auto" w:fill="auto"/>
            <w:tcMar>
              <w:top w:w="15" w:type="dxa"/>
              <w:left w:w="15" w:type="dxa"/>
              <w:right w:w="15" w:type="dxa"/>
            </w:tcMar>
            <w:vAlign w:val="center"/>
          </w:tcPr>
          <w:p>
            <w:pPr>
              <w:pStyle w:val="24"/>
              <w:bidi w:val="0"/>
            </w:pPr>
            <w:r>
              <w:t>CO</w:t>
            </w:r>
            <w:r>
              <w:rPr>
                <w:vertAlign w:val="subscript"/>
              </w:rPr>
              <w:t>3</w:t>
            </w:r>
            <w:r>
              <w:rPr>
                <w:vertAlign w:val="superscript"/>
              </w:rPr>
              <w:t>2-</w:t>
            </w:r>
          </w:p>
        </w:tc>
        <w:tc>
          <w:tcPr>
            <w:tcW w:w="678" w:type="dxa"/>
            <w:shd w:val="clear" w:color="auto" w:fill="auto"/>
            <w:tcMar>
              <w:top w:w="15" w:type="dxa"/>
              <w:left w:w="15" w:type="dxa"/>
              <w:right w:w="15" w:type="dxa"/>
            </w:tcMar>
            <w:vAlign w:val="center"/>
          </w:tcPr>
          <w:p>
            <w:pPr>
              <w:pStyle w:val="24"/>
              <w:bidi w:val="0"/>
            </w:pPr>
            <w:r>
              <w:t>HCO</w:t>
            </w:r>
            <w:r>
              <w:rPr>
                <w:vertAlign w:val="superscript"/>
              </w:rPr>
              <w:t>3-</w:t>
            </w:r>
          </w:p>
        </w:tc>
        <w:tc>
          <w:tcPr>
            <w:tcW w:w="911" w:type="dxa"/>
            <w:shd w:val="clear" w:color="auto" w:fill="auto"/>
            <w:tcMar>
              <w:top w:w="15" w:type="dxa"/>
              <w:left w:w="15" w:type="dxa"/>
              <w:right w:w="15" w:type="dxa"/>
            </w:tcMar>
            <w:vAlign w:val="center"/>
          </w:tcPr>
          <w:p>
            <w:pPr>
              <w:pStyle w:val="24"/>
              <w:bidi w:val="0"/>
            </w:pPr>
            <w:r>
              <w:t>Na</w:t>
            </w:r>
            <w:r>
              <w:rPr>
                <w:vertAlign w:val="superscript"/>
              </w:rPr>
              <w:t>+</w:t>
            </w:r>
          </w:p>
        </w:tc>
        <w:tc>
          <w:tcPr>
            <w:tcW w:w="634" w:type="dxa"/>
            <w:shd w:val="clear" w:color="auto" w:fill="auto"/>
            <w:tcMar>
              <w:top w:w="15" w:type="dxa"/>
              <w:left w:w="15" w:type="dxa"/>
              <w:right w:w="15" w:type="dxa"/>
            </w:tcMar>
            <w:vAlign w:val="center"/>
          </w:tcPr>
          <w:p>
            <w:pPr>
              <w:pStyle w:val="24"/>
              <w:bidi w:val="0"/>
            </w:pPr>
            <w:r>
              <w:t>K</w:t>
            </w:r>
            <w:r>
              <w:rPr>
                <w:vertAlign w:val="superscript"/>
              </w:rPr>
              <w:t>+</w:t>
            </w:r>
          </w:p>
        </w:tc>
        <w:tc>
          <w:tcPr>
            <w:tcW w:w="678" w:type="dxa"/>
            <w:shd w:val="clear" w:color="auto" w:fill="auto"/>
            <w:tcMar>
              <w:top w:w="15" w:type="dxa"/>
              <w:left w:w="15" w:type="dxa"/>
              <w:right w:w="15" w:type="dxa"/>
            </w:tcMar>
            <w:vAlign w:val="center"/>
          </w:tcPr>
          <w:p>
            <w:pPr>
              <w:pStyle w:val="24"/>
              <w:bidi w:val="0"/>
            </w:pPr>
            <w:r>
              <w:t>Mg</w:t>
            </w:r>
            <w:r>
              <w:rPr>
                <w:vertAlign w:val="superscript"/>
              </w:rPr>
              <w:t>2+</w:t>
            </w:r>
          </w:p>
        </w:tc>
        <w:tc>
          <w:tcPr>
            <w:tcW w:w="619" w:type="dxa"/>
            <w:shd w:val="clear" w:color="auto" w:fill="auto"/>
            <w:tcMar>
              <w:top w:w="15" w:type="dxa"/>
              <w:left w:w="15" w:type="dxa"/>
              <w:right w:w="15" w:type="dxa"/>
            </w:tcMar>
            <w:vAlign w:val="center"/>
          </w:tcPr>
          <w:p>
            <w:pPr>
              <w:pStyle w:val="24"/>
              <w:bidi w:val="0"/>
            </w:pPr>
            <w:r>
              <w:t>Ca</w:t>
            </w:r>
            <w:r>
              <w:rPr>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2" w:hRule="atLeast"/>
          <w:tblHeader/>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vMerge w:val="continue"/>
            <w:shd w:val="clear" w:color="auto" w:fill="auto"/>
            <w:tcMar>
              <w:top w:w="15" w:type="dxa"/>
              <w:left w:w="15" w:type="dxa"/>
              <w:right w:w="15" w:type="dxa"/>
            </w:tcMar>
            <w:vAlign w:val="center"/>
          </w:tcPr>
          <w:p>
            <w:pPr>
              <w:pStyle w:val="24"/>
              <w:bidi w:val="0"/>
            </w:pPr>
          </w:p>
        </w:tc>
        <w:tc>
          <w:tcPr>
            <w:tcW w:w="721" w:type="dxa"/>
            <w:shd w:val="clear" w:color="auto" w:fill="auto"/>
            <w:tcMar>
              <w:top w:w="15" w:type="dxa"/>
              <w:left w:w="15" w:type="dxa"/>
              <w:right w:w="15" w:type="dxa"/>
            </w:tcMar>
            <w:vAlign w:val="center"/>
          </w:tcPr>
          <w:p>
            <w:pPr>
              <w:pStyle w:val="24"/>
              <w:bidi w:val="0"/>
            </w:pPr>
            <w:r>
              <w:t>无量纲</w:t>
            </w:r>
          </w:p>
        </w:tc>
        <w:tc>
          <w:tcPr>
            <w:tcW w:w="1098" w:type="dxa"/>
            <w:shd w:val="clear" w:color="auto" w:fill="auto"/>
            <w:tcMar>
              <w:top w:w="15" w:type="dxa"/>
              <w:left w:w="15" w:type="dxa"/>
              <w:right w:w="15" w:type="dxa"/>
            </w:tcMar>
            <w:vAlign w:val="center"/>
          </w:tcPr>
          <w:p>
            <w:pPr>
              <w:pStyle w:val="24"/>
              <w:bidi w:val="0"/>
            </w:pPr>
            <w:r>
              <w:t>mg/L</w:t>
            </w:r>
          </w:p>
        </w:tc>
        <w:tc>
          <w:tcPr>
            <w:tcW w:w="1110" w:type="dxa"/>
            <w:shd w:val="clear" w:color="auto" w:fill="auto"/>
            <w:tcMar>
              <w:top w:w="15" w:type="dxa"/>
              <w:left w:w="15" w:type="dxa"/>
              <w:right w:w="15" w:type="dxa"/>
            </w:tcMar>
            <w:vAlign w:val="center"/>
          </w:tcPr>
          <w:p>
            <w:pPr>
              <w:pStyle w:val="24"/>
              <w:bidi w:val="0"/>
            </w:pPr>
            <w:r>
              <w:t>mg/L</w:t>
            </w:r>
          </w:p>
        </w:tc>
        <w:tc>
          <w:tcPr>
            <w:tcW w:w="955" w:type="dxa"/>
            <w:shd w:val="clear" w:color="auto" w:fill="auto"/>
            <w:tcMar>
              <w:top w:w="15" w:type="dxa"/>
              <w:left w:w="15" w:type="dxa"/>
              <w:right w:w="15" w:type="dxa"/>
            </w:tcMar>
            <w:vAlign w:val="center"/>
          </w:tcPr>
          <w:p>
            <w:pPr>
              <w:pStyle w:val="24"/>
              <w:bidi w:val="0"/>
            </w:pPr>
            <w:r>
              <w:t>mg/L</w:t>
            </w:r>
          </w:p>
        </w:tc>
        <w:tc>
          <w:tcPr>
            <w:tcW w:w="824" w:type="dxa"/>
            <w:shd w:val="clear" w:color="auto" w:fill="auto"/>
            <w:tcMar>
              <w:top w:w="15" w:type="dxa"/>
              <w:left w:w="15" w:type="dxa"/>
              <w:right w:w="15" w:type="dxa"/>
            </w:tcMar>
            <w:vAlign w:val="center"/>
          </w:tcPr>
          <w:p>
            <w:pPr>
              <w:pStyle w:val="24"/>
              <w:bidi w:val="0"/>
            </w:pPr>
            <w:r>
              <w:t>mg/L</w:t>
            </w:r>
          </w:p>
        </w:tc>
        <w:tc>
          <w:tcPr>
            <w:tcW w:w="1040" w:type="dxa"/>
            <w:shd w:val="clear" w:color="auto" w:fill="auto"/>
            <w:tcMar>
              <w:top w:w="15" w:type="dxa"/>
              <w:left w:w="15" w:type="dxa"/>
              <w:right w:w="15" w:type="dxa"/>
            </w:tcMar>
            <w:vAlign w:val="center"/>
          </w:tcPr>
          <w:p>
            <w:pPr>
              <w:pStyle w:val="24"/>
              <w:bidi w:val="0"/>
            </w:pPr>
            <w:r>
              <w:t>mg/L</w:t>
            </w:r>
          </w:p>
        </w:tc>
        <w:tc>
          <w:tcPr>
            <w:tcW w:w="736" w:type="dxa"/>
            <w:shd w:val="clear" w:color="auto" w:fill="auto"/>
            <w:tcMar>
              <w:top w:w="15" w:type="dxa"/>
              <w:left w:w="15" w:type="dxa"/>
              <w:right w:w="15" w:type="dxa"/>
            </w:tcMar>
            <w:vAlign w:val="center"/>
          </w:tcPr>
          <w:p>
            <w:pPr>
              <w:pStyle w:val="24"/>
              <w:bidi w:val="0"/>
            </w:pPr>
            <w:r>
              <w:t>mg/L</w:t>
            </w:r>
          </w:p>
        </w:tc>
        <w:tc>
          <w:tcPr>
            <w:tcW w:w="692" w:type="dxa"/>
            <w:shd w:val="clear" w:color="auto" w:fill="auto"/>
            <w:tcMar>
              <w:top w:w="15" w:type="dxa"/>
              <w:left w:w="15" w:type="dxa"/>
              <w:right w:w="15" w:type="dxa"/>
            </w:tcMar>
            <w:vAlign w:val="center"/>
          </w:tcPr>
          <w:p>
            <w:pPr>
              <w:pStyle w:val="24"/>
              <w:bidi w:val="0"/>
            </w:pPr>
            <w:r>
              <w:t>mg/L</w:t>
            </w:r>
          </w:p>
        </w:tc>
        <w:tc>
          <w:tcPr>
            <w:tcW w:w="692" w:type="dxa"/>
            <w:shd w:val="clear" w:color="auto" w:fill="auto"/>
            <w:tcMar>
              <w:top w:w="15" w:type="dxa"/>
              <w:left w:w="15" w:type="dxa"/>
              <w:right w:w="15" w:type="dxa"/>
            </w:tcMar>
            <w:vAlign w:val="center"/>
          </w:tcPr>
          <w:p>
            <w:pPr>
              <w:pStyle w:val="24"/>
              <w:bidi w:val="0"/>
            </w:pPr>
            <w:r>
              <w:t>mg/L</w:t>
            </w:r>
          </w:p>
        </w:tc>
        <w:tc>
          <w:tcPr>
            <w:tcW w:w="663" w:type="dxa"/>
            <w:shd w:val="clear" w:color="auto" w:fill="auto"/>
            <w:tcMar>
              <w:top w:w="15" w:type="dxa"/>
              <w:left w:w="15" w:type="dxa"/>
              <w:right w:w="15" w:type="dxa"/>
            </w:tcMar>
            <w:vAlign w:val="center"/>
          </w:tcPr>
          <w:p>
            <w:pPr>
              <w:pStyle w:val="24"/>
              <w:bidi w:val="0"/>
            </w:pPr>
            <w:r>
              <w:t>mg/L</w:t>
            </w:r>
          </w:p>
        </w:tc>
        <w:tc>
          <w:tcPr>
            <w:tcW w:w="678" w:type="dxa"/>
            <w:shd w:val="clear" w:color="auto" w:fill="auto"/>
            <w:tcMar>
              <w:top w:w="15" w:type="dxa"/>
              <w:left w:w="15" w:type="dxa"/>
              <w:right w:w="15" w:type="dxa"/>
            </w:tcMar>
            <w:vAlign w:val="center"/>
          </w:tcPr>
          <w:p>
            <w:pPr>
              <w:pStyle w:val="24"/>
              <w:bidi w:val="0"/>
            </w:pPr>
            <w:r>
              <w:t>mg/L</w:t>
            </w:r>
          </w:p>
        </w:tc>
        <w:tc>
          <w:tcPr>
            <w:tcW w:w="911" w:type="dxa"/>
            <w:shd w:val="clear" w:color="auto" w:fill="auto"/>
            <w:tcMar>
              <w:top w:w="15" w:type="dxa"/>
              <w:left w:w="15" w:type="dxa"/>
              <w:right w:w="15" w:type="dxa"/>
            </w:tcMar>
            <w:vAlign w:val="center"/>
          </w:tcPr>
          <w:p>
            <w:pPr>
              <w:pStyle w:val="24"/>
              <w:bidi w:val="0"/>
            </w:pPr>
            <w:r>
              <w:t>mg/L</w:t>
            </w:r>
          </w:p>
        </w:tc>
        <w:tc>
          <w:tcPr>
            <w:tcW w:w="634" w:type="dxa"/>
            <w:shd w:val="clear" w:color="auto" w:fill="auto"/>
            <w:tcMar>
              <w:top w:w="15" w:type="dxa"/>
              <w:left w:w="15" w:type="dxa"/>
              <w:right w:w="15" w:type="dxa"/>
            </w:tcMar>
            <w:vAlign w:val="center"/>
          </w:tcPr>
          <w:p>
            <w:pPr>
              <w:pStyle w:val="24"/>
              <w:bidi w:val="0"/>
            </w:pPr>
            <w:r>
              <w:t>mg/L</w:t>
            </w:r>
          </w:p>
        </w:tc>
        <w:tc>
          <w:tcPr>
            <w:tcW w:w="678" w:type="dxa"/>
            <w:shd w:val="clear" w:color="auto" w:fill="auto"/>
            <w:tcMar>
              <w:top w:w="15" w:type="dxa"/>
              <w:left w:w="15" w:type="dxa"/>
              <w:right w:w="15" w:type="dxa"/>
            </w:tcMar>
            <w:vAlign w:val="center"/>
          </w:tcPr>
          <w:p>
            <w:pPr>
              <w:pStyle w:val="24"/>
              <w:bidi w:val="0"/>
            </w:pPr>
            <w:r>
              <w:t>mg/L</w:t>
            </w:r>
          </w:p>
        </w:tc>
        <w:tc>
          <w:tcPr>
            <w:tcW w:w="619" w:type="dxa"/>
            <w:shd w:val="clear" w:color="auto" w:fill="auto"/>
            <w:tcMar>
              <w:top w:w="15" w:type="dxa"/>
              <w:left w:w="15" w:type="dxa"/>
              <w:right w:w="15" w:type="dxa"/>
            </w:tcMar>
            <w:vAlign w:val="center"/>
          </w:tcPr>
          <w:p>
            <w:pPr>
              <w:pStyle w:val="24"/>
              <w:bidi w:val="0"/>
            </w:pPr>
            <w: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t>1</w:t>
            </w: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7.8</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1.74×10</w:t>
            </w:r>
            <w:r>
              <w:rPr>
                <w:rStyle w:val="31"/>
                <w:rFonts w:eastAsia="宋体"/>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1.50×10</w:t>
            </w:r>
            <w:r>
              <w:rPr>
                <w:rStyle w:val="31"/>
                <w:rFonts w:eastAsia="宋体"/>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4.90×10</w:t>
            </w:r>
            <w:r>
              <w:rPr>
                <w:rStyle w:val="31"/>
                <w:rFonts w:eastAsia="宋体"/>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4.74×10</w:t>
            </w:r>
            <w:r>
              <w:rPr>
                <w:rStyle w:val="31"/>
                <w:rFonts w:eastAsia="宋体"/>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4.1</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0.426</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245</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4.62×10</w:t>
            </w:r>
            <w:r>
              <w:rPr>
                <w:rStyle w:val="31"/>
                <w:rFonts w:eastAsia="宋体"/>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245</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442</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7.9</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1.33×10</w:t>
            </w:r>
            <w:r>
              <w:rPr>
                <w:rStyle w:val="31"/>
                <w:rFonts w:eastAsia="宋体"/>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1.28×10</w:t>
            </w:r>
            <w:r>
              <w:rPr>
                <w:rStyle w:val="31"/>
                <w:rFonts w:eastAsia="宋体"/>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4.30×10</w:t>
            </w:r>
            <w:r>
              <w:rPr>
                <w:rStyle w:val="31"/>
                <w:rFonts w:eastAsia="宋体"/>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4.10×10</w:t>
            </w:r>
            <w:r>
              <w:rPr>
                <w:rStyle w:val="31"/>
                <w:rFonts w:eastAsia="宋体"/>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4.6</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0.411</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213</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3.67×10</w:t>
            </w:r>
            <w:r>
              <w:rPr>
                <w:rStyle w:val="31"/>
                <w:rFonts w:eastAsia="宋体"/>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185</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331</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7.8</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1.37</w:t>
            </w:r>
            <w:r>
              <w:rPr>
                <w:rStyle w:val="33"/>
                <w:rFonts w:eastAsia="宋体"/>
                <w:sz w:val="20"/>
                <w:szCs w:val="20"/>
                <w:lang w:val="en-US" w:eastAsia="zh-CN" w:bidi="ar"/>
              </w:rPr>
              <w:t>×10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1.42×10</w:t>
            </w:r>
            <w:r>
              <w:rPr>
                <w:rFonts w:hint="default" w:ascii="Times New Roman" w:hAnsi="Times New Roman" w:eastAsia="宋体" w:cs="Times New Roman"/>
                <w:i w:val="0"/>
                <w:iCs w:val="0"/>
                <w:color w:val="000000"/>
                <w:kern w:val="0"/>
                <w:sz w:val="20"/>
                <w:szCs w:val="20"/>
                <w:u w:val="none"/>
                <w:vertAlign w:val="superscript"/>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4.74×10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4.52×10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4.5</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0.449</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195</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4.21</w:t>
            </w:r>
            <w:r>
              <w:rPr>
                <w:rStyle w:val="33"/>
                <w:rFonts w:eastAsia="宋体"/>
                <w:sz w:val="20"/>
                <w:szCs w:val="20"/>
                <w:lang w:val="en-US" w:eastAsia="zh-CN" w:bidi="ar"/>
              </w:rPr>
              <w:t>×10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191</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340</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7.8</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1.33</w:t>
            </w:r>
            <w:r>
              <w:rPr>
                <w:rStyle w:val="33"/>
                <w:rFonts w:eastAsia="宋体"/>
                <w:sz w:val="20"/>
                <w:szCs w:val="20"/>
                <w:lang w:val="en-US" w:eastAsia="zh-CN" w:bidi="ar"/>
              </w:rPr>
              <w:t>×10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1.26×10</w:t>
            </w:r>
            <w:r>
              <w:rPr>
                <w:rFonts w:hint="default" w:ascii="Times New Roman" w:hAnsi="Times New Roman" w:eastAsia="宋体" w:cs="Times New Roman"/>
                <w:i w:val="0"/>
                <w:iCs w:val="0"/>
                <w:color w:val="000000"/>
                <w:kern w:val="0"/>
                <w:sz w:val="20"/>
                <w:szCs w:val="20"/>
                <w:u w:val="none"/>
                <w:vertAlign w:val="superscript"/>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4.22×10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4.01×10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4.2</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0.438</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180</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3.68</w:t>
            </w:r>
            <w:r>
              <w:rPr>
                <w:rStyle w:val="33"/>
                <w:rFonts w:eastAsia="宋体"/>
                <w:sz w:val="20"/>
                <w:szCs w:val="20"/>
                <w:lang w:val="en-US" w:eastAsia="zh-CN" w:bidi="ar"/>
              </w:rPr>
              <w:t>×10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184</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333</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0"/>
                <w:szCs w:val="20"/>
              </w:rPr>
            </w:pPr>
            <w:r>
              <w:rPr>
                <w:rFonts w:hint="default" w:ascii="Times New Roman" w:hAnsi="Times New Roman" w:eastAsia="宋体" w:cs="Times New Roman"/>
                <w:i w:val="0"/>
                <w:iCs w:val="0"/>
                <w:color w:val="000000"/>
                <w:kern w:val="0"/>
                <w:sz w:val="20"/>
                <w:szCs w:val="20"/>
                <w:u w:val="none"/>
                <w:lang w:val="en-US" w:eastAsia="zh-CN" w:bidi="ar"/>
              </w:rPr>
              <w:t>122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721" w:type="dxa"/>
            <w:shd w:val="clear" w:color="auto" w:fill="auto"/>
            <w:tcMar>
              <w:top w:w="15" w:type="dxa"/>
              <w:left w:w="15" w:type="dxa"/>
              <w:right w:w="15" w:type="dxa"/>
            </w:tcMar>
            <w:vAlign w:val="center"/>
          </w:tcPr>
          <w:p>
            <w:pPr>
              <w:pStyle w:val="24"/>
              <w:bidi w:val="0"/>
            </w:pPr>
            <w:r>
              <w:rPr>
                <w:rFonts w:hint="eastAsia"/>
              </w:rPr>
              <w:t>6.5~8.5</w:t>
            </w:r>
          </w:p>
        </w:tc>
        <w:tc>
          <w:tcPr>
            <w:tcW w:w="1098" w:type="dxa"/>
            <w:shd w:val="clear" w:color="auto" w:fill="auto"/>
            <w:tcMar>
              <w:top w:w="15" w:type="dxa"/>
              <w:left w:w="15" w:type="dxa"/>
              <w:right w:w="15" w:type="dxa"/>
            </w:tcMar>
            <w:vAlign w:val="center"/>
          </w:tcPr>
          <w:p>
            <w:pPr>
              <w:pStyle w:val="24"/>
              <w:bidi w:val="0"/>
            </w:pPr>
            <w:r>
              <w:rPr>
                <w:rFonts w:hint="eastAsia"/>
              </w:rPr>
              <w:t>450</w:t>
            </w:r>
          </w:p>
        </w:tc>
        <w:tc>
          <w:tcPr>
            <w:tcW w:w="1110" w:type="dxa"/>
            <w:shd w:val="clear" w:color="auto" w:fill="auto"/>
            <w:tcMar>
              <w:top w:w="15" w:type="dxa"/>
              <w:left w:w="15" w:type="dxa"/>
              <w:right w:w="15" w:type="dxa"/>
            </w:tcMar>
            <w:vAlign w:val="center"/>
          </w:tcPr>
          <w:p>
            <w:pPr>
              <w:pStyle w:val="24"/>
              <w:bidi w:val="0"/>
            </w:pPr>
            <w:r>
              <w:rPr>
                <w:rFonts w:hint="eastAsia"/>
              </w:rPr>
              <w:t>1000</w:t>
            </w:r>
          </w:p>
        </w:tc>
        <w:tc>
          <w:tcPr>
            <w:tcW w:w="955" w:type="dxa"/>
            <w:shd w:val="clear" w:color="auto" w:fill="auto"/>
            <w:tcMar>
              <w:top w:w="15" w:type="dxa"/>
              <w:left w:w="15" w:type="dxa"/>
              <w:right w:w="15" w:type="dxa"/>
            </w:tcMar>
            <w:vAlign w:val="center"/>
          </w:tcPr>
          <w:p>
            <w:pPr>
              <w:pStyle w:val="24"/>
              <w:bidi w:val="0"/>
            </w:pPr>
            <w:r>
              <w:rPr>
                <w:rFonts w:hint="eastAsia"/>
              </w:rPr>
              <w:t>250</w:t>
            </w:r>
          </w:p>
        </w:tc>
        <w:tc>
          <w:tcPr>
            <w:tcW w:w="824" w:type="dxa"/>
            <w:shd w:val="clear" w:color="auto" w:fill="auto"/>
            <w:tcMar>
              <w:top w:w="15" w:type="dxa"/>
              <w:left w:w="15" w:type="dxa"/>
              <w:right w:w="15" w:type="dxa"/>
            </w:tcMar>
            <w:vAlign w:val="center"/>
          </w:tcPr>
          <w:p>
            <w:pPr>
              <w:pStyle w:val="24"/>
              <w:bidi w:val="0"/>
            </w:pPr>
            <w:r>
              <w:rPr>
                <w:rFonts w:hint="eastAsia"/>
              </w:rPr>
              <w:t>250</w:t>
            </w:r>
          </w:p>
        </w:tc>
        <w:tc>
          <w:tcPr>
            <w:tcW w:w="1040" w:type="dxa"/>
            <w:shd w:val="clear" w:color="auto" w:fill="auto"/>
            <w:tcMar>
              <w:top w:w="15" w:type="dxa"/>
              <w:left w:w="15" w:type="dxa"/>
              <w:right w:w="15" w:type="dxa"/>
            </w:tcMar>
            <w:vAlign w:val="center"/>
          </w:tcPr>
          <w:p>
            <w:pPr>
              <w:pStyle w:val="24"/>
              <w:bidi w:val="0"/>
            </w:pPr>
            <w:r>
              <w:rPr>
                <w:rFonts w:hint="eastAsia"/>
              </w:rPr>
              <w:t>0.002</w:t>
            </w:r>
          </w:p>
        </w:tc>
        <w:tc>
          <w:tcPr>
            <w:tcW w:w="736" w:type="dxa"/>
            <w:shd w:val="clear" w:color="auto" w:fill="auto"/>
            <w:tcMar>
              <w:top w:w="15" w:type="dxa"/>
              <w:left w:w="15" w:type="dxa"/>
              <w:right w:w="15" w:type="dxa"/>
            </w:tcMar>
            <w:vAlign w:val="center"/>
          </w:tcPr>
          <w:p>
            <w:pPr>
              <w:pStyle w:val="24"/>
              <w:bidi w:val="0"/>
            </w:pPr>
            <w:r>
              <w:rPr>
                <w:rFonts w:hint="eastAsia"/>
              </w:rPr>
              <w:t>3.0</w:t>
            </w:r>
          </w:p>
        </w:tc>
        <w:tc>
          <w:tcPr>
            <w:tcW w:w="692" w:type="dxa"/>
            <w:shd w:val="clear" w:color="auto" w:fill="auto"/>
            <w:tcMar>
              <w:top w:w="15" w:type="dxa"/>
              <w:left w:w="15" w:type="dxa"/>
              <w:right w:w="15" w:type="dxa"/>
            </w:tcMar>
            <w:vAlign w:val="center"/>
          </w:tcPr>
          <w:p>
            <w:pPr>
              <w:pStyle w:val="24"/>
              <w:bidi w:val="0"/>
            </w:pPr>
            <w:r>
              <w:rPr>
                <w:rFonts w:hint="eastAsia"/>
              </w:rPr>
              <w:t>0.50</w:t>
            </w:r>
          </w:p>
        </w:tc>
        <w:tc>
          <w:tcPr>
            <w:tcW w:w="692" w:type="dxa"/>
            <w:shd w:val="clear" w:color="auto" w:fill="auto"/>
            <w:tcMar>
              <w:top w:w="15" w:type="dxa"/>
              <w:left w:w="15" w:type="dxa"/>
              <w:right w:w="15" w:type="dxa"/>
            </w:tcMar>
            <w:vAlign w:val="center"/>
          </w:tcPr>
          <w:p>
            <w:pPr>
              <w:pStyle w:val="24"/>
              <w:bidi w:val="0"/>
            </w:pPr>
            <w:r>
              <w:rPr>
                <w:rFonts w:hint="eastAsia"/>
              </w:rPr>
              <w:t>0.3</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200</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721" w:type="dxa"/>
            <w:shd w:val="clear" w:color="auto" w:fill="auto"/>
            <w:tcMar>
              <w:top w:w="15" w:type="dxa"/>
              <w:left w:w="15" w:type="dxa"/>
              <w:right w:w="15" w:type="dxa"/>
            </w:tcMar>
            <w:vAlign w:val="center"/>
          </w:tcPr>
          <w:p>
            <w:pPr>
              <w:pStyle w:val="24"/>
              <w:bidi w:val="0"/>
            </w:pPr>
            <w:r>
              <w:rPr>
                <w:rFonts w:hint="eastAsia"/>
              </w:rPr>
              <w:t>达标</w:t>
            </w:r>
          </w:p>
        </w:tc>
        <w:tc>
          <w:tcPr>
            <w:tcW w:w="1098" w:type="dxa"/>
            <w:shd w:val="clear" w:color="auto" w:fill="auto"/>
            <w:tcMar>
              <w:top w:w="15" w:type="dxa"/>
              <w:left w:w="15" w:type="dxa"/>
              <w:right w:w="15" w:type="dxa"/>
            </w:tcMar>
            <w:vAlign w:val="center"/>
          </w:tcPr>
          <w:p>
            <w:pPr>
              <w:pStyle w:val="24"/>
              <w:bidi w:val="0"/>
            </w:pPr>
            <w:r>
              <w:rPr>
                <w:rFonts w:hint="eastAsia"/>
              </w:rPr>
              <w:t>超标</w:t>
            </w:r>
          </w:p>
        </w:tc>
        <w:tc>
          <w:tcPr>
            <w:tcW w:w="1110" w:type="dxa"/>
            <w:shd w:val="clear" w:color="auto" w:fill="auto"/>
            <w:tcMar>
              <w:top w:w="15" w:type="dxa"/>
              <w:left w:w="15" w:type="dxa"/>
              <w:right w:w="15" w:type="dxa"/>
            </w:tcMar>
            <w:vAlign w:val="center"/>
          </w:tcPr>
          <w:p>
            <w:pPr>
              <w:pStyle w:val="24"/>
              <w:bidi w:val="0"/>
            </w:pPr>
            <w:r>
              <w:rPr>
                <w:rFonts w:hint="eastAsia"/>
              </w:rPr>
              <w:t>超标</w:t>
            </w:r>
          </w:p>
        </w:tc>
        <w:tc>
          <w:tcPr>
            <w:tcW w:w="955" w:type="dxa"/>
            <w:shd w:val="clear" w:color="auto" w:fill="auto"/>
            <w:tcMar>
              <w:top w:w="15" w:type="dxa"/>
              <w:left w:w="15" w:type="dxa"/>
              <w:right w:w="15" w:type="dxa"/>
            </w:tcMar>
            <w:vAlign w:val="center"/>
          </w:tcPr>
          <w:p>
            <w:pPr>
              <w:pStyle w:val="24"/>
              <w:bidi w:val="0"/>
            </w:pPr>
            <w:r>
              <w:rPr>
                <w:rFonts w:hint="eastAsia"/>
              </w:rPr>
              <w:t>超标</w:t>
            </w:r>
          </w:p>
        </w:tc>
        <w:tc>
          <w:tcPr>
            <w:tcW w:w="824" w:type="dxa"/>
            <w:shd w:val="clear" w:color="auto" w:fill="auto"/>
            <w:tcMar>
              <w:top w:w="15" w:type="dxa"/>
              <w:left w:w="15" w:type="dxa"/>
              <w:right w:w="15" w:type="dxa"/>
            </w:tcMar>
            <w:vAlign w:val="center"/>
          </w:tcPr>
          <w:p>
            <w:pPr>
              <w:pStyle w:val="24"/>
              <w:bidi w:val="0"/>
            </w:pPr>
            <w:r>
              <w:rPr>
                <w:rFonts w:hint="eastAsia"/>
              </w:rPr>
              <w:t>超标</w:t>
            </w:r>
          </w:p>
        </w:tc>
        <w:tc>
          <w:tcPr>
            <w:tcW w:w="1040" w:type="dxa"/>
            <w:shd w:val="clear" w:color="auto" w:fill="auto"/>
            <w:tcMar>
              <w:top w:w="15" w:type="dxa"/>
              <w:left w:w="15" w:type="dxa"/>
              <w:right w:w="15" w:type="dxa"/>
            </w:tcMar>
            <w:vAlign w:val="center"/>
          </w:tcPr>
          <w:p>
            <w:pPr>
              <w:pStyle w:val="24"/>
              <w:bidi w:val="0"/>
            </w:pPr>
            <w:r>
              <w:rPr>
                <w:rFonts w:hint="eastAsia"/>
              </w:rPr>
              <w:t>达标</w:t>
            </w:r>
          </w:p>
        </w:tc>
        <w:tc>
          <w:tcPr>
            <w:tcW w:w="736" w:type="dxa"/>
            <w:shd w:val="clear" w:color="auto" w:fill="auto"/>
            <w:tcMar>
              <w:top w:w="15" w:type="dxa"/>
              <w:left w:w="15" w:type="dxa"/>
              <w:right w:w="15" w:type="dxa"/>
            </w:tcMar>
            <w:vAlign w:val="center"/>
          </w:tcPr>
          <w:p>
            <w:pPr>
              <w:pStyle w:val="24"/>
              <w:bidi w:val="0"/>
            </w:pPr>
            <w:r>
              <w:rPr>
                <w:rFonts w:hint="eastAsia"/>
              </w:rPr>
              <w:t>超标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超标</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t>2</w:t>
            </w: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lang w:val="en-US"/>
              </w:rPr>
            </w:pPr>
            <w:r>
              <w:rPr>
                <w:rFonts w:hint="default" w:ascii="Times New Roman" w:hAnsi="Times New Roman" w:eastAsia="宋体" w:cs="Times New Roman"/>
                <w:i w:val="0"/>
                <w:iCs w:val="0"/>
                <w:color w:val="000000"/>
                <w:kern w:val="0"/>
                <w:sz w:val="20"/>
                <w:szCs w:val="20"/>
                <w:u w:val="none"/>
                <w:lang w:val="en-US" w:eastAsia="zh-CN" w:bidi="ar"/>
              </w:rPr>
              <w:t>8</w:t>
            </w:r>
            <w:r>
              <w:rPr>
                <w:rFonts w:hint="eastAsia" w:ascii="Times New Roman" w:hAnsi="Times New Roman" w:eastAsia="宋体" w:cs="Times New Roman"/>
                <w:i w:val="0"/>
                <w:iCs w:val="0"/>
                <w:color w:val="000000"/>
                <w:kern w:val="0"/>
                <w:sz w:val="20"/>
                <w:szCs w:val="20"/>
                <w:u w:val="none"/>
                <w:lang w:val="en-US" w:eastAsia="zh-CN" w:bidi="ar"/>
              </w:rPr>
              <w:t>.0</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eastAsia="宋体"/>
                <w:lang w:val="en-US" w:eastAsia="zh-CN"/>
              </w:rPr>
            </w:pPr>
            <w:r>
              <w:rPr>
                <w:rFonts w:hint="default" w:ascii="Times New Roman" w:hAnsi="Times New Roman" w:eastAsia="宋体" w:cs="Times New Roman"/>
                <w:i w:val="0"/>
                <w:iCs w:val="0"/>
                <w:color w:val="000000"/>
                <w:kern w:val="0"/>
                <w:sz w:val="20"/>
                <w:szCs w:val="20"/>
                <w:u w:val="none"/>
                <w:lang w:val="en-US" w:eastAsia="zh-CN" w:bidi="ar"/>
              </w:rPr>
              <w:t>909</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8.57×10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2.60×10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2.72×10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3.4</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0.581</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266</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2.66×10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148</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230</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76.7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lang w:val="en-US"/>
              </w:rPr>
            </w:pPr>
            <w:r>
              <w:rPr>
                <w:rFonts w:hint="default" w:ascii="Times New Roman" w:hAnsi="Times New Roman" w:eastAsia="宋体" w:cs="Times New Roman"/>
                <w:i w:val="0"/>
                <w:iCs w:val="0"/>
                <w:color w:val="000000"/>
                <w:kern w:val="0"/>
                <w:sz w:val="20"/>
                <w:szCs w:val="20"/>
                <w:u w:val="none"/>
                <w:lang w:val="en-US" w:eastAsia="zh-CN" w:bidi="ar"/>
              </w:rPr>
              <w:t>8</w:t>
            </w:r>
            <w:r>
              <w:rPr>
                <w:rFonts w:hint="eastAsia" w:ascii="Times New Roman" w:hAnsi="Times New Roman" w:eastAsia="宋体" w:cs="Times New Roman"/>
                <w:i w:val="0"/>
                <w:iCs w:val="0"/>
                <w:color w:val="000000"/>
                <w:kern w:val="0"/>
                <w:sz w:val="20"/>
                <w:szCs w:val="20"/>
                <w:u w:val="none"/>
                <w:lang w:val="en-US" w:eastAsia="zh-CN" w:bidi="ar"/>
              </w:rPr>
              <w:t>.0</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eastAsia="宋体"/>
                <w:lang w:val="en-US" w:eastAsia="zh-CN"/>
              </w:rPr>
            </w:pPr>
            <w:r>
              <w:rPr>
                <w:rFonts w:hint="default" w:ascii="Times New Roman" w:hAnsi="Times New Roman" w:eastAsia="宋体" w:cs="Times New Roman"/>
                <w:i w:val="0"/>
                <w:iCs w:val="0"/>
                <w:color w:val="000000"/>
                <w:kern w:val="0"/>
                <w:sz w:val="20"/>
                <w:szCs w:val="20"/>
                <w:u w:val="none"/>
                <w:lang w:val="en-US" w:eastAsia="zh-CN" w:bidi="ar"/>
              </w:rPr>
              <w:t>890</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8.03×10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2.35×10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2.61×10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3.9</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0.573</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255</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2.48×10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151</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232</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73.7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8.1</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eastAsia="宋体"/>
                <w:sz w:val="22"/>
                <w:szCs w:val="24"/>
                <w:lang w:val="en-US" w:eastAsia="zh-CN"/>
              </w:rPr>
            </w:pPr>
            <w:r>
              <w:rPr>
                <w:rFonts w:hint="default" w:ascii="Times New Roman" w:hAnsi="Times New Roman" w:eastAsia="宋体" w:cs="Times New Roman"/>
                <w:i w:val="0"/>
                <w:iCs w:val="0"/>
                <w:color w:val="000000"/>
                <w:kern w:val="0"/>
                <w:sz w:val="20"/>
                <w:szCs w:val="20"/>
                <w:u w:val="none"/>
                <w:lang w:val="en-US" w:eastAsia="zh-CN" w:bidi="ar"/>
              </w:rPr>
              <w:t>903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7.69×10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2.56×10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2.32×10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3.8</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0.598</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249</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2.17×10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160</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233</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76.2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8.1</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eastAsia="宋体"/>
                <w:sz w:val="22"/>
                <w:szCs w:val="24"/>
                <w:lang w:val="en-US" w:eastAsia="zh-CN"/>
              </w:rPr>
            </w:pPr>
            <w:r>
              <w:rPr>
                <w:rFonts w:hint="default" w:ascii="Times New Roman" w:hAnsi="Times New Roman" w:eastAsia="宋体" w:cs="Times New Roman"/>
                <w:i w:val="0"/>
                <w:iCs w:val="0"/>
                <w:color w:val="000000"/>
                <w:kern w:val="0"/>
                <w:sz w:val="20"/>
                <w:szCs w:val="20"/>
                <w:u w:val="none"/>
                <w:lang w:val="en-US" w:eastAsia="zh-CN" w:bidi="ar"/>
              </w:rPr>
              <w:t>915</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7.68×10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2.32×10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2.51×10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3.5</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0.592</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272</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2.24×10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159</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235</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76.8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721" w:type="dxa"/>
            <w:shd w:val="clear" w:color="auto" w:fill="auto"/>
            <w:tcMar>
              <w:top w:w="15" w:type="dxa"/>
              <w:left w:w="15" w:type="dxa"/>
              <w:right w:w="15" w:type="dxa"/>
            </w:tcMar>
            <w:vAlign w:val="center"/>
          </w:tcPr>
          <w:p>
            <w:pPr>
              <w:pStyle w:val="24"/>
              <w:bidi w:val="0"/>
            </w:pPr>
            <w:r>
              <w:rPr>
                <w:rFonts w:hint="eastAsia"/>
              </w:rPr>
              <w:t>6.5~8.5</w:t>
            </w:r>
          </w:p>
        </w:tc>
        <w:tc>
          <w:tcPr>
            <w:tcW w:w="1098" w:type="dxa"/>
            <w:shd w:val="clear" w:color="auto" w:fill="auto"/>
            <w:tcMar>
              <w:top w:w="15" w:type="dxa"/>
              <w:left w:w="15" w:type="dxa"/>
              <w:right w:w="15" w:type="dxa"/>
            </w:tcMar>
            <w:vAlign w:val="center"/>
          </w:tcPr>
          <w:p>
            <w:pPr>
              <w:pStyle w:val="24"/>
              <w:bidi w:val="0"/>
            </w:pPr>
            <w:r>
              <w:rPr>
                <w:rFonts w:hint="eastAsia"/>
              </w:rPr>
              <w:t>450</w:t>
            </w:r>
          </w:p>
        </w:tc>
        <w:tc>
          <w:tcPr>
            <w:tcW w:w="1110" w:type="dxa"/>
            <w:shd w:val="clear" w:color="auto" w:fill="auto"/>
            <w:tcMar>
              <w:top w:w="15" w:type="dxa"/>
              <w:left w:w="15" w:type="dxa"/>
              <w:right w:w="15" w:type="dxa"/>
            </w:tcMar>
            <w:vAlign w:val="center"/>
          </w:tcPr>
          <w:p>
            <w:pPr>
              <w:pStyle w:val="24"/>
              <w:bidi w:val="0"/>
            </w:pPr>
            <w:r>
              <w:rPr>
                <w:rFonts w:hint="eastAsia"/>
              </w:rPr>
              <w:t>1000</w:t>
            </w:r>
          </w:p>
        </w:tc>
        <w:tc>
          <w:tcPr>
            <w:tcW w:w="955" w:type="dxa"/>
            <w:shd w:val="clear" w:color="auto" w:fill="auto"/>
            <w:tcMar>
              <w:top w:w="15" w:type="dxa"/>
              <w:left w:w="15" w:type="dxa"/>
              <w:right w:w="15" w:type="dxa"/>
            </w:tcMar>
            <w:vAlign w:val="center"/>
          </w:tcPr>
          <w:p>
            <w:pPr>
              <w:pStyle w:val="24"/>
              <w:bidi w:val="0"/>
            </w:pPr>
            <w:r>
              <w:rPr>
                <w:rFonts w:hint="eastAsia"/>
              </w:rPr>
              <w:t>250</w:t>
            </w:r>
          </w:p>
        </w:tc>
        <w:tc>
          <w:tcPr>
            <w:tcW w:w="824" w:type="dxa"/>
            <w:shd w:val="clear" w:color="auto" w:fill="auto"/>
            <w:tcMar>
              <w:top w:w="15" w:type="dxa"/>
              <w:left w:w="15" w:type="dxa"/>
              <w:right w:w="15" w:type="dxa"/>
            </w:tcMar>
            <w:vAlign w:val="center"/>
          </w:tcPr>
          <w:p>
            <w:pPr>
              <w:pStyle w:val="24"/>
              <w:bidi w:val="0"/>
            </w:pPr>
            <w:r>
              <w:rPr>
                <w:rFonts w:hint="eastAsia"/>
              </w:rPr>
              <w:t>250</w:t>
            </w:r>
          </w:p>
        </w:tc>
        <w:tc>
          <w:tcPr>
            <w:tcW w:w="1040" w:type="dxa"/>
            <w:shd w:val="clear" w:color="auto" w:fill="auto"/>
            <w:tcMar>
              <w:top w:w="15" w:type="dxa"/>
              <w:left w:w="15" w:type="dxa"/>
              <w:right w:w="15" w:type="dxa"/>
            </w:tcMar>
            <w:vAlign w:val="center"/>
          </w:tcPr>
          <w:p>
            <w:pPr>
              <w:pStyle w:val="24"/>
              <w:bidi w:val="0"/>
            </w:pPr>
            <w:r>
              <w:rPr>
                <w:rFonts w:hint="eastAsia"/>
              </w:rPr>
              <w:t>0.002</w:t>
            </w:r>
          </w:p>
        </w:tc>
        <w:tc>
          <w:tcPr>
            <w:tcW w:w="736" w:type="dxa"/>
            <w:shd w:val="clear" w:color="auto" w:fill="auto"/>
            <w:tcMar>
              <w:top w:w="15" w:type="dxa"/>
              <w:left w:w="15" w:type="dxa"/>
              <w:right w:w="15" w:type="dxa"/>
            </w:tcMar>
            <w:vAlign w:val="center"/>
          </w:tcPr>
          <w:p>
            <w:pPr>
              <w:pStyle w:val="24"/>
              <w:bidi w:val="0"/>
            </w:pPr>
            <w:r>
              <w:rPr>
                <w:rFonts w:hint="eastAsia"/>
              </w:rPr>
              <w:t>3.0</w:t>
            </w:r>
          </w:p>
        </w:tc>
        <w:tc>
          <w:tcPr>
            <w:tcW w:w="692" w:type="dxa"/>
            <w:shd w:val="clear" w:color="auto" w:fill="auto"/>
            <w:tcMar>
              <w:top w:w="15" w:type="dxa"/>
              <w:left w:w="15" w:type="dxa"/>
              <w:right w:w="15" w:type="dxa"/>
            </w:tcMar>
            <w:vAlign w:val="center"/>
          </w:tcPr>
          <w:p>
            <w:pPr>
              <w:pStyle w:val="24"/>
              <w:bidi w:val="0"/>
            </w:pPr>
            <w:r>
              <w:rPr>
                <w:rFonts w:hint="eastAsia"/>
              </w:rPr>
              <w:t>0.50</w:t>
            </w:r>
          </w:p>
        </w:tc>
        <w:tc>
          <w:tcPr>
            <w:tcW w:w="692" w:type="dxa"/>
            <w:shd w:val="clear" w:color="auto" w:fill="auto"/>
            <w:tcMar>
              <w:top w:w="15" w:type="dxa"/>
              <w:left w:w="15" w:type="dxa"/>
              <w:right w:w="15" w:type="dxa"/>
            </w:tcMar>
            <w:vAlign w:val="center"/>
          </w:tcPr>
          <w:p>
            <w:pPr>
              <w:pStyle w:val="24"/>
              <w:bidi w:val="0"/>
            </w:pPr>
            <w:r>
              <w:rPr>
                <w:rFonts w:hint="eastAsia"/>
              </w:rPr>
              <w:t>0.3</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200</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721" w:type="dxa"/>
            <w:shd w:val="clear" w:color="auto" w:fill="auto"/>
            <w:tcMar>
              <w:top w:w="15" w:type="dxa"/>
              <w:left w:w="15" w:type="dxa"/>
              <w:right w:w="15" w:type="dxa"/>
            </w:tcMar>
            <w:vAlign w:val="center"/>
          </w:tcPr>
          <w:p>
            <w:pPr>
              <w:pStyle w:val="24"/>
              <w:bidi w:val="0"/>
            </w:pPr>
            <w:r>
              <w:rPr>
                <w:rFonts w:hint="eastAsia"/>
              </w:rPr>
              <w:t>达标</w:t>
            </w:r>
          </w:p>
        </w:tc>
        <w:tc>
          <w:tcPr>
            <w:tcW w:w="1098" w:type="dxa"/>
            <w:shd w:val="clear" w:color="auto" w:fill="auto"/>
            <w:tcMar>
              <w:top w:w="15" w:type="dxa"/>
              <w:left w:w="15" w:type="dxa"/>
              <w:right w:w="15" w:type="dxa"/>
            </w:tcMar>
            <w:vAlign w:val="center"/>
          </w:tcPr>
          <w:p>
            <w:pPr>
              <w:pStyle w:val="24"/>
              <w:bidi w:val="0"/>
            </w:pPr>
            <w:r>
              <w:rPr>
                <w:rFonts w:hint="eastAsia"/>
              </w:rPr>
              <w:t>超标</w:t>
            </w:r>
          </w:p>
        </w:tc>
        <w:tc>
          <w:tcPr>
            <w:tcW w:w="1110" w:type="dxa"/>
            <w:shd w:val="clear" w:color="auto" w:fill="auto"/>
            <w:tcMar>
              <w:top w:w="15" w:type="dxa"/>
              <w:left w:w="15" w:type="dxa"/>
              <w:right w:w="15" w:type="dxa"/>
            </w:tcMar>
            <w:vAlign w:val="center"/>
          </w:tcPr>
          <w:p>
            <w:pPr>
              <w:pStyle w:val="24"/>
              <w:bidi w:val="0"/>
            </w:pPr>
            <w:r>
              <w:rPr>
                <w:rFonts w:hint="eastAsia"/>
              </w:rPr>
              <w:t>超标</w:t>
            </w:r>
          </w:p>
        </w:tc>
        <w:tc>
          <w:tcPr>
            <w:tcW w:w="955" w:type="dxa"/>
            <w:shd w:val="clear" w:color="auto" w:fill="auto"/>
            <w:tcMar>
              <w:top w:w="15" w:type="dxa"/>
              <w:left w:w="15" w:type="dxa"/>
              <w:right w:w="15" w:type="dxa"/>
            </w:tcMar>
            <w:vAlign w:val="center"/>
          </w:tcPr>
          <w:p>
            <w:pPr>
              <w:pStyle w:val="24"/>
              <w:bidi w:val="0"/>
            </w:pPr>
            <w:r>
              <w:rPr>
                <w:rFonts w:hint="eastAsia"/>
              </w:rPr>
              <w:t>超标</w:t>
            </w:r>
          </w:p>
        </w:tc>
        <w:tc>
          <w:tcPr>
            <w:tcW w:w="824" w:type="dxa"/>
            <w:shd w:val="clear" w:color="auto" w:fill="auto"/>
            <w:tcMar>
              <w:top w:w="15" w:type="dxa"/>
              <w:left w:w="15" w:type="dxa"/>
              <w:right w:w="15" w:type="dxa"/>
            </w:tcMar>
            <w:vAlign w:val="center"/>
          </w:tcPr>
          <w:p>
            <w:pPr>
              <w:pStyle w:val="24"/>
              <w:bidi w:val="0"/>
            </w:pPr>
            <w:r>
              <w:rPr>
                <w:rFonts w:hint="eastAsia"/>
              </w:rPr>
              <w:t>超标</w:t>
            </w:r>
          </w:p>
        </w:tc>
        <w:tc>
          <w:tcPr>
            <w:tcW w:w="1040" w:type="dxa"/>
            <w:shd w:val="clear" w:color="auto" w:fill="auto"/>
            <w:tcMar>
              <w:top w:w="15" w:type="dxa"/>
              <w:left w:w="15" w:type="dxa"/>
              <w:right w:w="15" w:type="dxa"/>
            </w:tcMar>
            <w:vAlign w:val="center"/>
          </w:tcPr>
          <w:p>
            <w:pPr>
              <w:pStyle w:val="24"/>
              <w:bidi w:val="0"/>
            </w:pPr>
            <w:r>
              <w:rPr>
                <w:rFonts w:hint="eastAsia"/>
              </w:rPr>
              <w:t>达标</w:t>
            </w:r>
          </w:p>
        </w:tc>
        <w:tc>
          <w:tcPr>
            <w:tcW w:w="736" w:type="dxa"/>
            <w:shd w:val="clear" w:color="auto" w:fill="auto"/>
            <w:tcMar>
              <w:top w:w="15" w:type="dxa"/>
              <w:left w:w="15" w:type="dxa"/>
              <w:right w:w="15" w:type="dxa"/>
            </w:tcMar>
            <w:vAlign w:val="center"/>
          </w:tcPr>
          <w:p>
            <w:pPr>
              <w:pStyle w:val="24"/>
              <w:bidi w:val="0"/>
            </w:pPr>
            <w:r>
              <w:rPr>
                <w:rFonts w:hint="eastAsia"/>
              </w:rPr>
              <w:t>超标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超标</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t>3</w:t>
            </w: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lang w:val="en-US"/>
              </w:rPr>
            </w:pPr>
            <w:r>
              <w:rPr>
                <w:rFonts w:hint="default" w:ascii="Times New Roman" w:hAnsi="Times New Roman" w:eastAsia="宋体" w:cs="Times New Roman"/>
                <w:i w:val="0"/>
                <w:iCs w:val="0"/>
                <w:color w:val="000000"/>
                <w:kern w:val="0"/>
                <w:sz w:val="20"/>
                <w:szCs w:val="20"/>
                <w:u w:val="none"/>
                <w:lang w:val="en-US" w:eastAsia="zh-CN" w:bidi="ar"/>
              </w:rPr>
              <w:t>8</w:t>
            </w:r>
            <w:r>
              <w:rPr>
                <w:rFonts w:hint="eastAsia" w:ascii="Times New Roman" w:hAnsi="Times New Roman" w:eastAsia="宋体" w:cs="Times New Roman"/>
                <w:i w:val="0"/>
                <w:iCs w:val="0"/>
                <w:color w:val="000000"/>
                <w:kern w:val="0"/>
                <w:sz w:val="20"/>
                <w:szCs w:val="20"/>
                <w:u w:val="none"/>
                <w:lang w:val="en-US" w:eastAsia="zh-CN" w:bidi="ar"/>
              </w:rPr>
              <w:t>.0</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217</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909</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205</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177</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2.5</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0.063</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417</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210</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39.8</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43.4</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lang w:val="en-US"/>
              </w:rPr>
            </w:pPr>
            <w:r>
              <w:rPr>
                <w:rFonts w:hint="default" w:ascii="Times New Roman" w:hAnsi="Times New Roman" w:eastAsia="宋体" w:cs="Times New Roman"/>
                <w:i w:val="0"/>
                <w:iCs w:val="0"/>
                <w:color w:val="000000"/>
                <w:kern w:val="0"/>
                <w:sz w:val="20"/>
                <w:szCs w:val="20"/>
                <w:u w:val="none"/>
                <w:lang w:val="en-US" w:eastAsia="zh-CN" w:bidi="ar"/>
              </w:rPr>
              <w:t>8</w:t>
            </w:r>
            <w:r>
              <w:rPr>
                <w:rFonts w:hint="eastAsia" w:ascii="Times New Roman" w:hAnsi="Times New Roman" w:eastAsia="宋体" w:cs="Times New Roman"/>
                <w:i w:val="0"/>
                <w:iCs w:val="0"/>
                <w:color w:val="000000"/>
                <w:kern w:val="0"/>
                <w:sz w:val="20"/>
                <w:szCs w:val="20"/>
                <w:u w:val="none"/>
                <w:lang w:val="en-US" w:eastAsia="zh-CN" w:bidi="ar"/>
              </w:rPr>
              <w:t>.0</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207</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857</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193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162</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2.9</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0.068</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400</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199</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37.2</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40.8</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sz w:val="22"/>
                <w:szCs w:val="24"/>
                <w:lang w:val="en-US"/>
              </w:rPr>
            </w:pPr>
            <w:r>
              <w:rPr>
                <w:rFonts w:hint="default" w:ascii="Times New Roman" w:hAnsi="Times New Roman" w:eastAsia="宋体" w:cs="Times New Roman"/>
                <w:i w:val="0"/>
                <w:iCs w:val="0"/>
                <w:color w:val="000000"/>
                <w:kern w:val="0"/>
                <w:sz w:val="20"/>
                <w:szCs w:val="20"/>
                <w:u w:val="none"/>
                <w:lang w:val="en-US" w:eastAsia="zh-CN" w:bidi="ar"/>
              </w:rPr>
              <w:t>8</w:t>
            </w:r>
            <w:r>
              <w:rPr>
                <w:rFonts w:hint="eastAsia" w:ascii="Times New Roman" w:hAnsi="Times New Roman" w:eastAsia="宋体" w:cs="Times New Roman"/>
                <w:i w:val="0"/>
                <w:iCs w:val="0"/>
                <w:color w:val="000000"/>
                <w:kern w:val="0"/>
                <w:sz w:val="20"/>
                <w:szCs w:val="20"/>
                <w:u w:val="none"/>
                <w:lang w:val="en-US" w:eastAsia="zh-CN" w:bidi="ar"/>
              </w:rPr>
              <w:t>.0</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212</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831</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232</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143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2.7</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sz w:val="22"/>
                <w:szCs w:val="24"/>
                <w:lang w:val="en-US"/>
              </w:rPr>
            </w:pPr>
            <w:r>
              <w:rPr>
                <w:rFonts w:hint="default" w:ascii="Times New Roman" w:hAnsi="Times New Roman" w:eastAsia="宋体" w:cs="Times New Roman"/>
                <w:i w:val="0"/>
                <w:iCs w:val="0"/>
                <w:color w:val="000000"/>
                <w:kern w:val="0"/>
                <w:sz w:val="20"/>
                <w:szCs w:val="20"/>
                <w:u w:val="none"/>
                <w:lang w:val="en-US" w:eastAsia="zh-CN" w:bidi="ar"/>
              </w:rPr>
              <w:t>0.08</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277</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207</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40.8</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41.1</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sz w:val="22"/>
                <w:szCs w:val="24"/>
                <w:lang w:val="en-US"/>
              </w:rPr>
            </w:pPr>
            <w:r>
              <w:rPr>
                <w:rFonts w:hint="default" w:ascii="Times New Roman" w:hAnsi="Times New Roman" w:eastAsia="宋体" w:cs="Times New Roman"/>
                <w:i w:val="0"/>
                <w:iCs w:val="0"/>
                <w:color w:val="000000"/>
                <w:kern w:val="0"/>
                <w:sz w:val="20"/>
                <w:szCs w:val="20"/>
                <w:u w:val="none"/>
                <w:lang w:val="en-US" w:eastAsia="zh-CN" w:bidi="ar"/>
              </w:rPr>
              <w:t>8</w:t>
            </w:r>
            <w:r>
              <w:rPr>
                <w:rFonts w:hint="eastAsia" w:ascii="Times New Roman" w:hAnsi="Times New Roman" w:eastAsia="宋体" w:cs="Times New Roman"/>
                <w:i w:val="0"/>
                <w:iCs w:val="0"/>
                <w:color w:val="000000"/>
                <w:kern w:val="0"/>
                <w:sz w:val="20"/>
                <w:szCs w:val="20"/>
                <w:u w:val="none"/>
                <w:lang w:val="en-US" w:eastAsia="zh-CN" w:bidi="ar"/>
              </w:rPr>
              <w:t>.0</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223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814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206</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122</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sz w:val="22"/>
                <w:szCs w:val="24"/>
                <w:lang w:val="en-US"/>
              </w:rPr>
            </w:pPr>
            <w:r>
              <w:rPr>
                <w:rFonts w:hint="default" w:ascii="Times New Roman" w:hAnsi="Times New Roman" w:eastAsia="宋体" w:cs="Times New Roman"/>
                <w:i w:val="0"/>
                <w:iCs w:val="0"/>
                <w:color w:val="000000"/>
                <w:kern w:val="0"/>
                <w:sz w:val="20"/>
                <w:szCs w:val="20"/>
                <w:u w:val="none"/>
                <w:lang w:val="en-US" w:eastAsia="zh-CN" w:bidi="ar"/>
              </w:rPr>
              <w:t>3</w:t>
            </w:r>
            <w:r>
              <w:rPr>
                <w:rFonts w:hint="eastAsia" w:ascii="Times New Roman" w:hAnsi="Times New Roman" w:eastAsia="宋体" w:cs="Times New Roman"/>
                <w:i w:val="0"/>
                <w:iCs w:val="0"/>
                <w:color w:val="000000"/>
                <w:kern w:val="0"/>
                <w:sz w:val="20"/>
                <w:szCs w:val="20"/>
                <w:u w:val="none"/>
                <w:lang w:val="en-US" w:eastAsia="zh-CN" w:bidi="ar"/>
              </w:rPr>
              <w:t>.0</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0.074</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355</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196</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40.5</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41.6</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24.6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721" w:type="dxa"/>
            <w:shd w:val="clear" w:color="auto" w:fill="auto"/>
            <w:tcMar>
              <w:top w:w="15" w:type="dxa"/>
              <w:left w:w="15" w:type="dxa"/>
              <w:right w:w="15" w:type="dxa"/>
            </w:tcMar>
            <w:vAlign w:val="center"/>
          </w:tcPr>
          <w:p>
            <w:pPr>
              <w:pStyle w:val="24"/>
              <w:bidi w:val="0"/>
            </w:pPr>
            <w:r>
              <w:rPr>
                <w:rFonts w:hint="eastAsia"/>
              </w:rPr>
              <w:t>6.5~8.5</w:t>
            </w:r>
          </w:p>
        </w:tc>
        <w:tc>
          <w:tcPr>
            <w:tcW w:w="1098" w:type="dxa"/>
            <w:shd w:val="clear" w:color="auto" w:fill="auto"/>
            <w:tcMar>
              <w:top w:w="15" w:type="dxa"/>
              <w:left w:w="15" w:type="dxa"/>
              <w:right w:w="15" w:type="dxa"/>
            </w:tcMar>
            <w:vAlign w:val="center"/>
          </w:tcPr>
          <w:p>
            <w:pPr>
              <w:pStyle w:val="24"/>
              <w:bidi w:val="0"/>
            </w:pPr>
            <w:r>
              <w:rPr>
                <w:rFonts w:hint="eastAsia"/>
              </w:rPr>
              <w:t>450</w:t>
            </w:r>
          </w:p>
        </w:tc>
        <w:tc>
          <w:tcPr>
            <w:tcW w:w="1110" w:type="dxa"/>
            <w:shd w:val="clear" w:color="auto" w:fill="auto"/>
            <w:tcMar>
              <w:top w:w="15" w:type="dxa"/>
              <w:left w:w="15" w:type="dxa"/>
              <w:right w:w="15" w:type="dxa"/>
            </w:tcMar>
            <w:vAlign w:val="center"/>
          </w:tcPr>
          <w:p>
            <w:pPr>
              <w:pStyle w:val="24"/>
              <w:bidi w:val="0"/>
            </w:pPr>
            <w:r>
              <w:rPr>
                <w:rFonts w:hint="eastAsia"/>
              </w:rPr>
              <w:t>1000</w:t>
            </w:r>
          </w:p>
        </w:tc>
        <w:tc>
          <w:tcPr>
            <w:tcW w:w="955" w:type="dxa"/>
            <w:shd w:val="clear" w:color="auto" w:fill="auto"/>
            <w:tcMar>
              <w:top w:w="15" w:type="dxa"/>
              <w:left w:w="15" w:type="dxa"/>
              <w:right w:w="15" w:type="dxa"/>
            </w:tcMar>
            <w:vAlign w:val="center"/>
          </w:tcPr>
          <w:p>
            <w:pPr>
              <w:pStyle w:val="24"/>
              <w:bidi w:val="0"/>
            </w:pPr>
            <w:r>
              <w:rPr>
                <w:rFonts w:hint="eastAsia"/>
              </w:rPr>
              <w:t>250</w:t>
            </w:r>
          </w:p>
        </w:tc>
        <w:tc>
          <w:tcPr>
            <w:tcW w:w="824" w:type="dxa"/>
            <w:shd w:val="clear" w:color="auto" w:fill="auto"/>
            <w:tcMar>
              <w:top w:w="15" w:type="dxa"/>
              <w:left w:w="15" w:type="dxa"/>
              <w:right w:w="15" w:type="dxa"/>
            </w:tcMar>
            <w:vAlign w:val="center"/>
          </w:tcPr>
          <w:p>
            <w:pPr>
              <w:pStyle w:val="24"/>
              <w:bidi w:val="0"/>
            </w:pPr>
            <w:r>
              <w:rPr>
                <w:rFonts w:hint="eastAsia"/>
              </w:rPr>
              <w:t>250</w:t>
            </w:r>
          </w:p>
        </w:tc>
        <w:tc>
          <w:tcPr>
            <w:tcW w:w="1040" w:type="dxa"/>
            <w:shd w:val="clear" w:color="auto" w:fill="auto"/>
            <w:tcMar>
              <w:top w:w="15" w:type="dxa"/>
              <w:left w:w="15" w:type="dxa"/>
              <w:right w:w="15" w:type="dxa"/>
            </w:tcMar>
            <w:vAlign w:val="center"/>
          </w:tcPr>
          <w:p>
            <w:pPr>
              <w:pStyle w:val="24"/>
              <w:bidi w:val="0"/>
            </w:pPr>
            <w:r>
              <w:rPr>
                <w:rFonts w:hint="eastAsia"/>
              </w:rPr>
              <w:t>0.002</w:t>
            </w:r>
          </w:p>
        </w:tc>
        <w:tc>
          <w:tcPr>
            <w:tcW w:w="736" w:type="dxa"/>
            <w:shd w:val="clear" w:color="auto" w:fill="auto"/>
            <w:tcMar>
              <w:top w:w="15" w:type="dxa"/>
              <w:left w:w="15" w:type="dxa"/>
              <w:right w:w="15" w:type="dxa"/>
            </w:tcMar>
            <w:vAlign w:val="center"/>
          </w:tcPr>
          <w:p>
            <w:pPr>
              <w:pStyle w:val="24"/>
              <w:bidi w:val="0"/>
            </w:pPr>
            <w:r>
              <w:rPr>
                <w:rFonts w:hint="eastAsia"/>
              </w:rPr>
              <w:t>3.0</w:t>
            </w:r>
          </w:p>
        </w:tc>
        <w:tc>
          <w:tcPr>
            <w:tcW w:w="692" w:type="dxa"/>
            <w:shd w:val="clear" w:color="auto" w:fill="auto"/>
            <w:tcMar>
              <w:top w:w="15" w:type="dxa"/>
              <w:left w:w="15" w:type="dxa"/>
              <w:right w:w="15" w:type="dxa"/>
            </w:tcMar>
            <w:vAlign w:val="center"/>
          </w:tcPr>
          <w:p>
            <w:pPr>
              <w:pStyle w:val="24"/>
              <w:bidi w:val="0"/>
            </w:pPr>
            <w:r>
              <w:rPr>
                <w:rFonts w:hint="eastAsia"/>
              </w:rPr>
              <w:t>0.50</w:t>
            </w:r>
          </w:p>
        </w:tc>
        <w:tc>
          <w:tcPr>
            <w:tcW w:w="692" w:type="dxa"/>
            <w:shd w:val="clear" w:color="auto" w:fill="auto"/>
            <w:tcMar>
              <w:top w:w="15" w:type="dxa"/>
              <w:left w:w="15" w:type="dxa"/>
              <w:right w:w="15" w:type="dxa"/>
            </w:tcMar>
            <w:vAlign w:val="center"/>
          </w:tcPr>
          <w:p>
            <w:pPr>
              <w:pStyle w:val="24"/>
              <w:bidi w:val="0"/>
            </w:pPr>
            <w:r>
              <w:rPr>
                <w:rFonts w:hint="eastAsia"/>
              </w:rPr>
              <w:t>0.3</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200</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721" w:type="dxa"/>
            <w:shd w:val="clear" w:color="auto" w:fill="auto"/>
            <w:tcMar>
              <w:top w:w="15" w:type="dxa"/>
              <w:left w:w="15" w:type="dxa"/>
              <w:right w:w="15" w:type="dxa"/>
            </w:tcMar>
            <w:vAlign w:val="center"/>
          </w:tcPr>
          <w:p>
            <w:pPr>
              <w:pStyle w:val="24"/>
              <w:bidi w:val="0"/>
            </w:pPr>
            <w:r>
              <w:rPr>
                <w:rFonts w:hint="eastAsia"/>
              </w:rPr>
              <w:t>达标</w:t>
            </w:r>
          </w:p>
        </w:tc>
        <w:tc>
          <w:tcPr>
            <w:tcW w:w="1098" w:type="dxa"/>
            <w:shd w:val="clear" w:color="auto" w:fill="auto"/>
            <w:tcMar>
              <w:top w:w="15" w:type="dxa"/>
              <w:left w:w="15" w:type="dxa"/>
              <w:right w:w="15" w:type="dxa"/>
            </w:tcMar>
            <w:vAlign w:val="center"/>
          </w:tcPr>
          <w:p>
            <w:pPr>
              <w:pStyle w:val="24"/>
              <w:bidi w:val="0"/>
            </w:pPr>
            <w:r>
              <w:rPr>
                <w:rFonts w:hint="eastAsia"/>
              </w:rPr>
              <w:t>达标</w:t>
            </w:r>
          </w:p>
        </w:tc>
        <w:tc>
          <w:tcPr>
            <w:tcW w:w="1110" w:type="dxa"/>
            <w:shd w:val="clear" w:color="auto" w:fill="auto"/>
            <w:tcMar>
              <w:top w:w="15" w:type="dxa"/>
              <w:left w:w="15" w:type="dxa"/>
              <w:right w:w="15" w:type="dxa"/>
            </w:tcMar>
            <w:vAlign w:val="center"/>
          </w:tcPr>
          <w:p>
            <w:pPr>
              <w:pStyle w:val="24"/>
              <w:bidi w:val="0"/>
            </w:pPr>
            <w:r>
              <w:rPr>
                <w:rFonts w:hint="eastAsia"/>
              </w:rPr>
              <w:t>达标</w:t>
            </w:r>
          </w:p>
        </w:tc>
        <w:tc>
          <w:tcPr>
            <w:tcW w:w="955" w:type="dxa"/>
            <w:shd w:val="clear" w:color="auto" w:fill="auto"/>
            <w:tcMar>
              <w:top w:w="15" w:type="dxa"/>
              <w:left w:w="15" w:type="dxa"/>
              <w:right w:w="15" w:type="dxa"/>
            </w:tcMar>
            <w:vAlign w:val="center"/>
          </w:tcPr>
          <w:p>
            <w:pPr>
              <w:pStyle w:val="24"/>
              <w:bidi w:val="0"/>
            </w:pPr>
            <w:r>
              <w:rPr>
                <w:rFonts w:hint="eastAsia"/>
              </w:rPr>
              <w:t>达标</w:t>
            </w:r>
          </w:p>
        </w:tc>
        <w:tc>
          <w:tcPr>
            <w:tcW w:w="824" w:type="dxa"/>
            <w:shd w:val="clear" w:color="auto" w:fill="auto"/>
            <w:tcMar>
              <w:top w:w="15" w:type="dxa"/>
              <w:left w:w="15" w:type="dxa"/>
              <w:right w:w="15" w:type="dxa"/>
            </w:tcMar>
            <w:vAlign w:val="center"/>
          </w:tcPr>
          <w:p>
            <w:pPr>
              <w:pStyle w:val="24"/>
              <w:bidi w:val="0"/>
            </w:pPr>
            <w:r>
              <w:rPr>
                <w:rFonts w:hint="eastAsia"/>
              </w:rPr>
              <w:t>达标</w:t>
            </w:r>
          </w:p>
        </w:tc>
        <w:tc>
          <w:tcPr>
            <w:tcW w:w="1040" w:type="dxa"/>
            <w:shd w:val="clear" w:color="auto" w:fill="auto"/>
            <w:tcMar>
              <w:top w:w="15" w:type="dxa"/>
              <w:left w:w="15" w:type="dxa"/>
              <w:right w:w="15" w:type="dxa"/>
            </w:tcMar>
            <w:vAlign w:val="center"/>
          </w:tcPr>
          <w:p>
            <w:pPr>
              <w:pStyle w:val="24"/>
              <w:bidi w:val="0"/>
            </w:pPr>
            <w:r>
              <w:rPr>
                <w:rFonts w:hint="eastAsia"/>
              </w:rPr>
              <w:t>达标</w:t>
            </w:r>
          </w:p>
        </w:tc>
        <w:tc>
          <w:tcPr>
            <w:tcW w:w="736" w:type="dxa"/>
            <w:shd w:val="clear" w:color="auto" w:fill="auto"/>
            <w:tcMar>
              <w:top w:w="15" w:type="dxa"/>
              <w:left w:w="15" w:type="dxa"/>
              <w:right w:w="15" w:type="dxa"/>
            </w:tcMar>
            <w:vAlign w:val="center"/>
          </w:tcPr>
          <w:p>
            <w:pPr>
              <w:pStyle w:val="24"/>
              <w:bidi w:val="0"/>
            </w:pPr>
            <w:r>
              <w:rPr>
                <w:rFonts w:hint="eastAsia"/>
              </w:rPr>
              <w:t>达标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超标</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t>4</w:t>
            </w: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8.8</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48</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463</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59</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lang w:val="en-US"/>
              </w:rPr>
            </w:pPr>
            <w:r>
              <w:rPr>
                <w:rFonts w:hint="default" w:ascii="Times New Roman" w:hAnsi="Times New Roman" w:eastAsia="宋体" w:cs="Times New Roman"/>
                <w:i w:val="0"/>
                <w:iCs w:val="0"/>
                <w:color w:val="000000"/>
                <w:kern w:val="0"/>
                <w:sz w:val="20"/>
                <w:szCs w:val="20"/>
                <w:u w:val="none"/>
                <w:lang w:val="en-US" w:eastAsia="zh-CN" w:bidi="ar"/>
              </w:rPr>
              <w:t>82</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2.1</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0.032</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51</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243</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186</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11.1</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1.65</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8.8</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41</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415</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52</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73.2</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1.9</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0.037</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45</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220</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167</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lang w:val="en-US"/>
              </w:rPr>
            </w:pPr>
            <w:r>
              <w:rPr>
                <w:rFonts w:hint="default" w:ascii="Times New Roman" w:hAnsi="Times New Roman" w:eastAsia="宋体" w:cs="Times New Roman"/>
                <w:i w:val="0"/>
                <w:iCs w:val="0"/>
                <w:color w:val="000000"/>
                <w:kern w:val="0"/>
                <w:sz w:val="20"/>
                <w:szCs w:val="20"/>
                <w:u w:val="none"/>
                <w:lang w:val="en-US" w:eastAsia="zh-CN" w:bidi="ar"/>
              </w:rPr>
              <w:t>10</w:t>
            </w:r>
            <w:r>
              <w:rPr>
                <w:rFonts w:hint="eastAsia" w:ascii="Times New Roman" w:hAnsi="Times New Roman" w:eastAsia="宋体" w:cs="Times New Roman"/>
                <w:i w:val="0"/>
                <w:iCs w:val="0"/>
                <w:color w:val="000000"/>
                <w:kern w:val="0"/>
                <w:sz w:val="20"/>
                <w:szCs w:val="20"/>
                <w:u w:val="none"/>
                <w:lang w:val="en-US" w:eastAsia="zh-CN" w:bidi="ar"/>
              </w:rPr>
              <w:t>.0</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1.21</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8.8</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45</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428</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45</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61.8</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2.5</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0.049</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51</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255</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174</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11.7</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1.14</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8.7</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40</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409</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42</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67.6</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2.2</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0.043</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41</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226</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167</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11.5</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1.07</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721" w:type="dxa"/>
            <w:shd w:val="clear" w:color="auto" w:fill="auto"/>
            <w:tcMar>
              <w:top w:w="15" w:type="dxa"/>
              <w:left w:w="15" w:type="dxa"/>
              <w:right w:w="15" w:type="dxa"/>
            </w:tcMar>
            <w:vAlign w:val="center"/>
          </w:tcPr>
          <w:p>
            <w:pPr>
              <w:pStyle w:val="24"/>
              <w:bidi w:val="0"/>
            </w:pPr>
            <w:r>
              <w:rPr>
                <w:rFonts w:hint="eastAsia"/>
              </w:rPr>
              <w:t>6.5~8.5</w:t>
            </w:r>
          </w:p>
        </w:tc>
        <w:tc>
          <w:tcPr>
            <w:tcW w:w="1098" w:type="dxa"/>
            <w:shd w:val="clear" w:color="auto" w:fill="auto"/>
            <w:tcMar>
              <w:top w:w="15" w:type="dxa"/>
              <w:left w:w="15" w:type="dxa"/>
              <w:right w:w="15" w:type="dxa"/>
            </w:tcMar>
            <w:vAlign w:val="center"/>
          </w:tcPr>
          <w:p>
            <w:pPr>
              <w:pStyle w:val="24"/>
              <w:bidi w:val="0"/>
            </w:pPr>
            <w:r>
              <w:rPr>
                <w:rFonts w:hint="eastAsia"/>
              </w:rPr>
              <w:t>450</w:t>
            </w:r>
          </w:p>
        </w:tc>
        <w:tc>
          <w:tcPr>
            <w:tcW w:w="1110" w:type="dxa"/>
            <w:shd w:val="clear" w:color="auto" w:fill="auto"/>
            <w:tcMar>
              <w:top w:w="15" w:type="dxa"/>
              <w:left w:w="15" w:type="dxa"/>
              <w:right w:w="15" w:type="dxa"/>
            </w:tcMar>
            <w:vAlign w:val="center"/>
          </w:tcPr>
          <w:p>
            <w:pPr>
              <w:pStyle w:val="24"/>
              <w:bidi w:val="0"/>
            </w:pPr>
            <w:r>
              <w:rPr>
                <w:rFonts w:hint="eastAsia"/>
              </w:rPr>
              <w:t>1000</w:t>
            </w:r>
          </w:p>
        </w:tc>
        <w:tc>
          <w:tcPr>
            <w:tcW w:w="955" w:type="dxa"/>
            <w:shd w:val="clear" w:color="auto" w:fill="auto"/>
            <w:tcMar>
              <w:top w:w="15" w:type="dxa"/>
              <w:left w:w="15" w:type="dxa"/>
              <w:right w:w="15" w:type="dxa"/>
            </w:tcMar>
            <w:vAlign w:val="center"/>
          </w:tcPr>
          <w:p>
            <w:pPr>
              <w:pStyle w:val="24"/>
              <w:bidi w:val="0"/>
            </w:pPr>
            <w:r>
              <w:rPr>
                <w:rFonts w:hint="eastAsia"/>
              </w:rPr>
              <w:t>250</w:t>
            </w:r>
          </w:p>
        </w:tc>
        <w:tc>
          <w:tcPr>
            <w:tcW w:w="824" w:type="dxa"/>
            <w:shd w:val="clear" w:color="auto" w:fill="auto"/>
            <w:tcMar>
              <w:top w:w="15" w:type="dxa"/>
              <w:left w:w="15" w:type="dxa"/>
              <w:right w:w="15" w:type="dxa"/>
            </w:tcMar>
            <w:vAlign w:val="center"/>
          </w:tcPr>
          <w:p>
            <w:pPr>
              <w:pStyle w:val="24"/>
              <w:bidi w:val="0"/>
            </w:pPr>
            <w:r>
              <w:rPr>
                <w:rFonts w:hint="eastAsia"/>
              </w:rPr>
              <w:t>250</w:t>
            </w:r>
          </w:p>
        </w:tc>
        <w:tc>
          <w:tcPr>
            <w:tcW w:w="1040" w:type="dxa"/>
            <w:shd w:val="clear" w:color="auto" w:fill="auto"/>
            <w:tcMar>
              <w:top w:w="15" w:type="dxa"/>
              <w:left w:w="15" w:type="dxa"/>
              <w:right w:w="15" w:type="dxa"/>
            </w:tcMar>
            <w:vAlign w:val="center"/>
          </w:tcPr>
          <w:p>
            <w:pPr>
              <w:pStyle w:val="24"/>
              <w:bidi w:val="0"/>
            </w:pPr>
            <w:r>
              <w:rPr>
                <w:rFonts w:hint="eastAsia"/>
              </w:rPr>
              <w:t>0.002</w:t>
            </w:r>
          </w:p>
        </w:tc>
        <w:tc>
          <w:tcPr>
            <w:tcW w:w="736" w:type="dxa"/>
            <w:shd w:val="clear" w:color="auto" w:fill="auto"/>
            <w:tcMar>
              <w:top w:w="15" w:type="dxa"/>
              <w:left w:w="15" w:type="dxa"/>
              <w:right w:w="15" w:type="dxa"/>
            </w:tcMar>
            <w:vAlign w:val="center"/>
          </w:tcPr>
          <w:p>
            <w:pPr>
              <w:pStyle w:val="24"/>
              <w:bidi w:val="0"/>
            </w:pPr>
            <w:r>
              <w:rPr>
                <w:rFonts w:hint="eastAsia"/>
              </w:rPr>
              <w:t>3.0</w:t>
            </w:r>
          </w:p>
        </w:tc>
        <w:tc>
          <w:tcPr>
            <w:tcW w:w="692" w:type="dxa"/>
            <w:shd w:val="clear" w:color="auto" w:fill="auto"/>
            <w:tcMar>
              <w:top w:w="15" w:type="dxa"/>
              <w:left w:w="15" w:type="dxa"/>
              <w:right w:w="15" w:type="dxa"/>
            </w:tcMar>
            <w:vAlign w:val="center"/>
          </w:tcPr>
          <w:p>
            <w:pPr>
              <w:pStyle w:val="24"/>
              <w:bidi w:val="0"/>
            </w:pPr>
            <w:r>
              <w:rPr>
                <w:rFonts w:hint="eastAsia"/>
              </w:rPr>
              <w:t>0.50</w:t>
            </w:r>
          </w:p>
        </w:tc>
        <w:tc>
          <w:tcPr>
            <w:tcW w:w="692" w:type="dxa"/>
            <w:shd w:val="clear" w:color="auto" w:fill="auto"/>
            <w:tcMar>
              <w:top w:w="15" w:type="dxa"/>
              <w:left w:w="15" w:type="dxa"/>
              <w:right w:w="15" w:type="dxa"/>
            </w:tcMar>
            <w:vAlign w:val="center"/>
          </w:tcPr>
          <w:p>
            <w:pPr>
              <w:pStyle w:val="24"/>
              <w:bidi w:val="0"/>
            </w:pPr>
            <w:r>
              <w:rPr>
                <w:rFonts w:hint="eastAsia"/>
              </w:rPr>
              <w:t>0.3</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200</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721" w:type="dxa"/>
            <w:shd w:val="clear" w:color="auto" w:fill="auto"/>
            <w:tcMar>
              <w:top w:w="15" w:type="dxa"/>
              <w:left w:w="15" w:type="dxa"/>
              <w:right w:w="15" w:type="dxa"/>
            </w:tcMar>
            <w:vAlign w:val="center"/>
          </w:tcPr>
          <w:p>
            <w:pPr>
              <w:pStyle w:val="24"/>
              <w:bidi w:val="0"/>
              <w:rPr>
                <w:rFonts w:hint="default" w:eastAsia="宋体"/>
                <w:lang w:val="en-US" w:eastAsia="zh-CN"/>
              </w:rPr>
            </w:pPr>
            <w:r>
              <w:rPr>
                <w:rFonts w:hint="eastAsia"/>
                <w:lang w:val="en-US" w:eastAsia="zh-CN"/>
              </w:rPr>
              <w:t>超标</w:t>
            </w:r>
          </w:p>
        </w:tc>
        <w:tc>
          <w:tcPr>
            <w:tcW w:w="1098" w:type="dxa"/>
            <w:shd w:val="clear" w:color="auto" w:fill="auto"/>
            <w:tcMar>
              <w:top w:w="15" w:type="dxa"/>
              <w:left w:w="15" w:type="dxa"/>
              <w:right w:w="15" w:type="dxa"/>
            </w:tcMar>
            <w:vAlign w:val="center"/>
          </w:tcPr>
          <w:p>
            <w:pPr>
              <w:pStyle w:val="24"/>
              <w:bidi w:val="0"/>
            </w:pPr>
            <w:r>
              <w:rPr>
                <w:rFonts w:hint="eastAsia"/>
              </w:rPr>
              <w:t>达标</w:t>
            </w:r>
          </w:p>
        </w:tc>
        <w:tc>
          <w:tcPr>
            <w:tcW w:w="1110" w:type="dxa"/>
            <w:shd w:val="clear" w:color="auto" w:fill="auto"/>
            <w:tcMar>
              <w:top w:w="15" w:type="dxa"/>
              <w:left w:w="15" w:type="dxa"/>
              <w:right w:w="15" w:type="dxa"/>
            </w:tcMar>
            <w:vAlign w:val="center"/>
          </w:tcPr>
          <w:p>
            <w:pPr>
              <w:pStyle w:val="24"/>
              <w:bidi w:val="0"/>
            </w:pPr>
            <w:r>
              <w:rPr>
                <w:rFonts w:hint="eastAsia"/>
              </w:rPr>
              <w:t>达标</w:t>
            </w:r>
          </w:p>
        </w:tc>
        <w:tc>
          <w:tcPr>
            <w:tcW w:w="955" w:type="dxa"/>
            <w:shd w:val="clear" w:color="auto" w:fill="auto"/>
            <w:tcMar>
              <w:top w:w="15" w:type="dxa"/>
              <w:left w:w="15" w:type="dxa"/>
              <w:right w:w="15" w:type="dxa"/>
            </w:tcMar>
            <w:vAlign w:val="center"/>
          </w:tcPr>
          <w:p>
            <w:pPr>
              <w:pStyle w:val="24"/>
              <w:bidi w:val="0"/>
            </w:pPr>
            <w:r>
              <w:rPr>
                <w:rFonts w:hint="eastAsia"/>
              </w:rPr>
              <w:t>达标</w:t>
            </w:r>
          </w:p>
        </w:tc>
        <w:tc>
          <w:tcPr>
            <w:tcW w:w="824" w:type="dxa"/>
            <w:shd w:val="clear" w:color="auto" w:fill="auto"/>
            <w:tcMar>
              <w:top w:w="15" w:type="dxa"/>
              <w:left w:w="15" w:type="dxa"/>
              <w:right w:w="15" w:type="dxa"/>
            </w:tcMar>
            <w:vAlign w:val="center"/>
          </w:tcPr>
          <w:p>
            <w:pPr>
              <w:pStyle w:val="24"/>
              <w:bidi w:val="0"/>
            </w:pPr>
            <w:r>
              <w:rPr>
                <w:rFonts w:hint="eastAsia"/>
              </w:rPr>
              <w:t>达标</w:t>
            </w:r>
          </w:p>
        </w:tc>
        <w:tc>
          <w:tcPr>
            <w:tcW w:w="1040" w:type="dxa"/>
            <w:shd w:val="clear" w:color="auto" w:fill="auto"/>
            <w:tcMar>
              <w:top w:w="15" w:type="dxa"/>
              <w:left w:w="15" w:type="dxa"/>
              <w:right w:w="15" w:type="dxa"/>
            </w:tcMar>
            <w:vAlign w:val="center"/>
          </w:tcPr>
          <w:p>
            <w:pPr>
              <w:pStyle w:val="24"/>
              <w:bidi w:val="0"/>
            </w:pPr>
            <w:r>
              <w:rPr>
                <w:rFonts w:hint="eastAsia"/>
              </w:rPr>
              <w:t>达标</w:t>
            </w:r>
          </w:p>
        </w:tc>
        <w:tc>
          <w:tcPr>
            <w:tcW w:w="736" w:type="dxa"/>
            <w:shd w:val="clear" w:color="auto" w:fill="auto"/>
            <w:tcMar>
              <w:top w:w="15" w:type="dxa"/>
              <w:left w:w="15" w:type="dxa"/>
              <w:right w:w="15" w:type="dxa"/>
            </w:tcMar>
            <w:vAlign w:val="center"/>
          </w:tcPr>
          <w:p>
            <w:pPr>
              <w:pStyle w:val="24"/>
              <w:bidi w:val="0"/>
            </w:pPr>
            <w:r>
              <w:rPr>
                <w:rFonts w:hint="eastAsia"/>
              </w:rPr>
              <w:t>达标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达标</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t>5</w:t>
            </w: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7.3</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3.73×10</w:t>
            </w:r>
            <w:r>
              <w:rPr>
                <w:rStyle w:val="32"/>
                <w:rFonts w:eastAsia="宋体"/>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2.87×10</w:t>
            </w:r>
            <w:r>
              <w:rPr>
                <w:rStyle w:val="32"/>
                <w:rFonts w:eastAsia="宋体"/>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8.97×10</w:t>
            </w:r>
            <w:r>
              <w:rPr>
                <w:rStyle w:val="32"/>
                <w:rFonts w:eastAsia="宋体"/>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9.23×10</w:t>
            </w:r>
            <w:r>
              <w:rPr>
                <w:rStyle w:val="32"/>
                <w:rFonts w:eastAsia="宋体"/>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4.7</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1.47</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218</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8.69×10</w:t>
            </w:r>
            <w:r>
              <w:rPr>
                <w:rStyle w:val="32"/>
                <w:rFonts w:eastAsia="宋体"/>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398</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970</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7.2</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3.81×10</w:t>
            </w:r>
            <w:r>
              <w:rPr>
                <w:rStyle w:val="32"/>
                <w:rFonts w:eastAsia="宋体"/>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2.85×10</w:t>
            </w:r>
            <w:r>
              <w:rPr>
                <w:rStyle w:val="32"/>
                <w:rFonts w:eastAsia="宋体"/>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9.32×10</w:t>
            </w:r>
            <w:r>
              <w:rPr>
                <w:rStyle w:val="32"/>
                <w:rFonts w:eastAsia="宋体"/>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9.50×10</w:t>
            </w:r>
            <w:r>
              <w:rPr>
                <w:rStyle w:val="32"/>
                <w:rFonts w:eastAsia="宋体"/>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4.3</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1.56</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239</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bottom"/>
            </w:pPr>
            <w:r>
              <w:rPr>
                <w:rFonts w:hint="default" w:ascii="Times New Roman" w:hAnsi="Times New Roman" w:eastAsia="宋体" w:cs="Times New Roman"/>
                <w:i w:val="0"/>
                <w:iCs w:val="0"/>
                <w:color w:val="000000"/>
                <w:kern w:val="0"/>
                <w:sz w:val="20"/>
                <w:szCs w:val="20"/>
                <w:u w:val="none"/>
                <w:lang w:val="en-US" w:eastAsia="zh-CN" w:bidi="ar"/>
              </w:rPr>
              <w:t>7.93×10</w:t>
            </w:r>
            <w:r>
              <w:rPr>
                <w:rStyle w:val="32"/>
                <w:rFonts w:eastAsia="宋体"/>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385</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960</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pPr>
            <w:r>
              <w:rPr>
                <w:rFonts w:hint="default" w:ascii="Times New Roman" w:hAnsi="Times New Roman" w:eastAsia="宋体" w:cs="Times New Roman"/>
                <w:i w:val="0"/>
                <w:iCs w:val="0"/>
                <w:color w:val="000000"/>
                <w:kern w:val="0"/>
                <w:sz w:val="20"/>
                <w:szCs w:val="20"/>
                <w:u w:val="none"/>
                <w:lang w:val="en-US" w:eastAsia="zh-CN" w:bidi="ar"/>
              </w:rPr>
              <w:t>326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830" w:type="dxa"/>
            <w:shd w:val="clear" w:color="auto" w:fill="auto"/>
            <w:tcMar>
              <w:top w:w="15" w:type="dxa"/>
              <w:left w:w="15" w:type="dxa"/>
              <w:right w:w="15" w:type="dxa"/>
            </w:tcMar>
            <w:vAlign w:val="center"/>
          </w:tcPr>
          <w:p>
            <w:pPr>
              <w:pStyle w:val="24"/>
              <w:bidi w:val="0"/>
            </w:pPr>
            <w:r>
              <w:t>第1次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7.2</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3.89×10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2.90×10</w:t>
            </w:r>
            <w:r>
              <w:rPr>
                <w:rFonts w:hint="default" w:ascii="Times New Roman" w:hAnsi="Times New Roman" w:eastAsia="宋体" w:cs="Times New Roman"/>
                <w:i w:val="0"/>
                <w:iCs w:val="0"/>
                <w:color w:val="000000"/>
                <w:kern w:val="0"/>
                <w:sz w:val="20"/>
                <w:szCs w:val="20"/>
                <w:u w:val="none"/>
                <w:vertAlign w:val="superscript"/>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9.34×10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9.82×10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4.9</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1.64</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251</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8.03×10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409</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975</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337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30" w:type="dxa"/>
            <w:vMerge w:val="continue"/>
            <w:shd w:val="clear" w:color="auto" w:fill="auto"/>
            <w:tcMar>
              <w:top w:w="15" w:type="dxa"/>
              <w:left w:w="15" w:type="dxa"/>
              <w:right w:w="15" w:type="dxa"/>
            </w:tcMar>
            <w:vAlign w:val="center"/>
          </w:tcPr>
          <w:p>
            <w:pPr>
              <w:pStyle w:val="24"/>
              <w:bidi w:val="0"/>
            </w:pPr>
          </w:p>
        </w:tc>
        <w:tc>
          <w:tcPr>
            <w:tcW w:w="981" w:type="dxa"/>
            <w:vMerge w:val="continue"/>
            <w:shd w:val="clear" w:color="auto" w:fill="auto"/>
            <w:tcMar>
              <w:top w:w="15" w:type="dxa"/>
              <w:left w:w="15" w:type="dxa"/>
              <w:right w:w="15" w:type="dxa"/>
            </w:tcMar>
            <w:vAlign w:val="center"/>
          </w:tcPr>
          <w:p>
            <w:pPr>
              <w:pStyle w:val="24"/>
              <w:bidi w:val="0"/>
            </w:pPr>
          </w:p>
        </w:tc>
        <w:tc>
          <w:tcPr>
            <w:tcW w:w="830" w:type="dxa"/>
            <w:shd w:val="clear" w:color="auto" w:fill="auto"/>
            <w:tcMar>
              <w:top w:w="15" w:type="dxa"/>
              <w:left w:w="15" w:type="dxa"/>
              <w:right w:w="15" w:type="dxa"/>
            </w:tcMar>
            <w:vAlign w:val="center"/>
          </w:tcPr>
          <w:p>
            <w:pPr>
              <w:pStyle w:val="24"/>
              <w:bidi w:val="0"/>
            </w:pPr>
            <w:r>
              <w:t>第2次</w:t>
            </w:r>
          </w:p>
        </w:tc>
        <w:tc>
          <w:tcPr>
            <w:tcW w:w="72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7.3</w:t>
            </w:r>
          </w:p>
        </w:tc>
        <w:tc>
          <w:tcPr>
            <w:tcW w:w="109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3.79×10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11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2.53×10</w:t>
            </w:r>
            <w:r>
              <w:rPr>
                <w:rFonts w:hint="default" w:ascii="Times New Roman" w:hAnsi="Times New Roman" w:eastAsia="宋体" w:cs="Times New Roman"/>
                <w:i w:val="0"/>
                <w:iCs w:val="0"/>
                <w:color w:val="000000"/>
                <w:kern w:val="0"/>
                <w:sz w:val="20"/>
                <w:szCs w:val="20"/>
                <w:u w:val="none"/>
                <w:vertAlign w:val="superscript"/>
                <w:lang w:val="en-US" w:eastAsia="zh-CN" w:bidi="ar"/>
              </w:rPr>
              <w:t>4</w:t>
            </w:r>
          </w:p>
        </w:tc>
        <w:tc>
          <w:tcPr>
            <w:tcW w:w="955"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8.16×10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82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8.61×10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1040"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0.0003L</w:t>
            </w:r>
          </w:p>
        </w:tc>
        <w:tc>
          <w:tcPr>
            <w:tcW w:w="736" w:type="dxa"/>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sz w:val="22"/>
                <w:szCs w:val="24"/>
                <w:lang w:val="en-US"/>
              </w:rPr>
            </w:pPr>
            <w:r>
              <w:rPr>
                <w:rFonts w:hint="default" w:ascii="Times New Roman" w:hAnsi="Times New Roman" w:eastAsia="宋体" w:cs="Times New Roman"/>
                <w:i w:val="0"/>
                <w:iCs w:val="0"/>
                <w:color w:val="000000"/>
                <w:kern w:val="0"/>
                <w:sz w:val="20"/>
                <w:szCs w:val="20"/>
                <w:u w:val="none"/>
                <w:lang w:val="en-US" w:eastAsia="zh-CN" w:bidi="ar"/>
              </w:rPr>
              <w:t>4</w:t>
            </w:r>
            <w:r>
              <w:rPr>
                <w:rFonts w:hint="eastAsia" w:ascii="Times New Roman" w:hAnsi="Times New Roman" w:eastAsia="宋体" w:cs="Times New Roman"/>
                <w:i w:val="0"/>
                <w:iCs w:val="0"/>
                <w:color w:val="000000"/>
                <w:kern w:val="0"/>
                <w:sz w:val="20"/>
                <w:szCs w:val="20"/>
                <w:u w:val="none"/>
                <w:lang w:val="en-US" w:eastAsia="zh-CN" w:bidi="ar"/>
              </w:rPr>
              <w:t>.0</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1.77</w:t>
            </w:r>
          </w:p>
        </w:tc>
        <w:tc>
          <w:tcPr>
            <w:tcW w:w="692"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0.01L</w:t>
            </w:r>
          </w:p>
        </w:tc>
        <w:tc>
          <w:tcPr>
            <w:tcW w:w="663"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5L</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216</w:t>
            </w:r>
          </w:p>
        </w:tc>
        <w:tc>
          <w:tcPr>
            <w:tcW w:w="911"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6.66×10</w:t>
            </w:r>
            <w:r>
              <w:rPr>
                <w:rFonts w:hint="default" w:ascii="Times New Roman" w:hAnsi="Times New Roman" w:eastAsia="宋体" w:cs="Times New Roman"/>
                <w:i w:val="0"/>
                <w:iCs w:val="0"/>
                <w:color w:val="000000"/>
                <w:kern w:val="0"/>
                <w:sz w:val="20"/>
                <w:szCs w:val="20"/>
                <w:u w:val="none"/>
                <w:vertAlign w:val="superscript"/>
                <w:lang w:val="en-US" w:eastAsia="zh-CN" w:bidi="ar"/>
              </w:rPr>
              <w:t>3</w:t>
            </w:r>
          </w:p>
        </w:tc>
        <w:tc>
          <w:tcPr>
            <w:tcW w:w="634"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450</w:t>
            </w:r>
          </w:p>
        </w:tc>
        <w:tc>
          <w:tcPr>
            <w:tcW w:w="678"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987</w:t>
            </w:r>
          </w:p>
        </w:tc>
        <w:tc>
          <w:tcPr>
            <w:tcW w:w="619" w:type="dxa"/>
            <w:shd w:val="clear" w:color="auto" w:fill="auto"/>
            <w:tcMar>
              <w:top w:w="15" w:type="dxa"/>
              <w:left w:w="15" w:type="dxa"/>
              <w:right w:w="15" w:type="dxa"/>
            </w:tcMar>
            <w:vAlign w:val="center"/>
          </w:tcPr>
          <w:p>
            <w:pPr>
              <w:keepNext w:val="0"/>
              <w:keepLines w:val="0"/>
              <w:widowControl/>
              <w:suppressLineNumbers w:val="0"/>
              <w:jc w:val="center"/>
              <w:textAlignment w:val="center"/>
              <w:rPr>
                <w:sz w:val="22"/>
                <w:szCs w:val="24"/>
              </w:rPr>
            </w:pPr>
            <w:r>
              <w:rPr>
                <w:rFonts w:hint="default" w:ascii="Times New Roman" w:hAnsi="Times New Roman" w:eastAsia="宋体" w:cs="Times New Roman"/>
                <w:i w:val="0"/>
                <w:iCs w:val="0"/>
                <w:color w:val="000000"/>
                <w:kern w:val="0"/>
                <w:sz w:val="20"/>
                <w:szCs w:val="20"/>
                <w:u w:val="none"/>
                <w:lang w:val="en-US" w:eastAsia="zh-CN" w:bidi="ar"/>
              </w:rPr>
              <w:t>320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721" w:type="dxa"/>
            <w:shd w:val="clear" w:color="auto" w:fill="auto"/>
            <w:tcMar>
              <w:top w:w="15" w:type="dxa"/>
              <w:left w:w="15" w:type="dxa"/>
              <w:right w:w="15" w:type="dxa"/>
            </w:tcMar>
            <w:vAlign w:val="center"/>
          </w:tcPr>
          <w:p>
            <w:pPr>
              <w:pStyle w:val="24"/>
              <w:bidi w:val="0"/>
            </w:pPr>
            <w:r>
              <w:rPr>
                <w:rFonts w:hint="eastAsia"/>
              </w:rPr>
              <w:t>6.5~8.5</w:t>
            </w:r>
          </w:p>
        </w:tc>
        <w:tc>
          <w:tcPr>
            <w:tcW w:w="1098" w:type="dxa"/>
            <w:shd w:val="clear" w:color="auto" w:fill="auto"/>
            <w:tcMar>
              <w:top w:w="15" w:type="dxa"/>
              <w:left w:w="15" w:type="dxa"/>
              <w:right w:w="15" w:type="dxa"/>
            </w:tcMar>
            <w:vAlign w:val="center"/>
          </w:tcPr>
          <w:p>
            <w:pPr>
              <w:pStyle w:val="24"/>
              <w:bidi w:val="0"/>
            </w:pPr>
            <w:r>
              <w:rPr>
                <w:rFonts w:hint="eastAsia"/>
              </w:rPr>
              <w:t>450</w:t>
            </w:r>
          </w:p>
        </w:tc>
        <w:tc>
          <w:tcPr>
            <w:tcW w:w="1110" w:type="dxa"/>
            <w:shd w:val="clear" w:color="auto" w:fill="auto"/>
            <w:tcMar>
              <w:top w:w="15" w:type="dxa"/>
              <w:left w:w="15" w:type="dxa"/>
              <w:right w:w="15" w:type="dxa"/>
            </w:tcMar>
            <w:vAlign w:val="center"/>
          </w:tcPr>
          <w:p>
            <w:pPr>
              <w:pStyle w:val="24"/>
              <w:bidi w:val="0"/>
            </w:pPr>
            <w:r>
              <w:rPr>
                <w:rFonts w:hint="eastAsia"/>
              </w:rPr>
              <w:t>1000</w:t>
            </w:r>
          </w:p>
        </w:tc>
        <w:tc>
          <w:tcPr>
            <w:tcW w:w="955" w:type="dxa"/>
            <w:shd w:val="clear" w:color="auto" w:fill="auto"/>
            <w:tcMar>
              <w:top w:w="15" w:type="dxa"/>
              <w:left w:w="15" w:type="dxa"/>
              <w:right w:w="15" w:type="dxa"/>
            </w:tcMar>
            <w:vAlign w:val="center"/>
          </w:tcPr>
          <w:p>
            <w:pPr>
              <w:pStyle w:val="24"/>
              <w:bidi w:val="0"/>
            </w:pPr>
            <w:r>
              <w:rPr>
                <w:rFonts w:hint="eastAsia"/>
              </w:rPr>
              <w:t>250</w:t>
            </w:r>
          </w:p>
        </w:tc>
        <w:tc>
          <w:tcPr>
            <w:tcW w:w="824" w:type="dxa"/>
            <w:shd w:val="clear" w:color="auto" w:fill="auto"/>
            <w:tcMar>
              <w:top w:w="15" w:type="dxa"/>
              <w:left w:w="15" w:type="dxa"/>
              <w:right w:w="15" w:type="dxa"/>
            </w:tcMar>
            <w:vAlign w:val="center"/>
          </w:tcPr>
          <w:p>
            <w:pPr>
              <w:pStyle w:val="24"/>
              <w:bidi w:val="0"/>
            </w:pPr>
            <w:r>
              <w:rPr>
                <w:rFonts w:hint="eastAsia"/>
              </w:rPr>
              <w:t>250</w:t>
            </w:r>
          </w:p>
        </w:tc>
        <w:tc>
          <w:tcPr>
            <w:tcW w:w="1040" w:type="dxa"/>
            <w:shd w:val="clear" w:color="auto" w:fill="auto"/>
            <w:tcMar>
              <w:top w:w="15" w:type="dxa"/>
              <w:left w:w="15" w:type="dxa"/>
              <w:right w:w="15" w:type="dxa"/>
            </w:tcMar>
            <w:vAlign w:val="center"/>
          </w:tcPr>
          <w:p>
            <w:pPr>
              <w:pStyle w:val="24"/>
              <w:bidi w:val="0"/>
            </w:pPr>
            <w:r>
              <w:rPr>
                <w:rFonts w:hint="eastAsia"/>
              </w:rPr>
              <w:t>0.002</w:t>
            </w:r>
          </w:p>
        </w:tc>
        <w:tc>
          <w:tcPr>
            <w:tcW w:w="736" w:type="dxa"/>
            <w:shd w:val="clear" w:color="auto" w:fill="auto"/>
            <w:tcMar>
              <w:top w:w="15" w:type="dxa"/>
              <w:left w:w="15" w:type="dxa"/>
              <w:right w:w="15" w:type="dxa"/>
            </w:tcMar>
            <w:vAlign w:val="center"/>
          </w:tcPr>
          <w:p>
            <w:pPr>
              <w:pStyle w:val="24"/>
              <w:bidi w:val="0"/>
            </w:pPr>
            <w:r>
              <w:rPr>
                <w:rFonts w:hint="eastAsia"/>
              </w:rPr>
              <w:t>3.0</w:t>
            </w:r>
          </w:p>
        </w:tc>
        <w:tc>
          <w:tcPr>
            <w:tcW w:w="692" w:type="dxa"/>
            <w:shd w:val="clear" w:color="auto" w:fill="auto"/>
            <w:tcMar>
              <w:top w:w="15" w:type="dxa"/>
              <w:left w:w="15" w:type="dxa"/>
              <w:right w:w="15" w:type="dxa"/>
            </w:tcMar>
            <w:vAlign w:val="center"/>
          </w:tcPr>
          <w:p>
            <w:pPr>
              <w:pStyle w:val="24"/>
              <w:bidi w:val="0"/>
            </w:pPr>
            <w:r>
              <w:rPr>
                <w:rFonts w:hint="eastAsia"/>
              </w:rPr>
              <w:t>0.50</w:t>
            </w:r>
          </w:p>
        </w:tc>
        <w:tc>
          <w:tcPr>
            <w:tcW w:w="692" w:type="dxa"/>
            <w:shd w:val="clear" w:color="auto" w:fill="auto"/>
            <w:tcMar>
              <w:top w:w="15" w:type="dxa"/>
              <w:left w:w="15" w:type="dxa"/>
              <w:right w:w="15" w:type="dxa"/>
            </w:tcMar>
            <w:vAlign w:val="center"/>
          </w:tcPr>
          <w:p>
            <w:pPr>
              <w:pStyle w:val="24"/>
              <w:bidi w:val="0"/>
            </w:pPr>
            <w:r>
              <w:rPr>
                <w:rFonts w:hint="eastAsia"/>
              </w:rPr>
              <w:t>0.3</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200</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541"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721" w:type="dxa"/>
            <w:shd w:val="clear" w:color="auto" w:fill="auto"/>
            <w:tcMar>
              <w:top w:w="15" w:type="dxa"/>
              <w:left w:w="15" w:type="dxa"/>
              <w:right w:w="15" w:type="dxa"/>
            </w:tcMar>
            <w:vAlign w:val="center"/>
          </w:tcPr>
          <w:p>
            <w:pPr>
              <w:pStyle w:val="24"/>
              <w:bidi w:val="0"/>
            </w:pPr>
            <w:r>
              <w:rPr>
                <w:rFonts w:hint="eastAsia"/>
              </w:rPr>
              <w:t>达标</w:t>
            </w:r>
          </w:p>
        </w:tc>
        <w:tc>
          <w:tcPr>
            <w:tcW w:w="1098" w:type="dxa"/>
            <w:shd w:val="clear" w:color="auto" w:fill="auto"/>
            <w:tcMar>
              <w:top w:w="15" w:type="dxa"/>
              <w:left w:w="15" w:type="dxa"/>
              <w:right w:w="15" w:type="dxa"/>
            </w:tcMar>
            <w:vAlign w:val="center"/>
          </w:tcPr>
          <w:p>
            <w:pPr>
              <w:pStyle w:val="24"/>
              <w:bidi w:val="0"/>
            </w:pPr>
            <w:r>
              <w:rPr>
                <w:rFonts w:hint="eastAsia"/>
              </w:rPr>
              <w:t>超标</w:t>
            </w:r>
          </w:p>
        </w:tc>
        <w:tc>
          <w:tcPr>
            <w:tcW w:w="1110" w:type="dxa"/>
            <w:shd w:val="clear" w:color="auto" w:fill="auto"/>
            <w:tcMar>
              <w:top w:w="15" w:type="dxa"/>
              <w:left w:w="15" w:type="dxa"/>
              <w:right w:w="15" w:type="dxa"/>
            </w:tcMar>
            <w:vAlign w:val="center"/>
          </w:tcPr>
          <w:p>
            <w:pPr>
              <w:pStyle w:val="24"/>
              <w:bidi w:val="0"/>
            </w:pPr>
            <w:r>
              <w:rPr>
                <w:rFonts w:hint="eastAsia"/>
              </w:rPr>
              <w:t>超标</w:t>
            </w:r>
          </w:p>
        </w:tc>
        <w:tc>
          <w:tcPr>
            <w:tcW w:w="955" w:type="dxa"/>
            <w:shd w:val="clear" w:color="auto" w:fill="auto"/>
            <w:tcMar>
              <w:top w:w="15" w:type="dxa"/>
              <w:left w:w="15" w:type="dxa"/>
              <w:right w:w="15" w:type="dxa"/>
            </w:tcMar>
            <w:vAlign w:val="center"/>
          </w:tcPr>
          <w:p>
            <w:pPr>
              <w:pStyle w:val="24"/>
              <w:bidi w:val="0"/>
            </w:pPr>
            <w:r>
              <w:rPr>
                <w:rFonts w:hint="eastAsia"/>
              </w:rPr>
              <w:t>超标</w:t>
            </w:r>
          </w:p>
        </w:tc>
        <w:tc>
          <w:tcPr>
            <w:tcW w:w="824" w:type="dxa"/>
            <w:shd w:val="clear" w:color="auto" w:fill="auto"/>
            <w:tcMar>
              <w:top w:w="15" w:type="dxa"/>
              <w:left w:w="15" w:type="dxa"/>
              <w:right w:w="15" w:type="dxa"/>
            </w:tcMar>
            <w:vAlign w:val="center"/>
          </w:tcPr>
          <w:p>
            <w:pPr>
              <w:pStyle w:val="24"/>
              <w:bidi w:val="0"/>
            </w:pPr>
            <w:r>
              <w:rPr>
                <w:rFonts w:hint="eastAsia"/>
              </w:rPr>
              <w:t>超标</w:t>
            </w:r>
          </w:p>
        </w:tc>
        <w:tc>
          <w:tcPr>
            <w:tcW w:w="1040" w:type="dxa"/>
            <w:shd w:val="clear" w:color="auto" w:fill="auto"/>
            <w:tcMar>
              <w:top w:w="15" w:type="dxa"/>
              <w:left w:w="15" w:type="dxa"/>
              <w:right w:w="15" w:type="dxa"/>
            </w:tcMar>
            <w:vAlign w:val="center"/>
          </w:tcPr>
          <w:p>
            <w:pPr>
              <w:pStyle w:val="24"/>
              <w:bidi w:val="0"/>
            </w:pPr>
            <w:r>
              <w:rPr>
                <w:rFonts w:hint="eastAsia"/>
              </w:rPr>
              <w:t>达标</w:t>
            </w:r>
          </w:p>
        </w:tc>
        <w:tc>
          <w:tcPr>
            <w:tcW w:w="736" w:type="dxa"/>
            <w:shd w:val="clear" w:color="auto" w:fill="auto"/>
            <w:tcMar>
              <w:top w:w="15" w:type="dxa"/>
              <w:left w:w="15" w:type="dxa"/>
              <w:right w:w="15" w:type="dxa"/>
            </w:tcMar>
            <w:vAlign w:val="center"/>
          </w:tcPr>
          <w:p>
            <w:pPr>
              <w:pStyle w:val="24"/>
              <w:bidi w:val="0"/>
            </w:pPr>
            <w:r>
              <w:rPr>
                <w:rFonts w:hint="eastAsia"/>
              </w:rPr>
              <w:t>超标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92" w:type="dxa"/>
            <w:shd w:val="clear" w:color="auto" w:fill="auto"/>
            <w:tcMar>
              <w:top w:w="15" w:type="dxa"/>
              <w:left w:w="15" w:type="dxa"/>
              <w:right w:w="15" w:type="dxa"/>
            </w:tcMar>
            <w:vAlign w:val="center"/>
          </w:tcPr>
          <w:p>
            <w:pPr>
              <w:pStyle w:val="24"/>
              <w:bidi w:val="0"/>
            </w:pPr>
            <w:r>
              <w:rPr>
                <w:rFonts w:hint="eastAsia"/>
              </w:rPr>
              <w:t>达标</w:t>
            </w:r>
          </w:p>
        </w:tc>
        <w:tc>
          <w:tcPr>
            <w:tcW w:w="663"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911" w:type="dxa"/>
            <w:shd w:val="clear" w:color="auto" w:fill="auto"/>
            <w:tcMar>
              <w:top w:w="15" w:type="dxa"/>
              <w:left w:w="15" w:type="dxa"/>
              <w:right w:w="15" w:type="dxa"/>
            </w:tcMar>
            <w:vAlign w:val="center"/>
          </w:tcPr>
          <w:p>
            <w:pPr>
              <w:pStyle w:val="24"/>
              <w:bidi w:val="0"/>
            </w:pPr>
            <w:r>
              <w:rPr>
                <w:rFonts w:hint="eastAsia"/>
              </w:rPr>
              <w:t>超标</w:t>
            </w:r>
          </w:p>
        </w:tc>
        <w:tc>
          <w:tcPr>
            <w:tcW w:w="634" w:type="dxa"/>
            <w:shd w:val="clear" w:color="auto" w:fill="auto"/>
            <w:tcMar>
              <w:top w:w="15" w:type="dxa"/>
              <w:left w:w="15" w:type="dxa"/>
              <w:right w:w="15" w:type="dxa"/>
            </w:tcMar>
            <w:vAlign w:val="center"/>
          </w:tcPr>
          <w:p>
            <w:pPr>
              <w:pStyle w:val="24"/>
              <w:bidi w:val="0"/>
            </w:pPr>
            <w:r>
              <w:rPr>
                <w:rFonts w:hint="eastAsia"/>
              </w:rPr>
              <w:t>/</w:t>
            </w:r>
          </w:p>
        </w:tc>
        <w:tc>
          <w:tcPr>
            <w:tcW w:w="678" w:type="dxa"/>
            <w:shd w:val="clear" w:color="auto" w:fill="auto"/>
            <w:tcMar>
              <w:top w:w="15" w:type="dxa"/>
              <w:left w:w="15" w:type="dxa"/>
              <w:right w:w="15" w:type="dxa"/>
            </w:tcMar>
            <w:vAlign w:val="center"/>
          </w:tcPr>
          <w:p>
            <w:pPr>
              <w:pStyle w:val="24"/>
              <w:bidi w:val="0"/>
            </w:pPr>
            <w:r>
              <w:rPr>
                <w:rFonts w:hint="eastAsia"/>
              </w:rPr>
              <w:t>/</w:t>
            </w:r>
          </w:p>
        </w:tc>
        <w:tc>
          <w:tcPr>
            <w:tcW w:w="619" w:type="dxa"/>
            <w:shd w:val="clear" w:color="auto" w:fill="auto"/>
            <w:tcMar>
              <w:top w:w="15" w:type="dxa"/>
              <w:left w:w="15" w:type="dxa"/>
              <w:right w:w="15" w:type="dxa"/>
            </w:tcMar>
            <w:vAlign w:val="center"/>
          </w:tcPr>
          <w:p>
            <w:pPr>
              <w:pStyle w:val="24"/>
              <w:bidi w:val="0"/>
            </w:pPr>
            <w:r>
              <w:rPr>
                <w:rFonts w:hint="eastAsia"/>
              </w:rPr>
              <w:t>/</w:t>
            </w:r>
          </w:p>
        </w:tc>
      </w:tr>
    </w:tbl>
    <w:p>
      <w:pPr>
        <w:jc w:val="center"/>
        <w:outlineLvl w:val="4"/>
        <w:rPr>
          <w:rStyle w:val="26"/>
        </w:rPr>
      </w:pPr>
      <w:r>
        <w:rPr>
          <w:rFonts w:ascii="Times New Roman" w:hAnsi="Times New Roman"/>
          <w:sz w:val="20"/>
          <w:szCs w:val="20"/>
        </w:rPr>
        <w:br w:type="page"/>
      </w:r>
      <w:r>
        <w:rPr>
          <w:rStyle w:val="26"/>
        </w:rPr>
        <w:t>表9.3.2（续） 地下水监测结果统计一览表  单位：mg/L</w:t>
      </w:r>
    </w:p>
    <w:tbl>
      <w:tblPr>
        <w:tblStyle w:val="14"/>
        <w:tblW w:w="1459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59"/>
        <w:gridCol w:w="820"/>
        <w:gridCol w:w="794"/>
        <w:gridCol w:w="843"/>
        <w:gridCol w:w="834"/>
        <w:gridCol w:w="935"/>
        <w:gridCol w:w="892"/>
        <w:gridCol w:w="945"/>
        <w:gridCol w:w="877"/>
        <w:gridCol w:w="884"/>
        <w:gridCol w:w="946"/>
        <w:gridCol w:w="815"/>
        <w:gridCol w:w="739"/>
        <w:gridCol w:w="703"/>
        <w:gridCol w:w="806"/>
        <w:gridCol w:w="934"/>
        <w:gridCol w:w="10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511" w:hRule="atLeast"/>
          <w:tblHeader/>
        </w:trPr>
        <w:tc>
          <w:tcPr>
            <w:tcW w:w="759" w:type="dxa"/>
            <w:vMerge w:val="restart"/>
            <w:shd w:val="clear" w:color="auto" w:fill="auto"/>
            <w:tcMar>
              <w:top w:w="15" w:type="dxa"/>
              <w:left w:w="15" w:type="dxa"/>
              <w:right w:w="15" w:type="dxa"/>
            </w:tcMar>
            <w:vAlign w:val="center"/>
          </w:tcPr>
          <w:p>
            <w:pPr>
              <w:pStyle w:val="24"/>
              <w:bidi w:val="0"/>
            </w:pPr>
            <w:r>
              <w:t>点位</w:t>
            </w:r>
          </w:p>
        </w:tc>
        <w:tc>
          <w:tcPr>
            <w:tcW w:w="820" w:type="dxa"/>
            <w:vMerge w:val="restart"/>
            <w:shd w:val="clear" w:color="auto" w:fill="auto"/>
            <w:tcMar>
              <w:top w:w="15" w:type="dxa"/>
              <w:left w:w="15" w:type="dxa"/>
              <w:right w:w="15" w:type="dxa"/>
            </w:tcMar>
            <w:vAlign w:val="center"/>
          </w:tcPr>
          <w:p>
            <w:pPr>
              <w:pStyle w:val="24"/>
              <w:bidi w:val="0"/>
            </w:pPr>
            <w:r>
              <w:t>采样日期</w:t>
            </w:r>
          </w:p>
        </w:tc>
        <w:tc>
          <w:tcPr>
            <w:tcW w:w="794" w:type="dxa"/>
            <w:vMerge w:val="restart"/>
            <w:shd w:val="clear" w:color="auto" w:fill="auto"/>
            <w:tcMar>
              <w:top w:w="15" w:type="dxa"/>
              <w:left w:w="15" w:type="dxa"/>
              <w:right w:w="15" w:type="dxa"/>
            </w:tcMar>
            <w:vAlign w:val="center"/>
          </w:tcPr>
          <w:p>
            <w:pPr>
              <w:pStyle w:val="24"/>
              <w:bidi w:val="0"/>
            </w:pPr>
            <w:r>
              <w:t>频次</w:t>
            </w:r>
          </w:p>
        </w:tc>
        <w:tc>
          <w:tcPr>
            <w:tcW w:w="843" w:type="dxa"/>
            <w:shd w:val="clear" w:color="auto" w:fill="auto"/>
            <w:tcMar>
              <w:top w:w="15" w:type="dxa"/>
              <w:left w:w="15" w:type="dxa"/>
              <w:right w:w="15" w:type="dxa"/>
            </w:tcMar>
            <w:vAlign w:val="center"/>
          </w:tcPr>
          <w:p>
            <w:pPr>
              <w:pStyle w:val="24"/>
              <w:bidi w:val="0"/>
            </w:pPr>
            <w:r>
              <w:t>亚硝酸盐（以N计）</w:t>
            </w:r>
          </w:p>
        </w:tc>
        <w:tc>
          <w:tcPr>
            <w:tcW w:w="834" w:type="dxa"/>
            <w:shd w:val="clear" w:color="auto" w:fill="auto"/>
            <w:tcMar>
              <w:top w:w="15" w:type="dxa"/>
              <w:left w:w="15" w:type="dxa"/>
              <w:right w:w="15" w:type="dxa"/>
            </w:tcMar>
            <w:vAlign w:val="center"/>
          </w:tcPr>
          <w:p>
            <w:pPr>
              <w:pStyle w:val="24"/>
              <w:bidi w:val="0"/>
            </w:pPr>
            <w:r>
              <w:t>硝酸盐（以N计）</w:t>
            </w:r>
          </w:p>
        </w:tc>
        <w:tc>
          <w:tcPr>
            <w:tcW w:w="935" w:type="dxa"/>
            <w:shd w:val="clear" w:color="auto" w:fill="auto"/>
            <w:tcMar>
              <w:top w:w="15" w:type="dxa"/>
              <w:left w:w="15" w:type="dxa"/>
              <w:right w:w="15" w:type="dxa"/>
            </w:tcMar>
            <w:vAlign w:val="center"/>
          </w:tcPr>
          <w:p>
            <w:pPr>
              <w:pStyle w:val="24"/>
              <w:bidi w:val="0"/>
            </w:pPr>
            <w:r>
              <w:t>氰化物</w:t>
            </w:r>
          </w:p>
        </w:tc>
        <w:tc>
          <w:tcPr>
            <w:tcW w:w="892" w:type="dxa"/>
            <w:shd w:val="clear" w:color="auto" w:fill="auto"/>
            <w:tcMar>
              <w:top w:w="15" w:type="dxa"/>
              <w:left w:w="15" w:type="dxa"/>
              <w:right w:w="15" w:type="dxa"/>
            </w:tcMar>
            <w:vAlign w:val="center"/>
          </w:tcPr>
          <w:p>
            <w:pPr>
              <w:pStyle w:val="24"/>
              <w:bidi w:val="0"/>
            </w:pPr>
            <w:r>
              <w:t>汞</w:t>
            </w:r>
          </w:p>
        </w:tc>
        <w:tc>
          <w:tcPr>
            <w:tcW w:w="945" w:type="dxa"/>
            <w:shd w:val="clear" w:color="auto" w:fill="auto"/>
            <w:tcMar>
              <w:top w:w="15" w:type="dxa"/>
              <w:left w:w="15" w:type="dxa"/>
              <w:right w:w="15" w:type="dxa"/>
            </w:tcMar>
            <w:vAlign w:val="center"/>
          </w:tcPr>
          <w:p>
            <w:pPr>
              <w:pStyle w:val="24"/>
              <w:bidi w:val="0"/>
            </w:pPr>
            <w:r>
              <w:t>砷</w:t>
            </w:r>
          </w:p>
        </w:tc>
        <w:tc>
          <w:tcPr>
            <w:tcW w:w="877" w:type="dxa"/>
            <w:shd w:val="clear" w:color="auto" w:fill="auto"/>
            <w:tcMar>
              <w:top w:w="15" w:type="dxa"/>
              <w:left w:w="15" w:type="dxa"/>
              <w:right w:w="15" w:type="dxa"/>
            </w:tcMar>
            <w:vAlign w:val="center"/>
          </w:tcPr>
          <w:p>
            <w:pPr>
              <w:pStyle w:val="24"/>
              <w:bidi w:val="0"/>
            </w:pPr>
            <w:r>
              <w:t>镉</w:t>
            </w:r>
          </w:p>
        </w:tc>
        <w:tc>
          <w:tcPr>
            <w:tcW w:w="884" w:type="dxa"/>
            <w:shd w:val="clear" w:color="auto" w:fill="auto"/>
            <w:tcMar>
              <w:top w:w="15" w:type="dxa"/>
              <w:left w:w="15" w:type="dxa"/>
              <w:right w:w="15" w:type="dxa"/>
            </w:tcMar>
            <w:vAlign w:val="center"/>
          </w:tcPr>
          <w:p>
            <w:pPr>
              <w:pStyle w:val="24"/>
              <w:bidi w:val="0"/>
            </w:pPr>
            <w:r>
              <w:t>铬（六价）</w:t>
            </w:r>
          </w:p>
        </w:tc>
        <w:tc>
          <w:tcPr>
            <w:tcW w:w="946" w:type="dxa"/>
            <w:shd w:val="clear" w:color="auto" w:fill="auto"/>
            <w:tcMar>
              <w:top w:w="15" w:type="dxa"/>
              <w:left w:w="15" w:type="dxa"/>
              <w:right w:w="15" w:type="dxa"/>
            </w:tcMar>
            <w:vAlign w:val="center"/>
          </w:tcPr>
          <w:p>
            <w:pPr>
              <w:pStyle w:val="24"/>
              <w:bidi w:val="0"/>
            </w:pPr>
            <w:r>
              <w:t>铅</w:t>
            </w:r>
          </w:p>
        </w:tc>
        <w:tc>
          <w:tcPr>
            <w:tcW w:w="815" w:type="dxa"/>
            <w:shd w:val="clear" w:color="auto" w:fill="auto"/>
            <w:tcMar>
              <w:top w:w="15" w:type="dxa"/>
              <w:left w:w="15" w:type="dxa"/>
              <w:right w:w="15" w:type="dxa"/>
            </w:tcMar>
            <w:vAlign w:val="center"/>
          </w:tcPr>
          <w:p>
            <w:pPr>
              <w:pStyle w:val="24"/>
              <w:bidi w:val="0"/>
            </w:pPr>
            <w:r>
              <w:t>苯</w:t>
            </w:r>
          </w:p>
        </w:tc>
        <w:tc>
          <w:tcPr>
            <w:tcW w:w="739" w:type="dxa"/>
            <w:shd w:val="clear" w:color="auto" w:fill="auto"/>
            <w:tcMar>
              <w:top w:w="15" w:type="dxa"/>
              <w:left w:w="15" w:type="dxa"/>
              <w:right w:w="15" w:type="dxa"/>
            </w:tcMar>
            <w:vAlign w:val="center"/>
          </w:tcPr>
          <w:p>
            <w:pPr>
              <w:pStyle w:val="24"/>
              <w:bidi w:val="0"/>
            </w:pPr>
            <w:r>
              <w:t>甲苯</w:t>
            </w:r>
          </w:p>
        </w:tc>
        <w:tc>
          <w:tcPr>
            <w:tcW w:w="703" w:type="dxa"/>
            <w:shd w:val="clear" w:color="auto" w:fill="auto"/>
            <w:tcMar>
              <w:top w:w="15" w:type="dxa"/>
              <w:left w:w="15" w:type="dxa"/>
              <w:right w:w="15" w:type="dxa"/>
            </w:tcMar>
            <w:vAlign w:val="center"/>
          </w:tcPr>
          <w:p>
            <w:pPr>
              <w:pStyle w:val="24"/>
              <w:bidi w:val="0"/>
            </w:pPr>
            <w:r>
              <w:t>二甲苯（总量）</w:t>
            </w:r>
          </w:p>
        </w:tc>
        <w:tc>
          <w:tcPr>
            <w:tcW w:w="806" w:type="dxa"/>
            <w:shd w:val="clear" w:color="auto" w:fill="auto"/>
            <w:tcMar>
              <w:top w:w="15" w:type="dxa"/>
              <w:left w:w="15" w:type="dxa"/>
              <w:right w:w="15" w:type="dxa"/>
            </w:tcMar>
            <w:vAlign w:val="center"/>
          </w:tcPr>
          <w:p>
            <w:pPr>
              <w:pStyle w:val="24"/>
              <w:bidi w:val="0"/>
            </w:pPr>
            <w:r>
              <w:t>苯乙烯</w:t>
            </w:r>
          </w:p>
        </w:tc>
        <w:tc>
          <w:tcPr>
            <w:tcW w:w="934" w:type="dxa"/>
            <w:shd w:val="clear" w:color="auto" w:fill="auto"/>
            <w:tcMar>
              <w:top w:w="15" w:type="dxa"/>
              <w:left w:w="15" w:type="dxa"/>
              <w:right w:w="15" w:type="dxa"/>
            </w:tcMar>
            <w:vAlign w:val="center"/>
          </w:tcPr>
          <w:p>
            <w:pPr>
              <w:pStyle w:val="24"/>
              <w:bidi w:val="0"/>
            </w:pPr>
            <w:r>
              <w:t>石油烃（C</w:t>
            </w:r>
            <w:r>
              <w:rPr>
                <w:vertAlign w:val="subscript"/>
              </w:rPr>
              <w:t>6</w:t>
            </w:r>
            <w:r>
              <w:rPr>
                <w:rFonts w:hint="eastAsia"/>
              </w:rPr>
              <w:t>~</w:t>
            </w:r>
            <w:r>
              <w:t>C</w:t>
            </w:r>
            <w:r>
              <w:rPr>
                <w:vertAlign w:val="subscript"/>
              </w:rPr>
              <w:t>9</w:t>
            </w:r>
            <w:r>
              <w:t>）</w:t>
            </w:r>
          </w:p>
        </w:tc>
        <w:tc>
          <w:tcPr>
            <w:tcW w:w="1066" w:type="dxa"/>
            <w:shd w:val="clear" w:color="auto" w:fill="auto"/>
            <w:tcMar>
              <w:top w:w="15" w:type="dxa"/>
              <w:left w:w="15" w:type="dxa"/>
              <w:right w:w="15" w:type="dxa"/>
            </w:tcMar>
            <w:vAlign w:val="center"/>
          </w:tcPr>
          <w:p>
            <w:pPr>
              <w:pStyle w:val="24"/>
              <w:bidi w:val="0"/>
            </w:pPr>
            <w:r>
              <w:t>石油烃（C</w:t>
            </w:r>
            <w:r>
              <w:rPr>
                <w:vertAlign w:val="subscript"/>
              </w:rPr>
              <w:t>10</w:t>
            </w:r>
            <w:r>
              <w:rPr>
                <w:rFonts w:hint="eastAsia"/>
              </w:rPr>
              <w:t>~</w:t>
            </w:r>
            <w:r>
              <w:t>C</w:t>
            </w:r>
            <w:r>
              <w:rPr>
                <w:vertAlign w:val="subscript"/>
              </w:rPr>
              <w:t>40</w:t>
            </w:r>
            <w: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71" w:hRule="atLeast"/>
          <w:tblHeader/>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vMerge w:val="continue"/>
            <w:shd w:val="clear" w:color="auto" w:fill="auto"/>
            <w:tcMar>
              <w:top w:w="15" w:type="dxa"/>
              <w:left w:w="15" w:type="dxa"/>
              <w:right w:w="15" w:type="dxa"/>
            </w:tcMar>
            <w:vAlign w:val="center"/>
          </w:tcPr>
          <w:p>
            <w:pPr>
              <w:pStyle w:val="24"/>
              <w:bidi w:val="0"/>
            </w:pPr>
          </w:p>
        </w:tc>
        <w:tc>
          <w:tcPr>
            <w:tcW w:w="843" w:type="dxa"/>
            <w:shd w:val="clear" w:color="auto" w:fill="auto"/>
            <w:tcMar>
              <w:top w:w="15" w:type="dxa"/>
              <w:left w:w="15" w:type="dxa"/>
              <w:right w:w="15" w:type="dxa"/>
            </w:tcMar>
            <w:vAlign w:val="center"/>
          </w:tcPr>
          <w:p>
            <w:pPr>
              <w:pStyle w:val="24"/>
              <w:bidi w:val="0"/>
            </w:pPr>
            <w:r>
              <w:t>mg/L</w:t>
            </w:r>
          </w:p>
        </w:tc>
        <w:tc>
          <w:tcPr>
            <w:tcW w:w="834" w:type="dxa"/>
            <w:shd w:val="clear" w:color="auto" w:fill="auto"/>
            <w:tcMar>
              <w:top w:w="15" w:type="dxa"/>
              <w:left w:w="15" w:type="dxa"/>
              <w:right w:w="15" w:type="dxa"/>
            </w:tcMar>
            <w:vAlign w:val="center"/>
          </w:tcPr>
          <w:p>
            <w:pPr>
              <w:pStyle w:val="24"/>
              <w:bidi w:val="0"/>
            </w:pPr>
            <w:r>
              <w:t>mg/L</w:t>
            </w:r>
          </w:p>
        </w:tc>
        <w:tc>
          <w:tcPr>
            <w:tcW w:w="935" w:type="dxa"/>
            <w:shd w:val="clear" w:color="auto" w:fill="auto"/>
            <w:tcMar>
              <w:top w:w="15" w:type="dxa"/>
              <w:left w:w="15" w:type="dxa"/>
              <w:right w:w="15" w:type="dxa"/>
            </w:tcMar>
            <w:vAlign w:val="center"/>
          </w:tcPr>
          <w:p>
            <w:pPr>
              <w:pStyle w:val="24"/>
              <w:bidi w:val="0"/>
            </w:pPr>
            <w:r>
              <w:t>mg/L</w:t>
            </w:r>
          </w:p>
        </w:tc>
        <w:tc>
          <w:tcPr>
            <w:tcW w:w="892" w:type="dxa"/>
            <w:shd w:val="clear" w:color="auto" w:fill="auto"/>
            <w:tcMar>
              <w:top w:w="15" w:type="dxa"/>
              <w:left w:w="15" w:type="dxa"/>
              <w:right w:w="15" w:type="dxa"/>
            </w:tcMar>
            <w:vAlign w:val="center"/>
          </w:tcPr>
          <w:p>
            <w:pPr>
              <w:pStyle w:val="24"/>
              <w:bidi w:val="0"/>
            </w:pPr>
            <w:r>
              <w:t>mg/L</w:t>
            </w:r>
          </w:p>
        </w:tc>
        <w:tc>
          <w:tcPr>
            <w:tcW w:w="945" w:type="dxa"/>
            <w:shd w:val="clear" w:color="auto" w:fill="auto"/>
            <w:tcMar>
              <w:top w:w="15" w:type="dxa"/>
              <w:left w:w="15" w:type="dxa"/>
              <w:right w:w="15" w:type="dxa"/>
            </w:tcMar>
            <w:vAlign w:val="center"/>
          </w:tcPr>
          <w:p>
            <w:pPr>
              <w:pStyle w:val="24"/>
              <w:bidi w:val="0"/>
            </w:pPr>
            <w:r>
              <w:t>mg/L</w:t>
            </w:r>
          </w:p>
        </w:tc>
        <w:tc>
          <w:tcPr>
            <w:tcW w:w="877" w:type="dxa"/>
            <w:shd w:val="clear" w:color="auto" w:fill="auto"/>
            <w:tcMar>
              <w:top w:w="15" w:type="dxa"/>
              <w:left w:w="15" w:type="dxa"/>
              <w:right w:w="15" w:type="dxa"/>
            </w:tcMar>
            <w:vAlign w:val="center"/>
          </w:tcPr>
          <w:p>
            <w:pPr>
              <w:pStyle w:val="24"/>
              <w:bidi w:val="0"/>
            </w:pPr>
            <w:r>
              <w:t>mg/L</w:t>
            </w:r>
          </w:p>
        </w:tc>
        <w:tc>
          <w:tcPr>
            <w:tcW w:w="884" w:type="dxa"/>
            <w:shd w:val="clear" w:color="auto" w:fill="auto"/>
            <w:tcMar>
              <w:top w:w="15" w:type="dxa"/>
              <w:left w:w="15" w:type="dxa"/>
              <w:right w:w="15" w:type="dxa"/>
            </w:tcMar>
            <w:vAlign w:val="center"/>
          </w:tcPr>
          <w:p>
            <w:pPr>
              <w:pStyle w:val="24"/>
              <w:bidi w:val="0"/>
            </w:pPr>
            <w:r>
              <w:t>mg/L</w:t>
            </w:r>
          </w:p>
        </w:tc>
        <w:tc>
          <w:tcPr>
            <w:tcW w:w="946" w:type="dxa"/>
            <w:shd w:val="clear" w:color="auto" w:fill="auto"/>
            <w:tcMar>
              <w:top w:w="15" w:type="dxa"/>
              <w:left w:w="15" w:type="dxa"/>
              <w:right w:w="15" w:type="dxa"/>
            </w:tcMar>
            <w:vAlign w:val="center"/>
          </w:tcPr>
          <w:p>
            <w:pPr>
              <w:pStyle w:val="24"/>
              <w:bidi w:val="0"/>
            </w:pPr>
            <w:r>
              <w:t>mg/L</w:t>
            </w:r>
          </w:p>
        </w:tc>
        <w:tc>
          <w:tcPr>
            <w:tcW w:w="815" w:type="dxa"/>
            <w:shd w:val="clear" w:color="auto" w:fill="auto"/>
            <w:tcMar>
              <w:top w:w="15" w:type="dxa"/>
              <w:left w:w="15" w:type="dxa"/>
              <w:right w:w="15" w:type="dxa"/>
            </w:tcMar>
            <w:vAlign w:val="center"/>
          </w:tcPr>
          <w:p>
            <w:pPr>
              <w:pStyle w:val="24"/>
              <w:bidi w:val="0"/>
            </w:pPr>
            <w:r>
              <w:t>mg/L</w:t>
            </w:r>
          </w:p>
        </w:tc>
        <w:tc>
          <w:tcPr>
            <w:tcW w:w="739" w:type="dxa"/>
            <w:shd w:val="clear" w:color="auto" w:fill="auto"/>
            <w:tcMar>
              <w:top w:w="15" w:type="dxa"/>
              <w:left w:w="15" w:type="dxa"/>
              <w:right w:w="15" w:type="dxa"/>
            </w:tcMar>
            <w:vAlign w:val="center"/>
          </w:tcPr>
          <w:p>
            <w:pPr>
              <w:pStyle w:val="24"/>
              <w:bidi w:val="0"/>
            </w:pPr>
            <w:r>
              <w:t>mg/L</w:t>
            </w:r>
          </w:p>
        </w:tc>
        <w:tc>
          <w:tcPr>
            <w:tcW w:w="703" w:type="dxa"/>
            <w:shd w:val="clear" w:color="auto" w:fill="auto"/>
            <w:tcMar>
              <w:top w:w="15" w:type="dxa"/>
              <w:left w:w="15" w:type="dxa"/>
              <w:right w:w="15" w:type="dxa"/>
            </w:tcMar>
            <w:vAlign w:val="center"/>
          </w:tcPr>
          <w:p>
            <w:pPr>
              <w:pStyle w:val="24"/>
              <w:bidi w:val="0"/>
            </w:pPr>
            <w:r>
              <w:t>mg/L</w:t>
            </w:r>
          </w:p>
        </w:tc>
        <w:tc>
          <w:tcPr>
            <w:tcW w:w="806" w:type="dxa"/>
            <w:shd w:val="clear" w:color="auto" w:fill="auto"/>
            <w:tcMar>
              <w:top w:w="15" w:type="dxa"/>
              <w:left w:w="15" w:type="dxa"/>
              <w:right w:w="15" w:type="dxa"/>
            </w:tcMar>
            <w:vAlign w:val="center"/>
          </w:tcPr>
          <w:p>
            <w:pPr>
              <w:pStyle w:val="24"/>
              <w:bidi w:val="0"/>
            </w:pPr>
            <w:r>
              <w:t>mg/L</w:t>
            </w:r>
          </w:p>
        </w:tc>
        <w:tc>
          <w:tcPr>
            <w:tcW w:w="934" w:type="dxa"/>
            <w:shd w:val="clear" w:color="auto" w:fill="auto"/>
            <w:tcMar>
              <w:top w:w="15" w:type="dxa"/>
              <w:left w:w="15" w:type="dxa"/>
              <w:right w:w="15" w:type="dxa"/>
            </w:tcMar>
            <w:vAlign w:val="center"/>
          </w:tcPr>
          <w:p>
            <w:pPr>
              <w:pStyle w:val="24"/>
              <w:bidi w:val="0"/>
            </w:pPr>
            <w:r>
              <w:t>mg/L</w:t>
            </w:r>
          </w:p>
        </w:tc>
        <w:tc>
          <w:tcPr>
            <w:tcW w:w="1066" w:type="dxa"/>
            <w:shd w:val="clear" w:color="auto" w:fill="auto"/>
            <w:tcMar>
              <w:top w:w="15" w:type="dxa"/>
              <w:left w:w="15" w:type="dxa"/>
              <w:right w:w="15" w:type="dxa"/>
            </w:tcMar>
            <w:vAlign w:val="center"/>
          </w:tcPr>
          <w:p>
            <w:pPr>
              <w:pStyle w:val="24"/>
              <w:bidi w:val="0"/>
            </w:pPr>
            <w: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t>1</w:t>
            </w: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1.26</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0.00722</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0.00011</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rPr>
                <w:rFonts w:hint="default"/>
                <w:lang w:val="en-US"/>
              </w:rPr>
            </w:pPr>
            <w:r>
              <w:rPr>
                <w:rFonts w:hint="eastAsia"/>
                <w:lang w:val="en-US" w:eastAsia="zh-CN"/>
              </w:rPr>
              <w:t>1.20</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rPr>
                <w:rFonts w:hint="default"/>
                <w:lang w:val="en-US"/>
              </w:rPr>
            </w:pPr>
            <w:r>
              <w:rPr>
                <w:rFonts w:hint="eastAsia"/>
                <w:lang w:val="en-US" w:eastAsia="zh-CN"/>
              </w:rPr>
              <w:t>0.01000</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rPr>
                <w:rFonts w:hint="default"/>
                <w:lang w:val="en-US"/>
              </w:rPr>
            </w:pPr>
            <w:r>
              <w:rPr>
                <w:rFonts w:hint="eastAsia"/>
                <w:lang w:val="en-US" w:eastAsia="zh-CN"/>
              </w:rPr>
              <w:t>0.00048</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1.15</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0.00732</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1.31</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0.00678</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843" w:type="dxa"/>
            <w:shd w:val="clear" w:color="auto" w:fill="auto"/>
            <w:tcMar>
              <w:top w:w="15" w:type="dxa"/>
              <w:left w:w="15" w:type="dxa"/>
              <w:right w:w="15" w:type="dxa"/>
            </w:tcMar>
            <w:vAlign w:val="center"/>
          </w:tcPr>
          <w:p>
            <w:pPr>
              <w:pStyle w:val="24"/>
              <w:bidi w:val="0"/>
            </w:pPr>
            <w:r>
              <w:rPr>
                <w:rFonts w:hint="eastAsia"/>
              </w:rPr>
              <w:t>1.00</w:t>
            </w:r>
          </w:p>
        </w:tc>
        <w:tc>
          <w:tcPr>
            <w:tcW w:w="834" w:type="dxa"/>
            <w:shd w:val="clear" w:color="auto" w:fill="auto"/>
            <w:tcMar>
              <w:top w:w="15" w:type="dxa"/>
              <w:left w:w="15" w:type="dxa"/>
              <w:right w:w="15" w:type="dxa"/>
            </w:tcMar>
            <w:vAlign w:val="center"/>
          </w:tcPr>
          <w:p>
            <w:pPr>
              <w:pStyle w:val="24"/>
              <w:bidi w:val="0"/>
            </w:pPr>
            <w:r>
              <w:rPr>
                <w:rFonts w:hint="eastAsia"/>
              </w:rPr>
              <w:t>20.0</w:t>
            </w:r>
          </w:p>
        </w:tc>
        <w:tc>
          <w:tcPr>
            <w:tcW w:w="935" w:type="dxa"/>
            <w:shd w:val="clear" w:color="auto" w:fill="auto"/>
            <w:tcMar>
              <w:top w:w="15" w:type="dxa"/>
              <w:left w:w="15" w:type="dxa"/>
              <w:right w:w="15" w:type="dxa"/>
            </w:tcMar>
            <w:vAlign w:val="center"/>
          </w:tcPr>
          <w:p>
            <w:pPr>
              <w:pStyle w:val="24"/>
              <w:bidi w:val="0"/>
            </w:pPr>
            <w:r>
              <w:rPr>
                <w:rFonts w:hint="eastAsia"/>
              </w:rPr>
              <w:t>0.05</w:t>
            </w:r>
          </w:p>
        </w:tc>
        <w:tc>
          <w:tcPr>
            <w:tcW w:w="892" w:type="dxa"/>
            <w:shd w:val="clear" w:color="auto" w:fill="auto"/>
            <w:tcMar>
              <w:top w:w="15" w:type="dxa"/>
              <w:left w:w="15" w:type="dxa"/>
              <w:right w:w="15" w:type="dxa"/>
            </w:tcMar>
            <w:vAlign w:val="center"/>
          </w:tcPr>
          <w:p>
            <w:pPr>
              <w:pStyle w:val="24"/>
              <w:bidi w:val="0"/>
            </w:pPr>
            <w:r>
              <w:rPr>
                <w:rFonts w:hint="eastAsia"/>
              </w:rPr>
              <w:t>0.001</w:t>
            </w:r>
          </w:p>
        </w:tc>
        <w:tc>
          <w:tcPr>
            <w:tcW w:w="945" w:type="dxa"/>
            <w:shd w:val="clear" w:color="auto" w:fill="auto"/>
            <w:tcMar>
              <w:top w:w="15" w:type="dxa"/>
              <w:left w:w="15" w:type="dxa"/>
              <w:right w:w="15" w:type="dxa"/>
            </w:tcMar>
            <w:vAlign w:val="center"/>
          </w:tcPr>
          <w:p>
            <w:pPr>
              <w:pStyle w:val="24"/>
              <w:bidi w:val="0"/>
            </w:pPr>
            <w:r>
              <w:rPr>
                <w:rFonts w:hint="eastAsia"/>
              </w:rPr>
              <w:t>0.01</w:t>
            </w:r>
          </w:p>
        </w:tc>
        <w:tc>
          <w:tcPr>
            <w:tcW w:w="877" w:type="dxa"/>
            <w:shd w:val="clear" w:color="auto" w:fill="auto"/>
            <w:tcMar>
              <w:top w:w="15" w:type="dxa"/>
              <w:left w:w="15" w:type="dxa"/>
              <w:right w:w="15" w:type="dxa"/>
            </w:tcMar>
            <w:vAlign w:val="center"/>
          </w:tcPr>
          <w:p>
            <w:pPr>
              <w:pStyle w:val="24"/>
              <w:bidi w:val="0"/>
            </w:pPr>
            <w:r>
              <w:rPr>
                <w:rFonts w:hint="eastAsia"/>
              </w:rPr>
              <w:t>0.005</w:t>
            </w:r>
          </w:p>
        </w:tc>
        <w:tc>
          <w:tcPr>
            <w:tcW w:w="884" w:type="dxa"/>
            <w:shd w:val="clear" w:color="auto" w:fill="auto"/>
            <w:tcMar>
              <w:top w:w="15" w:type="dxa"/>
              <w:left w:w="15" w:type="dxa"/>
              <w:right w:w="15" w:type="dxa"/>
            </w:tcMar>
            <w:vAlign w:val="center"/>
          </w:tcPr>
          <w:p>
            <w:pPr>
              <w:pStyle w:val="24"/>
              <w:bidi w:val="0"/>
            </w:pPr>
            <w:r>
              <w:rPr>
                <w:rFonts w:hint="eastAsia"/>
              </w:rPr>
              <w:t>0.05</w:t>
            </w:r>
          </w:p>
        </w:tc>
        <w:tc>
          <w:tcPr>
            <w:tcW w:w="946" w:type="dxa"/>
            <w:shd w:val="clear" w:color="auto" w:fill="auto"/>
            <w:tcMar>
              <w:top w:w="15" w:type="dxa"/>
              <w:left w:w="15" w:type="dxa"/>
              <w:right w:w="15" w:type="dxa"/>
            </w:tcMar>
            <w:vAlign w:val="center"/>
          </w:tcPr>
          <w:p>
            <w:pPr>
              <w:pStyle w:val="24"/>
              <w:bidi w:val="0"/>
            </w:pPr>
            <w:r>
              <w:rPr>
                <w:rFonts w:hint="eastAsia"/>
              </w:rPr>
              <w:t>0.01</w:t>
            </w:r>
          </w:p>
        </w:tc>
        <w:tc>
          <w:tcPr>
            <w:tcW w:w="815" w:type="dxa"/>
            <w:shd w:val="clear" w:color="auto" w:fill="auto"/>
            <w:tcMar>
              <w:top w:w="15" w:type="dxa"/>
              <w:left w:w="15" w:type="dxa"/>
              <w:right w:w="15" w:type="dxa"/>
            </w:tcMar>
            <w:vAlign w:val="center"/>
          </w:tcPr>
          <w:p>
            <w:pPr>
              <w:pStyle w:val="24"/>
              <w:bidi w:val="0"/>
            </w:pPr>
            <w:r>
              <w:rPr>
                <w:rFonts w:hint="eastAsia"/>
              </w:rPr>
              <w:t>0.01</w:t>
            </w:r>
          </w:p>
        </w:tc>
        <w:tc>
          <w:tcPr>
            <w:tcW w:w="739" w:type="dxa"/>
            <w:shd w:val="clear" w:color="auto" w:fill="auto"/>
            <w:tcMar>
              <w:top w:w="15" w:type="dxa"/>
              <w:left w:w="15" w:type="dxa"/>
              <w:right w:w="15" w:type="dxa"/>
            </w:tcMar>
            <w:vAlign w:val="center"/>
          </w:tcPr>
          <w:p>
            <w:pPr>
              <w:pStyle w:val="24"/>
              <w:bidi w:val="0"/>
            </w:pPr>
            <w:r>
              <w:rPr>
                <w:rFonts w:hint="eastAsia"/>
              </w:rPr>
              <w:t>0.7</w:t>
            </w:r>
          </w:p>
        </w:tc>
        <w:tc>
          <w:tcPr>
            <w:tcW w:w="703" w:type="dxa"/>
            <w:shd w:val="clear" w:color="auto" w:fill="auto"/>
            <w:tcMar>
              <w:top w:w="15" w:type="dxa"/>
              <w:left w:w="15" w:type="dxa"/>
              <w:right w:w="15" w:type="dxa"/>
            </w:tcMar>
            <w:vAlign w:val="center"/>
          </w:tcPr>
          <w:p>
            <w:pPr>
              <w:pStyle w:val="24"/>
              <w:bidi w:val="0"/>
            </w:pPr>
            <w:r>
              <w:rPr>
                <w:rFonts w:hint="eastAsia"/>
              </w:rPr>
              <w:t>0.5</w:t>
            </w:r>
          </w:p>
        </w:tc>
        <w:tc>
          <w:tcPr>
            <w:tcW w:w="806" w:type="dxa"/>
            <w:shd w:val="clear" w:color="auto" w:fill="auto"/>
            <w:tcMar>
              <w:top w:w="15" w:type="dxa"/>
              <w:left w:w="15" w:type="dxa"/>
              <w:right w:w="15" w:type="dxa"/>
            </w:tcMar>
            <w:vAlign w:val="center"/>
          </w:tcPr>
          <w:p>
            <w:pPr>
              <w:pStyle w:val="24"/>
              <w:bidi w:val="0"/>
            </w:pPr>
            <w:r>
              <w:rPr>
                <w:rFonts w:hint="eastAsia"/>
              </w:rPr>
              <w:t>0.02</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843" w:type="dxa"/>
            <w:shd w:val="clear" w:color="auto" w:fill="auto"/>
            <w:tcMar>
              <w:top w:w="15" w:type="dxa"/>
              <w:left w:w="15" w:type="dxa"/>
              <w:right w:w="15" w:type="dxa"/>
            </w:tcMar>
            <w:vAlign w:val="center"/>
          </w:tcPr>
          <w:p>
            <w:pPr>
              <w:pStyle w:val="24"/>
              <w:bidi w:val="0"/>
            </w:pPr>
            <w:r>
              <w:rPr>
                <w:rFonts w:hint="eastAsia"/>
              </w:rPr>
              <w:t>达标</w:t>
            </w:r>
          </w:p>
        </w:tc>
        <w:tc>
          <w:tcPr>
            <w:tcW w:w="834" w:type="dxa"/>
            <w:shd w:val="clear" w:color="auto" w:fill="auto"/>
            <w:tcMar>
              <w:top w:w="15" w:type="dxa"/>
              <w:left w:w="15" w:type="dxa"/>
              <w:right w:w="15" w:type="dxa"/>
            </w:tcMar>
            <w:vAlign w:val="center"/>
          </w:tcPr>
          <w:p>
            <w:pPr>
              <w:pStyle w:val="24"/>
              <w:bidi w:val="0"/>
            </w:pPr>
            <w:r>
              <w:rPr>
                <w:rFonts w:hint="eastAsia"/>
              </w:rPr>
              <w:t>达标</w:t>
            </w:r>
          </w:p>
        </w:tc>
        <w:tc>
          <w:tcPr>
            <w:tcW w:w="935" w:type="dxa"/>
            <w:shd w:val="clear" w:color="auto" w:fill="auto"/>
            <w:tcMar>
              <w:top w:w="15" w:type="dxa"/>
              <w:left w:w="15" w:type="dxa"/>
              <w:right w:w="15" w:type="dxa"/>
            </w:tcMar>
            <w:vAlign w:val="center"/>
          </w:tcPr>
          <w:p>
            <w:pPr>
              <w:pStyle w:val="24"/>
              <w:bidi w:val="0"/>
            </w:pPr>
            <w:r>
              <w:rPr>
                <w:rFonts w:hint="eastAsia"/>
              </w:rPr>
              <w:t>达标</w:t>
            </w:r>
          </w:p>
        </w:tc>
        <w:tc>
          <w:tcPr>
            <w:tcW w:w="892" w:type="dxa"/>
            <w:shd w:val="clear" w:color="auto" w:fill="auto"/>
            <w:tcMar>
              <w:top w:w="15" w:type="dxa"/>
              <w:left w:w="15" w:type="dxa"/>
              <w:right w:w="15" w:type="dxa"/>
            </w:tcMar>
            <w:vAlign w:val="center"/>
          </w:tcPr>
          <w:p>
            <w:pPr>
              <w:pStyle w:val="24"/>
              <w:bidi w:val="0"/>
            </w:pPr>
            <w:r>
              <w:rPr>
                <w:rFonts w:hint="eastAsia"/>
              </w:rPr>
              <w:t>达标</w:t>
            </w:r>
          </w:p>
        </w:tc>
        <w:tc>
          <w:tcPr>
            <w:tcW w:w="945" w:type="dxa"/>
            <w:shd w:val="clear" w:color="auto" w:fill="auto"/>
            <w:tcMar>
              <w:top w:w="15" w:type="dxa"/>
              <w:left w:w="15" w:type="dxa"/>
              <w:right w:w="15" w:type="dxa"/>
            </w:tcMar>
            <w:vAlign w:val="center"/>
          </w:tcPr>
          <w:p>
            <w:pPr>
              <w:pStyle w:val="24"/>
              <w:bidi w:val="0"/>
            </w:pPr>
            <w:r>
              <w:rPr>
                <w:rFonts w:hint="eastAsia"/>
              </w:rPr>
              <w:t>达标</w:t>
            </w:r>
          </w:p>
        </w:tc>
        <w:tc>
          <w:tcPr>
            <w:tcW w:w="877" w:type="dxa"/>
            <w:shd w:val="clear" w:color="auto" w:fill="auto"/>
            <w:tcMar>
              <w:top w:w="15" w:type="dxa"/>
              <w:left w:w="15" w:type="dxa"/>
              <w:right w:w="15" w:type="dxa"/>
            </w:tcMar>
            <w:vAlign w:val="center"/>
          </w:tcPr>
          <w:p>
            <w:pPr>
              <w:pStyle w:val="24"/>
              <w:bidi w:val="0"/>
            </w:pPr>
            <w:r>
              <w:rPr>
                <w:rFonts w:hint="eastAsia"/>
              </w:rPr>
              <w:t>达标</w:t>
            </w:r>
          </w:p>
        </w:tc>
        <w:tc>
          <w:tcPr>
            <w:tcW w:w="884" w:type="dxa"/>
            <w:shd w:val="clear" w:color="auto" w:fill="auto"/>
            <w:tcMar>
              <w:top w:w="15" w:type="dxa"/>
              <w:left w:w="15" w:type="dxa"/>
              <w:right w:w="15" w:type="dxa"/>
            </w:tcMar>
            <w:vAlign w:val="center"/>
          </w:tcPr>
          <w:p>
            <w:pPr>
              <w:pStyle w:val="24"/>
              <w:bidi w:val="0"/>
            </w:pPr>
            <w:r>
              <w:rPr>
                <w:rFonts w:hint="eastAsia"/>
              </w:rPr>
              <w:t>达标</w:t>
            </w:r>
          </w:p>
        </w:tc>
        <w:tc>
          <w:tcPr>
            <w:tcW w:w="946" w:type="dxa"/>
            <w:shd w:val="clear" w:color="auto" w:fill="auto"/>
            <w:tcMar>
              <w:top w:w="15" w:type="dxa"/>
              <w:left w:w="15" w:type="dxa"/>
              <w:right w:w="15" w:type="dxa"/>
            </w:tcMar>
            <w:vAlign w:val="center"/>
          </w:tcPr>
          <w:p>
            <w:pPr>
              <w:pStyle w:val="24"/>
              <w:bidi w:val="0"/>
            </w:pPr>
            <w:r>
              <w:rPr>
                <w:rFonts w:hint="eastAsia"/>
              </w:rPr>
              <w:t>达标</w:t>
            </w:r>
          </w:p>
        </w:tc>
        <w:tc>
          <w:tcPr>
            <w:tcW w:w="815" w:type="dxa"/>
            <w:shd w:val="clear" w:color="auto" w:fill="auto"/>
            <w:tcMar>
              <w:top w:w="15" w:type="dxa"/>
              <w:left w:w="15" w:type="dxa"/>
              <w:right w:w="15" w:type="dxa"/>
            </w:tcMar>
            <w:vAlign w:val="center"/>
          </w:tcPr>
          <w:p>
            <w:pPr>
              <w:pStyle w:val="24"/>
              <w:bidi w:val="0"/>
            </w:pPr>
            <w:r>
              <w:rPr>
                <w:rFonts w:hint="eastAsia"/>
              </w:rPr>
              <w:t>达标</w:t>
            </w:r>
          </w:p>
        </w:tc>
        <w:tc>
          <w:tcPr>
            <w:tcW w:w="739" w:type="dxa"/>
            <w:shd w:val="clear" w:color="auto" w:fill="auto"/>
            <w:tcMar>
              <w:top w:w="15" w:type="dxa"/>
              <w:left w:w="15" w:type="dxa"/>
              <w:right w:w="15" w:type="dxa"/>
            </w:tcMar>
            <w:vAlign w:val="center"/>
          </w:tcPr>
          <w:p>
            <w:pPr>
              <w:pStyle w:val="24"/>
              <w:bidi w:val="0"/>
            </w:pPr>
            <w:r>
              <w:rPr>
                <w:rFonts w:hint="eastAsia"/>
              </w:rPr>
              <w:t>达标</w:t>
            </w:r>
          </w:p>
        </w:tc>
        <w:tc>
          <w:tcPr>
            <w:tcW w:w="703" w:type="dxa"/>
            <w:shd w:val="clear" w:color="auto" w:fill="auto"/>
            <w:tcMar>
              <w:top w:w="15" w:type="dxa"/>
              <w:left w:w="15" w:type="dxa"/>
              <w:right w:w="15" w:type="dxa"/>
            </w:tcMar>
            <w:vAlign w:val="center"/>
          </w:tcPr>
          <w:p>
            <w:pPr>
              <w:pStyle w:val="24"/>
              <w:bidi w:val="0"/>
            </w:pPr>
            <w:r>
              <w:rPr>
                <w:rFonts w:hint="eastAsia"/>
              </w:rPr>
              <w:t>达标</w:t>
            </w:r>
          </w:p>
        </w:tc>
        <w:tc>
          <w:tcPr>
            <w:tcW w:w="806" w:type="dxa"/>
            <w:shd w:val="clear" w:color="auto" w:fill="auto"/>
            <w:tcMar>
              <w:top w:w="15" w:type="dxa"/>
              <w:left w:w="15" w:type="dxa"/>
              <w:right w:w="15" w:type="dxa"/>
            </w:tcMar>
            <w:vAlign w:val="center"/>
          </w:tcPr>
          <w:p>
            <w:pPr>
              <w:pStyle w:val="24"/>
              <w:bidi w:val="0"/>
            </w:pPr>
            <w:r>
              <w:rPr>
                <w:rFonts w:hint="eastAsia"/>
              </w:rPr>
              <w:t>达标</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rPr>
                <w:rFonts w:hint="eastAsia"/>
              </w:rPr>
              <w:t>2</w:t>
            </w: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3.23</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0.00757</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0.00101</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3.33</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0.00779</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0.00057</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3.15</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0.00918</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0.00012</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0.003L</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3.07</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0.00823</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0.00012</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843" w:type="dxa"/>
            <w:shd w:val="clear" w:color="auto" w:fill="auto"/>
            <w:tcMar>
              <w:top w:w="15" w:type="dxa"/>
              <w:left w:w="15" w:type="dxa"/>
              <w:right w:w="15" w:type="dxa"/>
            </w:tcMar>
            <w:vAlign w:val="center"/>
          </w:tcPr>
          <w:p>
            <w:pPr>
              <w:pStyle w:val="24"/>
              <w:bidi w:val="0"/>
            </w:pPr>
            <w:r>
              <w:rPr>
                <w:rFonts w:hint="eastAsia"/>
              </w:rPr>
              <w:t>1.00</w:t>
            </w:r>
          </w:p>
        </w:tc>
        <w:tc>
          <w:tcPr>
            <w:tcW w:w="834" w:type="dxa"/>
            <w:shd w:val="clear" w:color="auto" w:fill="auto"/>
            <w:tcMar>
              <w:top w:w="15" w:type="dxa"/>
              <w:left w:w="15" w:type="dxa"/>
              <w:right w:w="15" w:type="dxa"/>
            </w:tcMar>
            <w:vAlign w:val="center"/>
          </w:tcPr>
          <w:p>
            <w:pPr>
              <w:pStyle w:val="24"/>
              <w:bidi w:val="0"/>
            </w:pPr>
            <w:r>
              <w:rPr>
                <w:rFonts w:hint="eastAsia"/>
              </w:rPr>
              <w:t>20.0</w:t>
            </w:r>
          </w:p>
        </w:tc>
        <w:tc>
          <w:tcPr>
            <w:tcW w:w="935" w:type="dxa"/>
            <w:shd w:val="clear" w:color="auto" w:fill="auto"/>
            <w:tcMar>
              <w:top w:w="15" w:type="dxa"/>
              <w:left w:w="15" w:type="dxa"/>
              <w:right w:w="15" w:type="dxa"/>
            </w:tcMar>
            <w:vAlign w:val="center"/>
          </w:tcPr>
          <w:p>
            <w:pPr>
              <w:pStyle w:val="24"/>
              <w:bidi w:val="0"/>
            </w:pPr>
            <w:r>
              <w:rPr>
                <w:rFonts w:hint="eastAsia"/>
              </w:rPr>
              <w:t>0.05</w:t>
            </w:r>
          </w:p>
        </w:tc>
        <w:tc>
          <w:tcPr>
            <w:tcW w:w="892" w:type="dxa"/>
            <w:shd w:val="clear" w:color="auto" w:fill="auto"/>
            <w:tcMar>
              <w:top w:w="15" w:type="dxa"/>
              <w:left w:w="15" w:type="dxa"/>
              <w:right w:w="15" w:type="dxa"/>
            </w:tcMar>
            <w:vAlign w:val="center"/>
          </w:tcPr>
          <w:p>
            <w:pPr>
              <w:pStyle w:val="24"/>
              <w:bidi w:val="0"/>
            </w:pPr>
            <w:r>
              <w:rPr>
                <w:rFonts w:hint="eastAsia"/>
              </w:rPr>
              <w:t>0.001</w:t>
            </w:r>
          </w:p>
        </w:tc>
        <w:tc>
          <w:tcPr>
            <w:tcW w:w="945" w:type="dxa"/>
            <w:shd w:val="clear" w:color="auto" w:fill="auto"/>
            <w:tcMar>
              <w:top w:w="15" w:type="dxa"/>
              <w:left w:w="15" w:type="dxa"/>
              <w:right w:w="15" w:type="dxa"/>
            </w:tcMar>
            <w:vAlign w:val="center"/>
          </w:tcPr>
          <w:p>
            <w:pPr>
              <w:pStyle w:val="24"/>
              <w:bidi w:val="0"/>
            </w:pPr>
            <w:r>
              <w:rPr>
                <w:rFonts w:hint="eastAsia"/>
              </w:rPr>
              <w:t>0.01</w:t>
            </w:r>
          </w:p>
        </w:tc>
        <w:tc>
          <w:tcPr>
            <w:tcW w:w="877" w:type="dxa"/>
            <w:shd w:val="clear" w:color="auto" w:fill="auto"/>
            <w:tcMar>
              <w:top w:w="15" w:type="dxa"/>
              <w:left w:w="15" w:type="dxa"/>
              <w:right w:w="15" w:type="dxa"/>
            </w:tcMar>
            <w:vAlign w:val="center"/>
          </w:tcPr>
          <w:p>
            <w:pPr>
              <w:pStyle w:val="24"/>
              <w:bidi w:val="0"/>
            </w:pPr>
            <w:r>
              <w:rPr>
                <w:rFonts w:hint="eastAsia"/>
              </w:rPr>
              <w:t>0.005</w:t>
            </w:r>
          </w:p>
        </w:tc>
        <w:tc>
          <w:tcPr>
            <w:tcW w:w="884" w:type="dxa"/>
            <w:shd w:val="clear" w:color="auto" w:fill="auto"/>
            <w:tcMar>
              <w:top w:w="15" w:type="dxa"/>
              <w:left w:w="15" w:type="dxa"/>
              <w:right w:w="15" w:type="dxa"/>
            </w:tcMar>
            <w:vAlign w:val="center"/>
          </w:tcPr>
          <w:p>
            <w:pPr>
              <w:pStyle w:val="24"/>
              <w:bidi w:val="0"/>
            </w:pPr>
            <w:r>
              <w:rPr>
                <w:rFonts w:hint="eastAsia"/>
              </w:rPr>
              <w:t>0.05</w:t>
            </w:r>
          </w:p>
        </w:tc>
        <w:tc>
          <w:tcPr>
            <w:tcW w:w="946" w:type="dxa"/>
            <w:shd w:val="clear" w:color="auto" w:fill="auto"/>
            <w:tcMar>
              <w:top w:w="15" w:type="dxa"/>
              <w:left w:w="15" w:type="dxa"/>
              <w:right w:w="15" w:type="dxa"/>
            </w:tcMar>
            <w:vAlign w:val="center"/>
          </w:tcPr>
          <w:p>
            <w:pPr>
              <w:pStyle w:val="24"/>
              <w:bidi w:val="0"/>
            </w:pPr>
            <w:r>
              <w:rPr>
                <w:rFonts w:hint="eastAsia"/>
              </w:rPr>
              <w:t>0.01</w:t>
            </w:r>
          </w:p>
        </w:tc>
        <w:tc>
          <w:tcPr>
            <w:tcW w:w="815" w:type="dxa"/>
            <w:shd w:val="clear" w:color="auto" w:fill="auto"/>
            <w:tcMar>
              <w:top w:w="15" w:type="dxa"/>
              <w:left w:w="15" w:type="dxa"/>
              <w:right w:w="15" w:type="dxa"/>
            </w:tcMar>
            <w:vAlign w:val="center"/>
          </w:tcPr>
          <w:p>
            <w:pPr>
              <w:pStyle w:val="24"/>
              <w:bidi w:val="0"/>
            </w:pPr>
            <w:r>
              <w:rPr>
                <w:rFonts w:hint="eastAsia"/>
              </w:rPr>
              <w:t>0.01</w:t>
            </w:r>
          </w:p>
        </w:tc>
        <w:tc>
          <w:tcPr>
            <w:tcW w:w="739" w:type="dxa"/>
            <w:shd w:val="clear" w:color="auto" w:fill="auto"/>
            <w:tcMar>
              <w:top w:w="15" w:type="dxa"/>
              <w:left w:w="15" w:type="dxa"/>
              <w:right w:w="15" w:type="dxa"/>
            </w:tcMar>
            <w:vAlign w:val="center"/>
          </w:tcPr>
          <w:p>
            <w:pPr>
              <w:pStyle w:val="24"/>
              <w:bidi w:val="0"/>
            </w:pPr>
            <w:r>
              <w:rPr>
                <w:rFonts w:hint="eastAsia"/>
              </w:rPr>
              <w:t>0.7</w:t>
            </w:r>
          </w:p>
        </w:tc>
        <w:tc>
          <w:tcPr>
            <w:tcW w:w="703" w:type="dxa"/>
            <w:shd w:val="clear" w:color="auto" w:fill="auto"/>
            <w:tcMar>
              <w:top w:w="15" w:type="dxa"/>
              <w:left w:w="15" w:type="dxa"/>
              <w:right w:w="15" w:type="dxa"/>
            </w:tcMar>
            <w:vAlign w:val="center"/>
          </w:tcPr>
          <w:p>
            <w:pPr>
              <w:pStyle w:val="24"/>
              <w:bidi w:val="0"/>
            </w:pPr>
            <w:r>
              <w:rPr>
                <w:rFonts w:hint="eastAsia"/>
              </w:rPr>
              <w:t>0.5</w:t>
            </w:r>
          </w:p>
        </w:tc>
        <w:tc>
          <w:tcPr>
            <w:tcW w:w="806" w:type="dxa"/>
            <w:shd w:val="clear" w:color="auto" w:fill="auto"/>
            <w:tcMar>
              <w:top w:w="15" w:type="dxa"/>
              <w:left w:w="15" w:type="dxa"/>
              <w:right w:w="15" w:type="dxa"/>
            </w:tcMar>
            <w:vAlign w:val="center"/>
          </w:tcPr>
          <w:p>
            <w:pPr>
              <w:pStyle w:val="24"/>
              <w:bidi w:val="0"/>
            </w:pPr>
            <w:r>
              <w:rPr>
                <w:rFonts w:hint="eastAsia"/>
              </w:rPr>
              <w:t>0.02</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843" w:type="dxa"/>
            <w:shd w:val="clear" w:color="auto" w:fill="auto"/>
            <w:tcMar>
              <w:top w:w="15" w:type="dxa"/>
              <w:left w:w="15" w:type="dxa"/>
              <w:right w:w="15" w:type="dxa"/>
            </w:tcMar>
            <w:vAlign w:val="center"/>
          </w:tcPr>
          <w:p>
            <w:pPr>
              <w:pStyle w:val="24"/>
              <w:bidi w:val="0"/>
            </w:pPr>
            <w:r>
              <w:rPr>
                <w:rFonts w:hint="eastAsia"/>
              </w:rPr>
              <w:t>达标</w:t>
            </w:r>
          </w:p>
        </w:tc>
        <w:tc>
          <w:tcPr>
            <w:tcW w:w="834" w:type="dxa"/>
            <w:shd w:val="clear" w:color="auto" w:fill="auto"/>
            <w:tcMar>
              <w:top w:w="15" w:type="dxa"/>
              <w:left w:w="15" w:type="dxa"/>
              <w:right w:w="15" w:type="dxa"/>
            </w:tcMar>
            <w:vAlign w:val="center"/>
          </w:tcPr>
          <w:p>
            <w:pPr>
              <w:pStyle w:val="24"/>
              <w:bidi w:val="0"/>
            </w:pPr>
            <w:r>
              <w:rPr>
                <w:rFonts w:hint="eastAsia"/>
              </w:rPr>
              <w:t>达标</w:t>
            </w:r>
          </w:p>
        </w:tc>
        <w:tc>
          <w:tcPr>
            <w:tcW w:w="935" w:type="dxa"/>
            <w:shd w:val="clear" w:color="auto" w:fill="auto"/>
            <w:tcMar>
              <w:top w:w="15" w:type="dxa"/>
              <w:left w:w="15" w:type="dxa"/>
              <w:right w:w="15" w:type="dxa"/>
            </w:tcMar>
            <w:vAlign w:val="center"/>
          </w:tcPr>
          <w:p>
            <w:pPr>
              <w:pStyle w:val="24"/>
              <w:bidi w:val="0"/>
            </w:pPr>
            <w:r>
              <w:rPr>
                <w:rFonts w:hint="eastAsia"/>
              </w:rPr>
              <w:t>达标</w:t>
            </w:r>
          </w:p>
        </w:tc>
        <w:tc>
          <w:tcPr>
            <w:tcW w:w="892" w:type="dxa"/>
            <w:shd w:val="clear" w:color="auto" w:fill="auto"/>
            <w:tcMar>
              <w:top w:w="15" w:type="dxa"/>
              <w:left w:w="15" w:type="dxa"/>
              <w:right w:w="15" w:type="dxa"/>
            </w:tcMar>
            <w:vAlign w:val="center"/>
          </w:tcPr>
          <w:p>
            <w:pPr>
              <w:pStyle w:val="24"/>
              <w:bidi w:val="0"/>
            </w:pPr>
            <w:r>
              <w:rPr>
                <w:rFonts w:hint="eastAsia"/>
              </w:rPr>
              <w:t>达标</w:t>
            </w:r>
          </w:p>
        </w:tc>
        <w:tc>
          <w:tcPr>
            <w:tcW w:w="945" w:type="dxa"/>
            <w:shd w:val="clear" w:color="auto" w:fill="auto"/>
            <w:tcMar>
              <w:top w:w="15" w:type="dxa"/>
              <w:left w:w="15" w:type="dxa"/>
              <w:right w:w="15" w:type="dxa"/>
            </w:tcMar>
            <w:vAlign w:val="center"/>
          </w:tcPr>
          <w:p>
            <w:pPr>
              <w:pStyle w:val="24"/>
              <w:bidi w:val="0"/>
            </w:pPr>
            <w:r>
              <w:rPr>
                <w:rFonts w:hint="eastAsia"/>
              </w:rPr>
              <w:t>达标</w:t>
            </w:r>
          </w:p>
        </w:tc>
        <w:tc>
          <w:tcPr>
            <w:tcW w:w="877" w:type="dxa"/>
            <w:shd w:val="clear" w:color="auto" w:fill="auto"/>
            <w:tcMar>
              <w:top w:w="15" w:type="dxa"/>
              <w:left w:w="15" w:type="dxa"/>
              <w:right w:w="15" w:type="dxa"/>
            </w:tcMar>
            <w:vAlign w:val="center"/>
          </w:tcPr>
          <w:p>
            <w:pPr>
              <w:pStyle w:val="24"/>
              <w:bidi w:val="0"/>
            </w:pPr>
            <w:r>
              <w:rPr>
                <w:rFonts w:hint="eastAsia"/>
              </w:rPr>
              <w:t>达标</w:t>
            </w:r>
          </w:p>
        </w:tc>
        <w:tc>
          <w:tcPr>
            <w:tcW w:w="884" w:type="dxa"/>
            <w:shd w:val="clear" w:color="auto" w:fill="auto"/>
            <w:tcMar>
              <w:top w:w="15" w:type="dxa"/>
              <w:left w:w="15" w:type="dxa"/>
              <w:right w:w="15" w:type="dxa"/>
            </w:tcMar>
            <w:vAlign w:val="center"/>
          </w:tcPr>
          <w:p>
            <w:pPr>
              <w:pStyle w:val="24"/>
              <w:bidi w:val="0"/>
            </w:pPr>
            <w:r>
              <w:rPr>
                <w:rFonts w:hint="eastAsia"/>
              </w:rPr>
              <w:t>达标</w:t>
            </w:r>
          </w:p>
        </w:tc>
        <w:tc>
          <w:tcPr>
            <w:tcW w:w="946" w:type="dxa"/>
            <w:shd w:val="clear" w:color="auto" w:fill="auto"/>
            <w:tcMar>
              <w:top w:w="15" w:type="dxa"/>
              <w:left w:w="15" w:type="dxa"/>
              <w:right w:w="15" w:type="dxa"/>
            </w:tcMar>
            <w:vAlign w:val="center"/>
          </w:tcPr>
          <w:p>
            <w:pPr>
              <w:pStyle w:val="24"/>
              <w:bidi w:val="0"/>
            </w:pPr>
            <w:r>
              <w:rPr>
                <w:rFonts w:hint="eastAsia"/>
              </w:rPr>
              <w:t>达标</w:t>
            </w:r>
          </w:p>
        </w:tc>
        <w:tc>
          <w:tcPr>
            <w:tcW w:w="815" w:type="dxa"/>
            <w:shd w:val="clear" w:color="auto" w:fill="auto"/>
            <w:tcMar>
              <w:top w:w="15" w:type="dxa"/>
              <w:left w:w="15" w:type="dxa"/>
              <w:right w:w="15" w:type="dxa"/>
            </w:tcMar>
            <w:vAlign w:val="center"/>
          </w:tcPr>
          <w:p>
            <w:pPr>
              <w:pStyle w:val="24"/>
              <w:bidi w:val="0"/>
            </w:pPr>
            <w:r>
              <w:rPr>
                <w:rFonts w:hint="eastAsia"/>
              </w:rPr>
              <w:t>达标</w:t>
            </w:r>
          </w:p>
        </w:tc>
        <w:tc>
          <w:tcPr>
            <w:tcW w:w="739" w:type="dxa"/>
            <w:shd w:val="clear" w:color="auto" w:fill="auto"/>
            <w:tcMar>
              <w:top w:w="15" w:type="dxa"/>
              <w:left w:w="15" w:type="dxa"/>
              <w:right w:w="15" w:type="dxa"/>
            </w:tcMar>
            <w:vAlign w:val="center"/>
          </w:tcPr>
          <w:p>
            <w:pPr>
              <w:pStyle w:val="24"/>
              <w:bidi w:val="0"/>
            </w:pPr>
            <w:r>
              <w:rPr>
                <w:rFonts w:hint="eastAsia"/>
              </w:rPr>
              <w:t>达标</w:t>
            </w:r>
          </w:p>
        </w:tc>
        <w:tc>
          <w:tcPr>
            <w:tcW w:w="703" w:type="dxa"/>
            <w:shd w:val="clear" w:color="auto" w:fill="auto"/>
            <w:tcMar>
              <w:top w:w="15" w:type="dxa"/>
              <w:left w:w="15" w:type="dxa"/>
              <w:right w:w="15" w:type="dxa"/>
            </w:tcMar>
            <w:vAlign w:val="center"/>
          </w:tcPr>
          <w:p>
            <w:pPr>
              <w:pStyle w:val="24"/>
              <w:bidi w:val="0"/>
            </w:pPr>
            <w:r>
              <w:rPr>
                <w:rFonts w:hint="eastAsia"/>
              </w:rPr>
              <w:t>达标</w:t>
            </w:r>
          </w:p>
        </w:tc>
        <w:tc>
          <w:tcPr>
            <w:tcW w:w="806" w:type="dxa"/>
            <w:shd w:val="clear" w:color="auto" w:fill="auto"/>
            <w:tcMar>
              <w:top w:w="15" w:type="dxa"/>
              <w:left w:w="15" w:type="dxa"/>
              <w:right w:w="15" w:type="dxa"/>
            </w:tcMar>
            <w:vAlign w:val="center"/>
          </w:tcPr>
          <w:p>
            <w:pPr>
              <w:pStyle w:val="24"/>
              <w:bidi w:val="0"/>
            </w:pPr>
            <w:r>
              <w:rPr>
                <w:rFonts w:hint="eastAsia"/>
              </w:rPr>
              <w:t>达标</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rPr>
                <w:rFonts w:hint="eastAsia"/>
              </w:rPr>
              <w:t>3</w:t>
            </w: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0.022</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0.15</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0.00867</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0.027</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0.18</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0.008</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0.031</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0.21</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0.00815</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0.038</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0.26</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0.00772</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843" w:type="dxa"/>
            <w:shd w:val="clear" w:color="auto" w:fill="auto"/>
            <w:tcMar>
              <w:top w:w="15" w:type="dxa"/>
              <w:left w:w="15" w:type="dxa"/>
              <w:right w:w="15" w:type="dxa"/>
            </w:tcMar>
            <w:vAlign w:val="center"/>
          </w:tcPr>
          <w:p>
            <w:pPr>
              <w:pStyle w:val="24"/>
              <w:bidi w:val="0"/>
            </w:pPr>
            <w:r>
              <w:rPr>
                <w:rFonts w:hint="eastAsia"/>
              </w:rPr>
              <w:t>1.00</w:t>
            </w:r>
          </w:p>
        </w:tc>
        <w:tc>
          <w:tcPr>
            <w:tcW w:w="834" w:type="dxa"/>
            <w:shd w:val="clear" w:color="auto" w:fill="auto"/>
            <w:tcMar>
              <w:top w:w="15" w:type="dxa"/>
              <w:left w:w="15" w:type="dxa"/>
              <w:right w:w="15" w:type="dxa"/>
            </w:tcMar>
            <w:vAlign w:val="center"/>
          </w:tcPr>
          <w:p>
            <w:pPr>
              <w:pStyle w:val="24"/>
              <w:bidi w:val="0"/>
            </w:pPr>
            <w:r>
              <w:rPr>
                <w:rFonts w:hint="eastAsia"/>
              </w:rPr>
              <w:t>20.0</w:t>
            </w:r>
          </w:p>
        </w:tc>
        <w:tc>
          <w:tcPr>
            <w:tcW w:w="935" w:type="dxa"/>
            <w:shd w:val="clear" w:color="auto" w:fill="auto"/>
            <w:tcMar>
              <w:top w:w="15" w:type="dxa"/>
              <w:left w:w="15" w:type="dxa"/>
              <w:right w:w="15" w:type="dxa"/>
            </w:tcMar>
            <w:vAlign w:val="center"/>
          </w:tcPr>
          <w:p>
            <w:pPr>
              <w:pStyle w:val="24"/>
              <w:bidi w:val="0"/>
            </w:pPr>
            <w:r>
              <w:rPr>
                <w:rFonts w:hint="eastAsia"/>
              </w:rPr>
              <w:t>0.05</w:t>
            </w:r>
          </w:p>
        </w:tc>
        <w:tc>
          <w:tcPr>
            <w:tcW w:w="892" w:type="dxa"/>
            <w:shd w:val="clear" w:color="auto" w:fill="auto"/>
            <w:tcMar>
              <w:top w:w="15" w:type="dxa"/>
              <w:left w:w="15" w:type="dxa"/>
              <w:right w:w="15" w:type="dxa"/>
            </w:tcMar>
            <w:vAlign w:val="center"/>
          </w:tcPr>
          <w:p>
            <w:pPr>
              <w:pStyle w:val="24"/>
              <w:bidi w:val="0"/>
            </w:pPr>
            <w:r>
              <w:rPr>
                <w:rFonts w:hint="eastAsia"/>
              </w:rPr>
              <w:t>0.001</w:t>
            </w:r>
          </w:p>
        </w:tc>
        <w:tc>
          <w:tcPr>
            <w:tcW w:w="945" w:type="dxa"/>
            <w:shd w:val="clear" w:color="auto" w:fill="auto"/>
            <w:tcMar>
              <w:top w:w="15" w:type="dxa"/>
              <w:left w:w="15" w:type="dxa"/>
              <w:right w:w="15" w:type="dxa"/>
            </w:tcMar>
            <w:vAlign w:val="center"/>
          </w:tcPr>
          <w:p>
            <w:pPr>
              <w:pStyle w:val="24"/>
              <w:bidi w:val="0"/>
            </w:pPr>
            <w:r>
              <w:rPr>
                <w:rFonts w:hint="eastAsia"/>
              </w:rPr>
              <w:t>0.01</w:t>
            </w:r>
          </w:p>
        </w:tc>
        <w:tc>
          <w:tcPr>
            <w:tcW w:w="877" w:type="dxa"/>
            <w:shd w:val="clear" w:color="auto" w:fill="auto"/>
            <w:tcMar>
              <w:top w:w="15" w:type="dxa"/>
              <w:left w:w="15" w:type="dxa"/>
              <w:right w:w="15" w:type="dxa"/>
            </w:tcMar>
            <w:vAlign w:val="center"/>
          </w:tcPr>
          <w:p>
            <w:pPr>
              <w:pStyle w:val="24"/>
              <w:bidi w:val="0"/>
            </w:pPr>
            <w:r>
              <w:rPr>
                <w:rFonts w:hint="eastAsia"/>
              </w:rPr>
              <w:t>0.005</w:t>
            </w:r>
          </w:p>
        </w:tc>
        <w:tc>
          <w:tcPr>
            <w:tcW w:w="884" w:type="dxa"/>
            <w:shd w:val="clear" w:color="auto" w:fill="auto"/>
            <w:tcMar>
              <w:top w:w="15" w:type="dxa"/>
              <w:left w:w="15" w:type="dxa"/>
              <w:right w:w="15" w:type="dxa"/>
            </w:tcMar>
            <w:vAlign w:val="center"/>
          </w:tcPr>
          <w:p>
            <w:pPr>
              <w:pStyle w:val="24"/>
              <w:bidi w:val="0"/>
            </w:pPr>
            <w:r>
              <w:rPr>
                <w:rFonts w:hint="eastAsia"/>
              </w:rPr>
              <w:t>0.05</w:t>
            </w:r>
          </w:p>
        </w:tc>
        <w:tc>
          <w:tcPr>
            <w:tcW w:w="946" w:type="dxa"/>
            <w:shd w:val="clear" w:color="auto" w:fill="auto"/>
            <w:tcMar>
              <w:top w:w="15" w:type="dxa"/>
              <w:left w:w="15" w:type="dxa"/>
              <w:right w:w="15" w:type="dxa"/>
            </w:tcMar>
            <w:vAlign w:val="center"/>
          </w:tcPr>
          <w:p>
            <w:pPr>
              <w:pStyle w:val="24"/>
              <w:bidi w:val="0"/>
            </w:pPr>
            <w:r>
              <w:rPr>
                <w:rFonts w:hint="eastAsia"/>
              </w:rPr>
              <w:t>0.01</w:t>
            </w:r>
          </w:p>
        </w:tc>
        <w:tc>
          <w:tcPr>
            <w:tcW w:w="815" w:type="dxa"/>
            <w:shd w:val="clear" w:color="auto" w:fill="auto"/>
            <w:tcMar>
              <w:top w:w="15" w:type="dxa"/>
              <w:left w:w="15" w:type="dxa"/>
              <w:right w:w="15" w:type="dxa"/>
            </w:tcMar>
            <w:vAlign w:val="center"/>
          </w:tcPr>
          <w:p>
            <w:pPr>
              <w:pStyle w:val="24"/>
              <w:bidi w:val="0"/>
            </w:pPr>
            <w:r>
              <w:rPr>
                <w:rFonts w:hint="eastAsia"/>
              </w:rPr>
              <w:t>0.01</w:t>
            </w:r>
          </w:p>
        </w:tc>
        <w:tc>
          <w:tcPr>
            <w:tcW w:w="739" w:type="dxa"/>
            <w:shd w:val="clear" w:color="auto" w:fill="auto"/>
            <w:tcMar>
              <w:top w:w="15" w:type="dxa"/>
              <w:left w:w="15" w:type="dxa"/>
              <w:right w:w="15" w:type="dxa"/>
            </w:tcMar>
            <w:vAlign w:val="center"/>
          </w:tcPr>
          <w:p>
            <w:pPr>
              <w:pStyle w:val="24"/>
              <w:bidi w:val="0"/>
            </w:pPr>
            <w:r>
              <w:rPr>
                <w:rFonts w:hint="eastAsia"/>
              </w:rPr>
              <w:t>0.7</w:t>
            </w:r>
          </w:p>
        </w:tc>
        <w:tc>
          <w:tcPr>
            <w:tcW w:w="703" w:type="dxa"/>
            <w:shd w:val="clear" w:color="auto" w:fill="auto"/>
            <w:tcMar>
              <w:top w:w="15" w:type="dxa"/>
              <w:left w:w="15" w:type="dxa"/>
              <w:right w:w="15" w:type="dxa"/>
            </w:tcMar>
            <w:vAlign w:val="center"/>
          </w:tcPr>
          <w:p>
            <w:pPr>
              <w:pStyle w:val="24"/>
              <w:bidi w:val="0"/>
            </w:pPr>
            <w:r>
              <w:rPr>
                <w:rFonts w:hint="eastAsia"/>
              </w:rPr>
              <w:t>0.5</w:t>
            </w:r>
          </w:p>
        </w:tc>
        <w:tc>
          <w:tcPr>
            <w:tcW w:w="806" w:type="dxa"/>
            <w:shd w:val="clear" w:color="auto" w:fill="auto"/>
            <w:tcMar>
              <w:top w:w="15" w:type="dxa"/>
              <w:left w:w="15" w:type="dxa"/>
              <w:right w:w="15" w:type="dxa"/>
            </w:tcMar>
            <w:vAlign w:val="center"/>
          </w:tcPr>
          <w:p>
            <w:pPr>
              <w:pStyle w:val="24"/>
              <w:bidi w:val="0"/>
            </w:pPr>
            <w:r>
              <w:rPr>
                <w:rFonts w:hint="eastAsia"/>
              </w:rPr>
              <w:t>0.02</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843" w:type="dxa"/>
            <w:shd w:val="clear" w:color="auto" w:fill="auto"/>
            <w:tcMar>
              <w:top w:w="15" w:type="dxa"/>
              <w:left w:w="15" w:type="dxa"/>
              <w:right w:w="15" w:type="dxa"/>
            </w:tcMar>
            <w:vAlign w:val="center"/>
          </w:tcPr>
          <w:p>
            <w:pPr>
              <w:pStyle w:val="24"/>
              <w:bidi w:val="0"/>
            </w:pPr>
            <w:r>
              <w:rPr>
                <w:rFonts w:hint="eastAsia"/>
              </w:rPr>
              <w:t>达标</w:t>
            </w:r>
          </w:p>
        </w:tc>
        <w:tc>
          <w:tcPr>
            <w:tcW w:w="834" w:type="dxa"/>
            <w:shd w:val="clear" w:color="auto" w:fill="auto"/>
            <w:tcMar>
              <w:top w:w="15" w:type="dxa"/>
              <w:left w:w="15" w:type="dxa"/>
              <w:right w:w="15" w:type="dxa"/>
            </w:tcMar>
            <w:vAlign w:val="center"/>
          </w:tcPr>
          <w:p>
            <w:pPr>
              <w:pStyle w:val="24"/>
              <w:bidi w:val="0"/>
            </w:pPr>
            <w:r>
              <w:rPr>
                <w:rFonts w:hint="eastAsia"/>
              </w:rPr>
              <w:t>达标</w:t>
            </w:r>
          </w:p>
        </w:tc>
        <w:tc>
          <w:tcPr>
            <w:tcW w:w="935" w:type="dxa"/>
            <w:shd w:val="clear" w:color="auto" w:fill="auto"/>
            <w:tcMar>
              <w:top w:w="15" w:type="dxa"/>
              <w:left w:w="15" w:type="dxa"/>
              <w:right w:w="15" w:type="dxa"/>
            </w:tcMar>
            <w:vAlign w:val="center"/>
          </w:tcPr>
          <w:p>
            <w:pPr>
              <w:pStyle w:val="24"/>
              <w:bidi w:val="0"/>
            </w:pPr>
            <w:r>
              <w:rPr>
                <w:rFonts w:hint="eastAsia"/>
              </w:rPr>
              <w:t>达标</w:t>
            </w:r>
          </w:p>
        </w:tc>
        <w:tc>
          <w:tcPr>
            <w:tcW w:w="892" w:type="dxa"/>
            <w:shd w:val="clear" w:color="auto" w:fill="auto"/>
            <w:tcMar>
              <w:top w:w="15" w:type="dxa"/>
              <w:left w:w="15" w:type="dxa"/>
              <w:right w:w="15" w:type="dxa"/>
            </w:tcMar>
            <w:vAlign w:val="center"/>
          </w:tcPr>
          <w:p>
            <w:pPr>
              <w:pStyle w:val="24"/>
              <w:bidi w:val="0"/>
            </w:pPr>
            <w:r>
              <w:rPr>
                <w:rFonts w:hint="eastAsia"/>
              </w:rPr>
              <w:t>达标</w:t>
            </w:r>
          </w:p>
        </w:tc>
        <w:tc>
          <w:tcPr>
            <w:tcW w:w="945" w:type="dxa"/>
            <w:shd w:val="clear" w:color="auto" w:fill="auto"/>
            <w:tcMar>
              <w:top w:w="15" w:type="dxa"/>
              <w:left w:w="15" w:type="dxa"/>
              <w:right w:w="15" w:type="dxa"/>
            </w:tcMar>
            <w:vAlign w:val="center"/>
          </w:tcPr>
          <w:p>
            <w:pPr>
              <w:pStyle w:val="24"/>
              <w:bidi w:val="0"/>
            </w:pPr>
            <w:r>
              <w:rPr>
                <w:rFonts w:hint="eastAsia"/>
              </w:rPr>
              <w:t>达标</w:t>
            </w:r>
          </w:p>
        </w:tc>
        <w:tc>
          <w:tcPr>
            <w:tcW w:w="877" w:type="dxa"/>
            <w:shd w:val="clear" w:color="auto" w:fill="auto"/>
            <w:tcMar>
              <w:top w:w="15" w:type="dxa"/>
              <w:left w:w="15" w:type="dxa"/>
              <w:right w:w="15" w:type="dxa"/>
            </w:tcMar>
            <w:vAlign w:val="center"/>
          </w:tcPr>
          <w:p>
            <w:pPr>
              <w:pStyle w:val="24"/>
              <w:bidi w:val="0"/>
            </w:pPr>
            <w:r>
              <w:rPr>
                <w:rFonts w:hint="eastAsia"/>
              </w:rPr>
              <w:t>达标</w:t>
            </w:r>
          </w:p>
        </w:tc>
        <w:tc>
          <w:tcPr>
            <w:tcW w:w="884" w:type="dxa"/>
            <w:shd w:val="clear" w:color="auto" w:fill="auto"/>
            <w:tcMar>
              <w:top w:w="15" w:type="dxa"/>
              <w:left w:w="15" w:type="dxa"/>
              <w:right w:w="15" w:type="dxa"/>
            </w:tcMar>
            <w:vAlign w:val="center"/>
          </w:tcPr>
          <w:p>
            <w:pPr>
              <w:pStyle w:val="24"/>
              <w:bidi w:val="0"/>
            </w:pPr>
            <w:r>
              <w:rPr>
                <w:rFonts w:hint="eastAsia"/>
              </w:rPr>
              <w:t>达标</w:t>
            </w:r>
          </w:p>
        </w:tc>
        <w:tc>
          <w:tcPr>
            <w:tcW w:w="946" w:type="dxa"/>
            <w:shd w:val="clear" w:color="auto" w:fill="auto"/>
            <w:tcMar>
              <w:top w:w="15" w:type="dxa"/>
              <w:left w:w="15" w:type="dxa"/>
              <w:right w:w="15" w:type="dxa"/>
            </w:tcMar>
            <w:vAlign w:val="center"/>
          </w:tcPr>
          <w:p>
            <w:pPr>
              <w:pStyle w:val="24"/>
              <w:bidi w:val="0"/>
            </w:pPr>
            <w:r>
              <w:rPr>
                <w:rFonts w:hint="eastAsia"/>
              </w:rPr>
              <w:t>达标</w:t>
            </w:r>
          </w:p>
        </w:tc>
        <w:tc>
          <w:tcPr>
            <w:tcW w:w="815" w:type="dxa"/>
            <w:shd w:val="clear" w:color="auto" w:fill="auto"/>
            <w:tcMar>
              <w:top w:w="15" w:type="dxa"/>
              <w:left w:w="15" w:type="dxa"/>
              <w:right w:w="15" w:type="dxa"/>
            </w:tcMar>
            <w:vAlign w:val="center"/>
          </w:tcPr>
          <w:p>
            <w:pPr>
              <w:pStyle w:val="24"/>
              <w:bidi w:val="0"/>
            </w:pPr>
            <w:r>
              <w:rPr>
                <w:rFonts w:hint="eastAsia"/>
              </w:rPr>
              <w:t>达标</w:t>
            </w:r>
          </w:p>
        </w:tc>
        <w:tc>
          <w:tcPr>
            <w:tcW w:w="739" w:type="dxa"/>
            <w:shd w:val="clear" w:color="auto" w:fill="auto"/>
            <w:tcMar>
              <w:top w:w="15" w:type="dxa"/>
              <w:left w:w="15" w:type="dxa"/>
              <w:right w:w="15" w:type="dxa"/>
            </w:tcMar>
            <w:vAlign w:val="center"/>
          </w:tcPr>
          <w:p>
            <w:pPr>
              <w:pStyle w:val="24"/>
              <w:bidi w:val="0"/>
            </w:pPr>
            <w:r>
              <w:rPr>
                <w:rFonts w:hint="eastAsia"/>
              </w:rPr>
              <w:t>达标</w:t>
            </w:r>
          </w:p>
        </w:tc>
        <w:tc>
          <w:tcPr>
            <w:tcW w:w="703" w:type="dxa"/>
            <w:shd w:val="clear" w:color="auto" w:fill="auto"/>
            <w:tcMar>
              <w:top w:w="15" w:type="dxa"/>
              <w:left w:w="15" w:type="dxa"/>
              <w:right w:w="15" w:type="dxa"/>
            </w:tcMar>
            <w:vAlign w:val="center"/>
          </w:tcPr>
          <w:p>
            <w:pPr>
              <w:pStyle w:val="24"/>
              <w:bidi w:val="0"/>
            </w:pPr>
            <w:r>
              <w:rPr>
                <w:rFonts w:hint="eastAsia"/>
              </w:rPr>
              <w:t>达标</w:t>
            </w:r>
          </w:p>
        </w:tc>
        <w:tc>
          <w:tcPr>
            <w:tcW w:w="806" w:type="dxa"/>
            <w:shd w:val="clear" w:color="auto" w:fill="auto"/>
            <w:tcMar>
              <w:top w:w="15" w:type="dxa"/>
              <w:left w:w="15" w:type="dxa"/>
              <w:right w:w="15" w:type="dxa"/>
            </w:tcMar>
            <w:vAlign w:val="center"/>
          </w:tcPr>
          <w:p>
            <w:pPr>
              <w:pStyle w:val="24"/>
              <w:bidi w:val="0"/>
            </w:pPr>
            <w:r>
              <w:rPr>
                <w:rFonts w:hint="eastAsia"/>
              </w:rPr>
              <w:t>达标</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rPr>
                <w:rFonts w:hint="eastAsia"/>
              </w:rPr>
              <w:t>4</w:t>
            </w: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0.009</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3.28</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0.00659</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0.00011</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0.006</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3.37</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0.00673</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0.012</w:t>
            </w:r>
          </w:p>
        </w:tc>
        <w:tc>
          <w:tcPr>
            <w:tcW w:w="834" w:type="dxa"/>
            <w:shd w:val="clear" w:color="auto" w:fill="auto"/>
            <w:tcMar>
              <w:top w:w="15" w:type="dxa"/>
              <w:left w:w="15" w:type="dxa"/>
              <w:right w:w="15" w:type="dxa"/>
            </w:tcMar>
            <w:vAlign w:val="center"/>
          </w:tcPr>
          <w:p>
            <w:pPr>
              <w:pStyle w:val="24"/>
              <w:bidi w:val="0"/>
              <w:rPr>
                <w:rFonts w:hint="default"/>
                <w:lang w:val="en-US"/>
              </w:rPr>
            </w:pPr>
            <w:r>
              <w:rPr>
                <w:rFonts w:hint="eastAsia"/>
                <w:lang w:val="en-US" w:eastAsia="zh-CN"/>
              </w:rPr>
              <w:t>3.20</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0.00637</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0.00009L</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0.017</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3.12</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0.00626</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0.00009</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843" w:type="dxa"/>
            <w:shd w:val="clear" w:color="auto" w:fill="auto"/>
            <w:tcMar>
              <w:top w:w="15" w:type="dxa"/>
              <w:left w:w="15" w:type="dxa"/>
              <w:right w:w="15" w:type="dxa"/>
            </w:tcMar>
            <w:vAlign w:val="center"/>
          </w:tcPr>
          <w:p>
            <w:pPr>
              <w:pStyle w:val="24"/>
              <w:bidi w:val="0"/>
            </w:pPr>
            <w:r>
              <w:rPr>
                <w:rFonts w:hint="eastAsia"/>
              </w:rPr>
              <w:t>1.00</w:t>
            </w:r>
          </w:p>
        </w:tc>
        <w:tc>
          <w:tcPr>
            <w:tcW w:w="834" w:type="dxa"/>
            <w:shd w:val="clear" w:color="auto" w:fill="auto"/>
            <w:tcMar>
              <w:top w:w="15" w:type="dxa"/>
              <w:left w:w="15" w:type="dxa"/>
              <w:right w:w="15" w:type="dxa"/>
            </w:tcMar>
            <w:vAlign w:val="center"/>
          </w:tcPr>
          <w:p>
            <w:pPr>
              <w:pStyle w:val="24"/>
              <w:bidi w:val="0"/>
            </w:pPr>
            <w:r>
              <w:rPr>
                <w:rFonts w:hint="eastAsia"/>
              </w:rPr>
              <w:t>20.0</w:t>
            </w:r>
          </w:p>
        </w:tc>
        <w:tc>
          <w:tcPr>
            <w:tcW w:w="935" w:type="dxa"/>
            <w:shd w:val="clear" w:color="auto" w:fill="auto"/>
            <w:tcMar>
              <w:top w:w="15" w:type="dxa"/>
              <w:left w:w="15" w:type="dxa"/>
              <w:right w:w="15" w:type="dxa"/>
            </w:tcMar>
            <w:vAlign w:val="center"/>
          </w:tcPr>
          <w:p>
            <w:pPr>
              <w:pStyle w:val="24"/>
              <w:bidi w:val="0"/>
            </w:pPr>
            <w:r>
              <w:rPr>
                <w:rFonts w:hint="eastAsia"/>
              </w:rPr>
              <w:t>0.05</w:t>
            </w:r>
          </w:p>
        </w:tc>
        <w:tc>
          <w:tcPr>
            <w:tcW w:w="892" w:type="dxa"/>
            <w:shd w:val="clear" w:color="auto" w:fill="auto"/>
            <w:tcMar>
              <w:top w:w="15" w:type="dxa"/>
              <w:left w:w="15" w:type="dxa"/>
              <w:right w:w="15" w:type="dxa"/>
            </w:tcMar>
            <w:vAlign w:val="center"/>
          </w:tcPr>
          <w:p>
            <w:pPr>
              <w:pStyle w:val="24"/>
              <w:bidi w:val="0"/>
            </w:pPr>
            <w:r>
              <w:rPr>
                <w:rFonts w:hint="eastAsia"/>
              </w:rPr>
              <w:t>0.001</w:t>
            </w:r>
          </w:p>
        </w:tc>
        <w:tc>
          <w:tcPr>
            <w:tcW w:w="945" w:type="dxa"/>
            <w:shd w:val="clear" w:color="auto" w:fill="auto"/>
            <w:tcMar>
              <w:top w:w="15" w:type="dxa"/>
              <w:left w:w="15" w:type="dxa"/>
              <w:right w:w="15" w:type="dxa"/>
            </w:tcMar>
            <w:vAlign w:val="center"/>
          </w:tcPr>
          <w:p>
            <w:pPr>
              <w:pStyle w:val="24"/>
              <w:bidi w:val="0"/>
            </w:pPr>
            <w:r>
              <w:rPr>
                <w:rFonts w:hint="eastAsia"/>
              </w:rPr>
              <w:t>0.01</w:t>
            </w:r>
          </w:p>
        </w:tc>
        <w:tc>
          <w:tcPr>
            <w:tcW w:w="877" w:type="dxa"/>
            <w:shd w:val="clear" w:color="auto" w:fill="auto"/>
            <w:tcMar>
              <w:top w:w="15" w:type="dxa"/>
              <w:left w:w="15" w:type="dxa"/>
              <w:right w:w="15" w:type="dxa"/>
            </w:tcMar>
            <w:vAlign w:val="center"/>
          </w:tcPr>
          <w:p>
            <w:pPr>
              <w:pStyle w:val="24"/>
              <w:bidi w:val="0"/>
            </w:pPr>
            <w:r>
              <w:rPr>
                <w:rFonts w:hint="eastAsia"/>
              </w:rPr>
              <w:t>0.005</w:t>
            </w:r>
          </w:p>
        </w:tc>
        <w:tc>
          <w:tcPr>
            <w:tcW w:w="884" w:type="dxa"/>
            <w:shd w:val="clear" w:color="auto" w:fill="auto"/>
            <w:tcMar>
              <w:top w:w="15" w:type="dxa"/>
              <w:left w:w="15" w:type="dxa"/>
              <w:right w:w="15" w:type="dxa"/>
            </w:tcMar>
            <w:vAlign w:val="center"/>
          </w:tcPr>
          <w:p>
            <w:pPr>
              <w:pStyle w:val="24"/>
              <w:bidi w:val="0"/>
            </w:pPr>
            <w:r>
              <w:rPr>
                <w:rFonts w:hint="eastAsia"/>
              </w:rPr>
              <w:t>0.05</w:t>
            </w:r>
          </w:p>
        </w:tc>
        <w:tc>
          <w:tcPr>
            <w:tcW w:w="946" w:type="dxa"/>
            <w:shd w:val="clear" w:color="auto" w:fill="auto"/>
            <w:tcMar>
              <w:top w:w="15" w:type="dxa"/>
              <w:left w:w="15" w:type="dxa"/>
              <w:right w:w="15" w:type="dxa"/>
            </w:tcMar>
            <w:vAlign w:val="center"/>
          </w:tcPr>
          <w:p>
            <w:pPr>
              <w:pStyle w:val="24"/>
              <w:bidi w:val="0"/>
            </w:pPr>
            <w:r>
              <w:rPr>
                <w:rFonts w:hint="eastAsia"/>
              </w:rPr>
              <w:t>0.01</w:t>
            </w:r>
          </w:p>
        </w:tc>
        <w:tc>
          <w:tcPr>
            <w:tcW w:w="815" w:type="dxa"/>
            <w:shd w:val="clear" w:color="auto" w:fill="auto"/>
            <w:tcMar>
              <w:top w:w="15" w:type="dxa"/>
              <w:left w:w="15" w:type="dxa"/>
              <w:right w:w="15" w:type="dxa"/>
            </w:tcMar>
            <w:vAlign w:val="center"/>
          </w:tcPr>
          <w:p>
            <w:pPr>
              <w:pStyle w:val="24"/>
              <w:bidi w:val="0"/>
            </w:pPr>
            <w:r>
              <w:rPr>
                <w:rFonts w:hint="eastAsia"/>
              </w:rPr>
              <w:t>0.01</w:t>
            </w:r>
          </w:p>
        </w:tc>
        <w:tc>
          <w:tcPr>
            <w:tcW w:w="739" w:type="dxa"/>
            <w:shd w:val="clear" w:color="auto" w:fill="auto"/>
            <w:tcMar>
              <w:top w:w="15" w:type="dxa"/>
              <w:left w:w="15" w:type="dxa"/>
              <w:right w:w="15" w:type="dxa"/>
            </w:tcMar>
            <w:vAlign w:val="center"/>
          </w:tcPr>
          <w:p>
            <w:pPr>
              <w:pStyle w:val="24"/>
              <w:bidi w:val="0"/>
            </w:pPr>
            <w:r>
              <w:rPr>
                <w:rFonts w:hint="eastAsia"/>
              </w:rPr>
              <w:t>0.7</w:t>
            </w:r>
          </w:p>
        </w:tc>
        <w:tc>
          <w:tcPr>
            <w:tcW w:w="703" w:type="dxa"/>
            <w:shd w:val="clear" w:color="auto" w:fill="auto"/>
            <w:tcMar>
              <w:top w:w="15" w:type="dxa"/>
              <w:left w:w="15" w:type="dxa"/>
              <w:right w:w="15" w:type="dxa"/>
            </w:tcMar>
            <w:vAlign w:val="center"/>
          </w:tcPr>
          <w:p>
            <w:pPr>
              <w:pStyle w:val="24"/>
              <w:bidi w:val="0"/>
            </w:pPr>
            <w:r>
              <w:rPr>
                <w:rFonts w:hint="eastAsia"/>
              </w:rPr>
              <w:t>0.5</w:t>
            </w:r>
          </w:p>
        </w:tc>
        <w:tc>
          <w:tcPr>
            <w:tcW w:w="806" w:type="dxa"/>
            <w:shd w:val="clear" w:color="auto" w:fill="auto"/>
            <w:tcMar>
              <w:top w:w="15" w:type="dxa"/>
              <w:left w:w="15" w:type="dxa"/>
              <w:right w:w="15" w:type="dxa"/>
            </w:tcMar>
            <w:vAlign w:val="center"/>
          </w:tcPr>
          <w:p>
            <w:pPr>
              <w:pStyle w:val="24"/>
              <w:bidi w:val="0"/>
            </w:pPr>
            <w:r>
              <w:rPr>
                <w:rFonts w:hint="eastAsia"/>
              </w:rPr>
              <w:t>0.02</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843" w:type="dxa"/>
            <w:shd w:val="clear" w:color="auto" w:fill="auto"/>
            <w:tcMar>
              <w:top w:w="15" w:type="dxa"/>
              <w:left w:w="15" w:type="dxa"/>
              <w:right w:w="15" w:type="dxa"/>
            </w:tcMar>
            <w:vAlign w:val="center"/>
          </w:tcPr>
          <w:p>
            <w:pPr>
              <w:pStyle w:val="24"/>
              <w:bidi w:val="0"/>
            </w:pPr>
            <w:r>
              <w:rPr>
                <w:rFonts w:hint="eastAsia"/>
              </w:rPr>
              <w:t>达标</w:t>
            </w:r>
          </w:p>
        </w:tc>
        <w:tc>
          <w:tcPr>
            <w:tcW w:w="834" w:type="dxa"/>
            <w:shd w:val="clear" w:color="auto" w:fill="auto"/>
            <w:tcMar>
              <w:top w:w="15" w:type="dxa"/>
              <w:left w:w="15" w:type="dxa"/>
              <w:right w:w="15" w:type="dxa"/>
            </w:tcMar>
            <w:vAlign w:val="center"/>
          </w:tcPr>
          <w:p>
            <w:pPr>
              <w:pStyle w:val="24"/>
              <w:bidi w:val="0"/>
            </w:pPr>
            <w:r>
              <w:rPr>
                <w:rFonts w:hint="eastAsia"/>
              </w:rPr>
              <w:t>达标</w:t>
            </w:r>
          </w:p>
        </w:tc>
        <w:tc>
          <w:tcPr>
            <w:tcW w:w="935" w:type="dxa"/>
            <w:shd w:val="clear" w:color="auto" w:fill="auto"/>
            <w:tcMar>
              <w:top w:w="15" w:type="dxa"/>
              <w:left w:w="15" w:type="dxa"/>
              <w:right w:w="15" w:type="dxa"/>
            </w:tcMar>
            <w:vAlign w:val="center"/>
          </w:tcPr>
          <w:p>
            <w:pPr>
              <w:pStyle w:val="24"/>
              <w:bidi w:val="0"/>
            </w:pPr>
            <w:r>
              <w:rPr>
                <w:rFonts w:hint="eastAsia"/>
              </w:rPr>
              <w:t>达标</w:t>
            </w:r>
          </w:p>
        </w:tc>
        <w:tc>
          <w:tcPr>
            <w:tcW w:w="892" w:type="dxa"/>
            <w:shd w:val="clear" w:color="auto" w:fill="auto"/>
            <w:tcMar>
              <w:top w:w="15" w:type="dxa"/>
              <w:left w:w="15" w:type="dxa"/>
              <w:right w:w="15" w:type="dxa"/>
            </w:tcMar>
            <w:vAlign w:val="center"/>
          </w:tcPr>
          <w:p>
            <w:pPr>
              <w:pStyle w:val="24"/>
              <w:bidi w:val="0"/>
            </w:pPr>
            <w:r>
              <w:rPr>
                <w:rFonts w:hint="eastAsia"/>
              </w:rPr>
              <w:t>达标</w:t>
            </w:r>
          </w:p>
        </w:tc>
        <w:tc>
          <w:tcPr>
            <w:tcW w:w="945" w:type="dxa"/>
            <w:shd w:val="clear" w:color="auto" w:fill="auto"/>
            <w:tcMar>
              <w:top w:w="15" w:type="dxa"/>
              <w:left w:w="15" w:type="dxa"/>
              <w:right w:w="15" w:type="dxa"/>
            </w:tcMar>
            <w:vAlign w:val="center"/>
          </w:tcPr>
          <w:p>
            <w:pPr>
              <w:pStyle w:val="24"/>
              <w:bidi w:val="0"/>
            </w:pPr>
            <w:r>
              <w:rPr>
                <w:rFonts w:hint="eastAsia"/>
              </w:rPr>
              <w:t>达标</w:t>
            </w:r>
          </w:p>
        </w:tc>
        <w:tc>
          <w:tcPr>
            <w:tcW w:w="877" w:type="dxa"/>
            <w:shd w:val="clear" w:color="auto" w:fill="auto"/>
            <w:tcMar>
              <w:top w:w="15" w:type="dxa"/>
              <w:left w:w="15" w:type="dxa"/>
              <w:right w:w="15" w:type="dxa"/>
            </w:tcMar>
            <w:vAlign w:val="center"/>
          </w:tcPr>
          <w:p>
            <w:pPr>
              <w:pStyle w:val="24"/>
              <w:bidi w:val="0"/>
            </w:pPr>
            <w:r>
              <w:rPr>
                <w:rFonts w:hint="eastAsia"/>
              </w:rPr>
              <w:t>达标</w:t>
            </w:r>
          </w:p>
        </w:tc>
        <w:tc>
          <w:tcPr>
            <w:tcW w:w="884" w:type="dxa"/>
            <w:shd w:val="clear" w:color="auto" w:fill="auto"/>
            <w:tcMar>
              <w:top w:w="15" w:type="dxa"/>
              <w:left w:w="15" w:type="dxa"/>
              <w:right w:w="15" w:type="dxa"/>
            </w:tcMar>
            <w:vAlign w:val="center"/>
          </w:tcPr>
          <w:p>
            <w:pPr>
              <w:pStyle w:val="24"/>
              <w:bidi w:val="0"/>
            </w:pPr>
            <w:r>
              <w:rPr>
                <w:rFonts w:hint="eastAsia"/>
              </w:rPr>
              <w:t>达标</w:t>
            </w:r>
          </w:p>
        </w:tc>
        <w:tc>
          <w:tcPr>
            <w:tcW w:w="946" w:type="dxa"/>
            <w:shd w:val="clear" w:color="auto" w:fill="auto"/>
            <w:tcMar>
              <w:top w:w="15" w:type="dxa"/>
              <w:left w:w="15" w:type="dxa"/>
              <w:right w:w="15" w:type="dxa"/>
            </w:tcMar>
            <w:vAlign w:val="center"/>
          </w:tcPr>
          <w:p>
            <w:pPr>
              <w:pStyle w:val="24"/>
              <w:bidi w:val="0"/>
            </w:pPr>
            <w:r>
              <w:rPr>
                <w:rFonts w:hint="eastAsia"/>
              </w:rPr>
              <w:t>达标</w:t>
            </w:r>
          </w:p>
        </w:tc>
        <w:tc>
          <w:tcPr>
            <w:tcW w:w="815" w:type="dxa"/>
            <w:shd w:val="clear" w:color="auto" w:fill="auto"/>
            <w:tcMar>
              <w:top w:w="15" w:type="dxa"/>
              <w:left w:w="15" w:type="dxa"/>
              <w:right w:w="15" w:type="dxa"/>
            </w:tcMar>
            <w:vAlign w:val="center"/>
          </w:tcPr>
          <w:p>
            <w:pPr>
              <w:pStyle w:val="24"/>
              <w:bidi w:val="0"/>
            </w:pPr>
            <w:r>
              <w:rPr>
                <w:rFonts w:hint="eastAsia"/>
              </w:rPr>
              <w:t>达标</w:t>
            </w:r>
          </w:p>
        </w:tc>
        <w:tc>
          <w:tcPr>
            <w:tcW w:w="739" w:type="dxa"/>
            <w:shd w:val="clear" w:color="auto" w:fill="auto"/>
            <w:tcMar>
              <w:top w:w="15" w:type="dxa"/>
              <w:left w:w="15" w:type="dxa"/>
              <w:right w:w="15" w:type="dxa"/>
            </w:tcMar>
            <w:vAlign w:val="center"/>
          </w:tcPr>
          <w:p>
            <w:pPr>
              <w:pStyle w:val="24"/>
              <w:bidi w:val="0"/>
            </w:pPr>
            <w:r>
              <w:rPr>
                <w:rFonts w:hint="eastAsia"/>
              </w:rPr>
              <w:t>达标</w:t>
            </w:r>
          </w:p>
        </w:tc>
        <w:tc>
          <w:tcPr>
            <w:tcW w:w="703" w:type="dxa"/>
            <w:shd w:val="clear" w:color="auto" w:fill="auto"/>
            <w:tcMar>
              <w:top w:w="15" w:type="dxa"/>
              <w:left w:w="15" w:type="dxa"/>
              <w:right w:w="15" w:type="dxa"/>
            </w:tcMar>
            <w:vAlign w:val="center"/>
          </w:tcPr>
          <w:p>
            <w:pPr>
              <w:pStyle w:val="24"/>
              <w:bidi w:val="0"/>
            </w:pPr>
            <w:r>
              <w:rPr>
                <w:rFonts w:hint="eastAsia"/>
              </w:rPr>
              <w:t>达标</w:t>
            </w:r>
          </w:p>
        </w:tc>
        <w:tc>
          <w:tcPr>
            <w:tcW w:w="806" w:type="dxa"/>
            <w:shd w:val="clear" w:color="auto" w:fill="auto"/>
            <w:tcMar>
              <w:top w:w="15" w:type="dxa"/>
              <w:left w:w="15" w:type="dxa"/>
              <w:right w:w="15" w:type="dxa"/>
            </w:tcMar>
            <w:vAlign w:val="center"/>
          </w:tcPr>
          <w:p>
            <w:pPr>
              <w:pStyle w:val="24"/>
              <w:bidi w:val="0"/>
            </w:pPr>
            <w:r>
              <w:rPr>
                <w:rFonts w:hint="eastAsia"/>
              </w:rPr>
              <w:t>达标</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restart"/>
            <w:shd w:val="clear" w:color="auto" w:fill="auto"/>
            <w:tcMar>
              <w:top w:w="15" w:type="dxa"/>
              <w:left w:w="15" w:type="dxa"/>
              <w:right w:w="15" w:type="dxa"/>
            </w:tcMar>
            <w:vAlign w:val="center"/>
          </w:tcPr>
          <w:p>
            <w:pPr>
              <w:pStyle w:val="24"/>
              <w:bidi w:val="0"/>
            </w:pPr>
            <w:r>
              <w:t>地下水</w:t>
            </w:r>
            <w:r>
              <w:rPr>
                <w:rFonts w:hint="eastAsia"/>
                <w:lang w:val="en-US" w:eastAsia="zh-CN"/>
              </w:rPr>
              <w:t>D</w:t>
            </w:r>
            <w:r>
              <w:rPr>
                <w:rFonts w:hint="eastAsia"/>
              </w:rPr>
              <w:t>5</w:t>
            </w: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23</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0.005</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0.54</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0.00072</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0.00124</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0.008</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0.49</w:t>
            </w:r>
          </w:p>
        </w:tc>
        <w:tc>
          <w:tcPr>
            <w:tcW w:w="935" w:type="dxa"/>
            <w:shd w:val="clear" w:color="auto" w:fill="auto"/>
            <w:tcMar>
              <w:top w:w="15" w:type="dxa"/>
              <w:left w:w="15" w:type="dxa"/>
              <w:right w:w="15" w:type="dxa"/>
            </w:tcMar>
            <w:vAlign w:val="center"/>
          </w:tcPr>
          <w:p>
            <w:pPr>
              <w:pStyle w:val="24"/>
              <w:bidi w:val="0"/>
            </w:pPr>
            <w:r>
              <w:rPr>
                <w:rFonts w:hint="eastAsia"/>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eastAsia"/>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0.00132</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eastAsia"/>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0.00054</w:t>
            </w:r>
          </w:p>
        </w:tc>
        <w:tc>
          <w:tcPr>
            <w:tcW w:w="815"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eastAsia"/>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eastAsia"/>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eastAsia"/>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eastAsia"/>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restart"/>
            <w:shd w:val="clear" w:color="auto" w:fill="auto"/>
            <w:tcMar>
              <w:top w:w="15" w:type="dxa"/>
              <w:left w:w="15" w:type="dxa"/>
              <w:right w:w="15" w:type="dxa"/>
            </w:tcMar>
            <w:vAlign w:val="center"/>
          </w:tcPr>
          <w:p>
            <w:pPr>
              <w:pStyle w:val="24"/>
              <w:bidi w:val="0"/>
            </w:pPr>
            <w:r>
              <w:rPr>
                <w:rFonts w:hint="eastAsia"/>
                <w:lang w:val="en-US" w:eastAsia="zh-CN"/>
              </w:rPr>
              <w:t>3</w:t>
            </w:r>
            <w:r>
              <w:t>月</w:t>
            </w:r>
            <w:r>
              <w:rPr>
                <w:rFonts w:hint="eastAsia"/>
                <w:lang w:val="en-US" w:eastAsia="zh-CN"/>
              </w:rPr>
              <w:t>24</w:t>
            </w:r>
            <w:r>
              <w:t>日</w:t>
            </w:r>
          </w:p>
        </w:tc>
        <w:tc>
          <w:tcPr>
            <w:tcW w:w="794" w:type="dxa"/>
            <w:shd w:val="clear" w:color="auto" w:fill="auto"/>
            <w:tcMar>
              <w:top w:w="15" w:type="dxa"/>
              <w:left w:w="15" w:type="dxa"/>
              <w:right w:w="15" w:type="dxa"/>
            </w:tcMar>
            <w:vAlign w:val="center"/>
          </w:tcPr>
          <w:p>
            <w:pPr>
              <w:pStyle w:val="24"/>
              <w:bidi w:val="0"/>
            </w:pPr>
            <w:r>
              <w:t>第1次</w:t>
            </w:r>
          </w:p>
        </w:tc>
        <w:tc>
          <w:tcPr>
            <w:tcW w:w="843" w:type="dxa"/>
            <w:shd w:val="clear" w:color="auto" w:fill="auto"/>
            <w:tcMar>
              <w:top w:w="15" w:type="dxa"/>
              <w:left w:w="15" w:type="dxa"/>
              <w:right w:w="15" w:type="dxa"/>
            </w:tcMar>
            <w:vAlign w:val="center"/>
          </w:tcPr>
          <w:p>
            <w:pPr>
              <w:pStyle w:val="24"/>
              <w:bidi w:val="0"/>
              <w:rPr>
                <w:rFonts w:hint="default"/>
                <w:lang w:val="en-US"/>
              </w:rPr>
            </w:pPr>
            <w:r>
              <w:rPr>
                <w:rFonts w:hint="eastAsia"/>
                <w:lang w:val="en-US" w:eastAsia="zh-CN"/>
              </w:rPr>
              <w:t>0.010</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0.58</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center"/>
          </w:tcPr>
          <w:p>
            <w:pPr>
              <w:pStyle w:val="24"/>
              <w:bidi w:val="0"/>
            </w:pPr>
            <w:r>
              <w:rPr>
                <w:rFonts w:hint="eastAsia"/>
                <w:lang w:val="en-US" w:eastAsia="zh-CN"/>
              </w:rPr>
              <w:t>0.00218</w:t>
            </w:r>
          </w:p>
        </w:tc>
        <w:tc>
          <w:tcPr>
            <w:tcW w:w="877" w:type="dxa"/>
            <w:shd w:val="clear" w:color="auto" w:fill="auto"/>
            <w:tcMar>
              <w:top w:w="15" w:type="dxa"/>
              <w:left w:w="15" w:type="dxa"/>
              <w:right w:w="15" w:type="dxa"/>
            </w:tcMar>
            <w:vAlign w:val="center"/>
          </w:tcPr>
          <w:p>
            <w:pPr>
              <w:pStyle w:val="24"/>
              <w:bidi w:val="0"/>
            </w:pPr>
            <w:r>
              <w:rPr>
                <w:rFonts w:hint="default"/>
                <w:lang w:val="en-US" w:eastAsia="zh-CN"/>
              </w:rPr>
              <w:t>0.00005L</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0.00018</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759" w:type="dxa"/>
            <w:vMerge w:val="continue"/>
            <w:shd w:val="clear" w:color="auto" w:fill="auto"/>
            <w:tcMar>
              <w:top w:w="15" w:type="dxa"/>
              <w:left w:w="15" w:type="dxa"/>
              <w:right w:w="15" w:type="dxa"/>
            </w:tcMar>
            <w:vAlign w:val="center"/>
          </w:tcPr>
          <w:p>
            <w:pPr>
              <w:pStyle w:val="24"/>
              <w:bidi w:val="0"/>
            </w:pPr>
          </w:p>
        </w:tc>
        <w:tc>
          <w:tcPr>
            <w:tcW w:w="820" w:type="dxa"/>
            <w:vMerge w:val="continue"/>
            <w:shd w:val="clear" w:color="auto" w:fill="auto"/>
            <w:tcMar>
              <w:top w:w="15" w:type="dxa"/>
              <w:left w:w="15" w:type="dxa"/>
              <w:right w:w="15" w:type="dxa"/>
            </w:tcMar>
            <w:vAlign w:val="center"/>
          </w:tcPr>
          <w:p>
            <w:pPr>
              <w:pStyle w:val="24"/>
              <w:bidi w:val="0"/>
            </w:pPr>
          </w:p>
        </w:tc>
        <w:tc>
          <w:tcPr>
            <w:tcW w:w="794" w:type="dxa"/>
            <w:shd w:val="clear" w:color="auto" w:fill="auto"/>
            <w:tcMar>
              <w:top w:w="15" w:type="dxa"/>
              <w:left w:w="15" w:type="dxa"/>
              <w:right w:w="15" w:type="dxa"/>
            </w:tcMar>
            <w:vAlign w:val="center"/>
          </w:tcPr>
          <w:p>
            <w:pPr>
              <w:pStyle w:val="24"/>
              <w:bidi w:val="0"/>
            </w:pPr>
            <w:r>
              <w:t>第2次</w:t>
            </w:r>
          </w:p>
        </w:tc>
        <w:tc>
          <w:tcPr>
            <w:tcW w:w="843" w:type="dxa"/>
            <w:shd w:val="clear" w:color="auto" w:fill="auto"/>
            <w:tcMar>
              <w:top w:w="15" w:type="dxa"/>
              <w:left w:w="15" w:type="dxa"/>
              <w:right w:w="15" w:type="dxa"/>
            </w:tcMar>
            <w:vAlign w:val="center"/>
          </w:tcPr>
          <w:p>
            <w:pPr>
              <w:pStyle w:val="24"/>
              <w:bidi w:val="0"/>
            </w:pPr>
            <w:r>
              <w:rPr>
                <w:rFonts w:hint="eastAsia"/>
                <w:lang w:val="en-US" w:eastAsia="zh-CN"/>
              </w:rPr>
              <w:t>0.015</w:t>
            </w:r>
          </w:p>
        </w:tc>
        <w:tc>
          <w:tcPr>
            <w:tcW w:w="834" w:type="dxa"/>
            <w:shd w:val="clear" w:color="auto" w:fill="auto"/>
            <w:tcMar>
              <w:top w:w="15" w:type="dxa"/>
              <w:left w:w="15" w:type="dxa"/>
              <w:right w:w="15" w:type="dxa"/>
            </w:tcMar>
            <w:vAlign w:val="center"/>
          </w:tcPr>
          <w:p>
            <w:pPr>
              <w:pStyle w:val="24"/>
              <w:bidi w:val="0"/>
            </w:pPr>
            <w:r>
              <w:rPr>
                <w:rFonts w:hint="eastAsia"/>
                <w:lang w:val="en-US" w:eastAsia="zh-CN"/>
              </w:rPr>
              <w:t>0.65</w:t>
            </w:r>
          </w:p>
        </w:tc>
        <w:tc>
          <w:tcPr>
            <w:tcW w:w="935" w:type="dxa"/>
            <w:shd w:val="clear" w:color="auto" w:fill="auto"/>
            <w:tcMar>
              <w:top w:w="15" w:type="dxa"/>
              <w:left w:w="15" w:type="dxa"/>
              <w:right w:w="15" w:type="dxa"/>
            </w:tcMar>
            <w:vAlign w:val="center"/>
          </w:tcPr>
          <w:p>
            <w:pPr>
              <w:pStyle w:val="24"/>
              <w:bidi w:val="0"/>
            </w:pPr>
            <w:r>
              <w:rPr>
                <w:rFonts w:hint="default"/>
                <w:lang w:val="en-US" w:eastAsia="zh-CN"/>
              </w:rPr>
              <w:t>0.002L</w:t>
            </w:r>
          </w:p>
        </w:tc>
        <w:tc>
          <w:tcPr>
            <w:tcW w:w="892" w:type="dxa"/>
            <w:shd w:val="clear" w:color="auto" w:fill="auto"/>
            <w:tcMar>
              <w:top w:w="15" w:type="dxa"/>
              <w:left w:w="15" w:type="dxa"/>
              <w:right w:w="15" w:type="dxa"/>
            </w:tcMar>
            <w:vAlign w:val="center"/>
          </w:tcPr>
          <w:p>
            <w:pPr>
              <w:pStyle w:val="24"/>
              <w:bidi w:val="0"/>
            </w:pPr>
            <w:r>
              <w:rPr>
                <w:rFonts w:hint="default"/>
                <w:lang w:val="en-US" w:eastAsia="zh-CN"/>
              </w:rPr>
              <w:t>0.00004L</w:t>
            </w:r>
          </w:p>
        </w:tc>
        <w:tc>
          <w:tcPr>
            <w:tcW w:w="945" w:type="dxa"/>
            <w:shd w:val="clear" w:color="auto" w:fill="auto"/>
            <w:tcMar>
              <w:top w:w="15" w:type="dxa"/>
              <w:left w:w="15" w:type="dxa"/>
              <w:right w:w="15" w:type="dxa"/>
            </w:tcMar>
            <w:vAlign w:val="bottom"/>
          </w:tcPr>
          <w:p>
            <w:pPr>
              <w:pStyle w:val="24"/>
              <w:bidi w:val="0"/>
            </w:pPr>
            <w:r>
              <w:rPr>
                <w:rFonts w:hint="eastAsia"/>
                <w:lang w:val="en-US" w:eastAsia="zh-CN"/>
              </w:rPr>
              <w:t>0.00105</w:t>
            </w:r>
          </w:p>
        </w:tc>
        <w:tc>
          <w:tcPr>
            <w:tcW w:w="877" w:type="dxa"/>
            <w:shd w:val="clear" w:color="auto" w:fill="auto"/>
            <w:tcMar>
              <w:top w:w="15" w:type="dxa"/>
              <w:left w:w="15" w:type="dxa"/>
              <w:right w:w="15" w:type="dxa"/>
            </w:tcMar>
            <w:vAlign w:val="center"/>
          </w:tcPr>
          <w:p>
            <w:pPr>
              <w:pStyle w:val="24"/>
              <w:bidi w:val="0"/>
            </w:pPr>
            <w:r>
              <w:rPr>
                <w:rFonts w:hint="eastAsia"/>
                <w:lang w:val="en-US" w:eastAsia="zh-CN"/>
              </w:rPr>
              <w:t>0.00006</w:t>
            </w:r>
          </w:p>
        </w:tc>
        <w:tc>
          <w:tcPr>
            <w:tcW w:w="884" w:type="dxa"/>
            <w:shd w:val="clear" w:color="auto" w:fill="auto"/>
            <w:tcMar>
              <w:top w:w="15" w:type="dxa"/>
              <w:left w:w="15" w:type="dxa"/>
              <w:right w:w="15" w:type="dxa"/>
            </w:tcMar>
            <w:vAlign w:val="center"/>
          </w:tcPr>
          <w:p>
            <w:pPr>
              <w:pStyle w:val="24"/>
              <w:bidi w:val="0"/>
            </w:pPr>
            <w:r>
              <w:rPr>
                <w:rFonts w:hint="default"/>
                <w:lang w:val="en-US" w:eastAsia="zh-CN"/>
              </w:rPr>
              <w:t>0.004L</w:t>
            </w:r>
          </w:p>
        </w:tc>
        <w:tc>
          <w:tcPr>
            <w:tcW w:w="946" w:type="dxa"/>
            <w:shd w:val="clear" w:color="auto" w:fill="auto"/>
            <w:tcMar>
              <w:top w:w="15" w:type="dxa"/>
              <w:left w:w="15" w:type="dxa"/>
              <w:right w:w="15" w:type="dxa"/>
            </w:tcMar>
            <w:vAlign w:val="center"/>
          </w:tcPr>
          <w:p>
            <w:pPr>
              <w:pStyle w:val="24"/>
              <w:bidi w:val="0"/>
            </w:pPr>
            <w:r>
              <w:rPr>
                <w:rFonts w:hint="eastAsia"/>
                <w:lang w:val="en-US" w:eastAsia="zh-CN"/>
              </w:rPr>
              <w:t>0.00012</w:t>
            </w:r>
          </w:p>
        </w:tc>
        <w:tc>
          <w:tcPr>
            <w:tcW w:w="815"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39" w:type="dxa"/>
            <w:shd w:val="clear" w:color="auto" w:fill="auto"/>
            <w:tcMar>
              <w:top w:w="15" w:type="dxa"/>
              <w:left w:w="15" w:type="dxa"/>
              <w:right w:w="15" w:type="dxa"/>
            </w:tcMar>
            <w:vAlign w:val="center"/>
          </w:tcPr>
          <w:p>
            <w:pPr>
              <w:pStyle w:val="24"/>
              <w:bidi w:val="0"/>
            </w:pPr>
            <w:r>
              <w:rPr>
                <w:rFonts w:hint="default"/>
                <w:lang w:val="en-US" w:eastAsia="zh-CN"/>
              </w:rPr>
              <w:t>0.0014L</w:t>
            </w:r>
          </w:p>
        </w:tc>
        <w:tc>
          <w:tcPr>
            <w:tcW w:w="703" w:type="dxa"/>
            <w:shd w:val="clear" w:color="auto" w:fill="auto"/>
            <w:tcMar>
              <w:top w:w="15" w:type="dxa"/>
              <w:left w:w="15" w:type="dxa"/>
              <w:right w:w="15" w:type="dxa"/>
            </w:tcMar>
            <w:vAlign w:val="center"/>
          </w:tcPr>
          <w:p>
            <w:pPr>
              <w:pStyle w:val="24"/>
              <w:bidi w:val="0"/>
            </w:pPr>
            <w:r>
              <w:rPr>
                <w:rFonts w:hint="default"/>
                <w:lang w:val="en-US" w:eastAsia="zh-CN"/>
              </w:rPr>
              <w:t>0.0022L</w:t>
            </w:r>
          </w:p>
        </w:tc>
        <w:tc>
          <w:tcPr>
            <w:tcW w:w="806" w:type="dxa"/>
            <w:shd w:val="clear" w:color="auto" w:fill="auto"/>
            <w:tcMar>
              <w:top w:w="15" w:type="dxa"/>
              <w:left w:w="15" w:type="dxa"/>
              <w:right w:w="15" w:type="dxa"/>
            </w:tcMar>
            <w:vAlign w:val="center"/>
          </w:tcPr>
          <w:p>
            <w:pPr>
              <w:pStyle w:val="24"/>
              <w:bidi w:val="0"/>
            </w:pPr>
            <w:r>
              <w:rPr>
                <w:rFonts w:hint="default"/>
                <w:lang w:val="en-US" w:eastAsia="zh-CN"/>
              </w:rPr>
              <w:t>0.0006L</w:t>
            </w:r>
          </w:p>
        </w:tc>
        <w:tc>
          <w:tcPr>
            <w:tcW w:w="934" w:type="dxa"/>
            <w:shd w:val="clear" w:color="auto" w:fill="auto"/>
            <w:tcMar>
              <w:top w:w="15" w:type="dxa"/>
              <w:left w:w="15" w:type="dxa"/>
              <w:right w:w="15" w:type="dxa"/>
            </w:tcMar>
            <w:vAlign w:val="center"/>
          </w:tcPr>
          <w:p>
            <w:pPr>
              <w:pStyle w:val="24"/>
              <w:bidi w:val="0"/>
            </w:pPr>
            <w:r>
              <w:rPr>
                <w:rFonts w:hint="default"/>
                <w:lang w:val="en-US" w:eastAsia="zh-CN"/>
              </w:rPr>
              <w:t>0.02L</w:t>
            </w:r>
          </w:p>
        </w:tc>
        <w:tc>
          <w:tcPr>
            <w:tcW w:w="1066" w:type="dxa"/>
            <w:shd w:val="clear" w:color="auto" w:fill="auto"/>
            <w:tcMar>
              <w:top w:w="15" w:type="dxa"/>
              <w:left w:w="15" w:type="dxa"/>
              <w:right w:w="15" w:type="dxa"/>
            </w:tcMar>
            <w:vAlign w:val="center"/>
          </w:tcPr>
          <w:p>
            <w:pPr>
              <w:pStyle w:val="24"/>
              <w:bidi w:val="0"/>
            </w:pPr>
            <w:r>
              <w:rPr>
                <w:rFonts w:hint="eastAsia"/>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t>《地下水环境质量标准》（GB/T14848-2017）III类</w:t>
            </w:r>
          </w:p>
        </w:tc>
        <w:tc>
          <w:tcPr>
            <w:tcW w:w="843" w:type="dxa"/>
            <w:shd w:val="clear" w:color="auto" w:fill="auto"/>
            <w:tcMar>
              <w:top w:w="15" w:type="dxa"/>
              <w:left w:w="15" w:type="dxa"/>
              <w:right w:w="15" w:type="dxa"/>
            </w:tcMar>
            <w:vAlign w:val="center"/>
          </w:tcPr>
          <w:p>
            <w:pPr>
              <w:pStyle w:val="24"/>
              <w:bidi w:val="0"/>
            </w:pPr>
            <w:r>
              <w:rPr>
                <w:rFonts w:hint="eastAsia"/>
              </w:rPr>
              <w:t>1.00</w:t>
            </w:r>
          </w:p>
        </w:tc>
        <w:tc>
          <w:tcPr>
            <w:tcW w:w="834" w:type="dxa"/>
            <w:shd w:val="clear" w:color="auto" w:fill="auto"/>
            <w:tcMar>
              <w:top w:w="15" w:type="dxa"/>
              <w:left w:w="15" w:type="dxa"/>
              <w:right w:w="15" w:type="dxa"/>
            </w:tcMar>
            <w:vAlign w:val="center"/>
          </w:tcPr>
          <w:p>
            <w:pPr>
              <w:pStyle w:val="24"/>
              <w:bidi w:val="0"/>
            </w:pPr>
            <w:r>
              <w:rPr>
                <w:rFonts w:hint="eastAsia"/>
              </w:rPr>
              <w:t>20.0</w:t>
            </w:r>
          </w:p>
        </w:tc>
        <w:tc>
          <w:tcPr>
            <w:tcW w:w="935" w:type="dxa"/>
            <w:shd w:val="clear" w:color="auto" w:fill="auto"/>
            <w:tcMar>
              <w:top w:w="15" w:type="dxa"/>
              <w:left w:w="15" w:type="dxa"/>
              <w:right w:w="15" w:type="dxa"/>
            </w:tcMar>
            <w:vAlign w:val="center"/>
          </w:tcPr>
          <w:p>
            <w:pPr>
              <w:pStyle w:val="24"/>
              <w:bidi w:val="0"/>
            </w:pPr>
            <w:r>
              <w:rPr>
                <w:rFonts w:hint="eastAsia"/>
              </w:rPr>
              <w:t>0.05</w:t>
            </w:r>
          </w:p>
        </w:tc>
        <w:tc>
          <w:tcPr>
            <w:tcW w:w="892" w:type="dxa"/>
            <w:shd w:val="clear" w:color="auto" w:fill="auto"/>
            <w:tcMar>
              <w:top w:w="15" w:type="dxa"/>
              <w:left w:w="15" w:type="dxa"/>
              <w:right w:w="15" w:type="dxa"/>
            </w:tcMar>
            <w:vAlign w:val="center"/>
          </w:tcPr>
          <w:p>
            <w:pPr>
              <w:pStyle w:val="24"/>
              <w:bidi w:val="0"/>
            </w:pPr>
            <w:r>
              <w:rPr>
                <w:rFonts w:hint="eastAsia"/>
              </w:rPr>
              <w:t>0.001</w:t>
            </w:r>
          </w:p>
        </w:tc>
        <w:tc>
          <w:tcPr>
            <w:tcW w:w="945" w:type="dxa"/>
            <w:shd w:val="clear" w:color="auto" w:fill="auto"/>
            <w:tcMar>
              <w:top w:w="15" w:type="dxa"/>
              <w:left w:w="15" w:type="dxa"/>
              <w:right w:w="15" w:type="dxa"/>
            </w:tcMar>
            <w:vAlign w:val="center"/>
          </w:tcPr>
          <w:p>
            <w:pPr>
              <w:pStyle w:val="24"/>
              <w:bidi w:val="0"/>
            </w:pPr>
            <w:r>
              <w:rPr>
                <w:rFonts w:hint="eastAsia"/>
              </w:rPr>
              <w:t>0.01</w:t>
            </w:r>
          </w:p>
        </w:tc>
        <w:tc>
          <w:tcPr>
            <w:tcW w:w="877" w:type="dxa"/>
            <w:shd w:val="clear" w:color="auto" w:fill="auto"/>
            <w:tcMar>
              <w:top w:w="15" w:type="dxa"/>
              <w:left w:w="15" w:type="dxa"/>
              <w:right w:w="15" w:type="dxa"/>
            </w:tcMar>
            <w:vAlign w:val="center"/>
          </w:tcPr>
          <w:p>
            <w:pPr>
              <w:pStyle w:val="24"/>
              <w:bidi w:val="0"/>
            </w:pPr>
            <w:r>
              <w:rPr>
                <w:rFonts w:hint="eastAsia"/>
              </w:rPr>
              <w:t>0.005</w:t>
            </w:r>
          </w:p>
        </w:tc>
        <w:tc>
          <w:tcPr>
            <w:tcW w:w="884" w:type="dxa"/>
            <w:shd w:val="clear" w:color="auto" w:fill="auto"/>
            <w:tcMar>
              <w:top w:w="15" w:type="dxa"/>
              <w:left w:w="15" w:type="dxa"/>
              <w:right w:w="15" w:type="dxa"/>
            </w:tcMar>
            <w:vAlign w:val="center"/>
          </w:tcPr>
          <w:p>
            <w:pPr>
              <w:pStyle w:val="24"/>
              <w:bidi w:val="0"/>
            </w:pPr>
            <w:r>
              <w:rPr>
                <w:rFonts w:hint="eastAsia"/>
              </w:rPr>
              <w:t>0.05</w:t>
            </w:r>
          </w:p>
        </w:tc>
        <w:tc>
          <w:tcPr>
            <w:tcW w:w="946" w:type="dxa"/>
            <w:shd w:val="clear" w:color="auto" w:fill="auto"/>
            <w:tcMar>
              <w:top w:w="15" w:type="dxa"/>
              <w:left w:w="15" w:type="dxa"/>
              <w:right w:w="15" w:type="dxa"/>
            </w:tcMar>
            <w:vAlign w:val="center"/>
          </w:tcPr>
          <w:p>
            <w:pPr>
              <w:pStyle w:val="24"/>
              <w:bidi w:val="0"/>
            </w:pPr>
            <w:r>
              <w:rPr>
                <w:rFonts w:hint="eastAsia"/>
              </w:rPr>
              <w:t>0.01</w:t>
            </w:r>
          </w:p>
        </w:tc>
        <w:tc>
          <w:tcPr>
            <w:tcW w:w="815" w:type="dxa"/>
            <w:shd w:val="clear" w:color="auto" w:fill="auto"/>
            <w:tcMar>
              <w:top w:w="15" w:type="dxa"/>
              <w:left w:w="15" w:type="dxa"/>
              <w:right w:w="15" w:type="dxa"/>
            </w:tcMar>
            <w:vAlign w:val="center"/>
          </w:tcPr>
          <w:p>
            <w:pPr>
              <w:pStyle w:val="24"/>
              <w:bidi w:val="0"/>
            </w:pPr>
            <w:r>
              <w:rPr>
                <w:rFonts w:hint="eastAsia"/>
              </w:rPr>
              <w:t>0.01</w:t>
            </w:r>
          </w:p>
        </w:tc>
        <w:tc>
          <w:tcPr>
            <w:tcW w:w="739" w:type="dxa"/>
            <w:shd w:val="clear" w:color="auto" w:fill="auto"/>
            <w:tcMar>
              <w:top w:w="15" w:type="dxa"/>
              <w:left w:w="15" w:type="dxa"/>
              <w:right w:w="15" w:type="dxa"/>
            </w:tcMar>
            <w:vAlign w:val="center"/>
          </w:tcPr>
          <w:p>
            <w:pPr>
              <w:pStyle w:val="24"/>
              <w:bidi w:val="0"/>
            </w:pPr>
            <w:r>
              <w:rPr>
                <w:rFonts w:hint="eastAsia"/>
              </w:rPr>
              <w:t>0.7</w:t>
            </w:r>
          </w:p>
        </w:tc>
        <w:tc>
          <w:tcPr>
            <w:tcW w:w="703" w:type="dxa"/>
            <w:shd w:val="clear" w:color="auto" w:fill="auto"/>
            <w:tcMar>
              <w:top w:w="15" w:type="dxa"/>
              <w:left w:w="15" w:type="dxa"/>
              <w:right w:w="15" w:type="dxa"/>
            </w:tcMar>
            <w:vAlign w:val="center"/>
          </w:tcPr>
          <w:p>
            <w:pPr>
              <w:pStyle w:val="24"/>
              <w:bidi w:val="0"/>
            </w:pPr>
            <w:r>
              <w:rPr>
                <w:rFonts w:hint="eastAsia"/>
              </w:rPr>
              <w:t>0.5</w:t>
            </w:r>
          </w:p>
        </w:tc>
        <w:tc>
          <w:tcPr>
            <w:tcW w:w="806" w:type="dxa"/>
            <w:shd w:val="clear" w:color="auto" w:fill="auto"/>
            <w:tcMar>
              <w:top w:w="15" w:type="dxa"/>
              <w:left w:w="15" w:type="dxa"/>
              <w:right w:w="15" w:type="dxa"/>
            </w:tcMar>
            <w:vAlign w:val="center"/>
          </w:tcPr>
          <w:p>
            <w:pPr>
              <w:pStyle w:val="24"/>
              <w:bidi w:val="0"/>
            </w:pPr>
            <w:r>
              <w:rPr>
                <w:rFonts w:hint="eastAsia"/>
              </w:rPr>
              <w:t>0.02</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rPr>
        <w:tc>
          <w:tcPr>
            <w:tcW w:w="2373" w:type="dxa"/>
            <w:gridSpan w:val="3"/>
            <w:shd w:val="clear" w:color="auto" w:fill="auto"/>
            <w:tcMar>
              <w:top w:w="15" w:type="dxa"/>
              <w:left w:w="15" w:type="dxa"/>
              <w:right w:w="15" w:type="dxa"/>
            </w:tcMar>
            <w:vAlign w:val="center"/>
          </w:tcPr>
          <w:p>
            <w:pPr>
              <w:pStyle w:val="24"/>
              <w:bidi w:val="0"/>
            </w:pPr>
            <w:r>
              <w:rPr>
                <w:rFonts w:hint="eastAsia"/>
              </w:rPr>
              <w:t>是否达标</w:t>
            </w:r>
          </w:p>
        </w:tc>
        <w:tc>
          <w:tcPr>
            <w:tcW w:w="843" w:type="dxa"/>
            <w:shd w:val="clear" w:color="auto" w:fill="auto"/>
            <w:tcMar>
              <w:top w:w="15" w:type="dxa"/>
              <w:left w:w="15" w:type="dxa"/>
              <w:right w:w="15" w:type="dxa"/>
            </w:tcMar>
            <w:vAlign w:val="center"/>
          </w:tcPr>
          <w:p>
            <w:pPr>
              <w:pStyle w:val="24"/>
              <w:bidi w:val="0"/>
            </w:pPr>
            <w:r>
              <w:rPr>
                <w:rFonts w:hint="eastAsia"/>
              </w:rPr>
              <w:t>达标</w:t>
            </w:r>
          </w:p>
        </w:tc>
        <w:tc>
          <w:tcPr>
            <w:tcW w:w="834" w:type="dxa"/>
            <w:shd w:val="clear" w:color="auto" w:fill="auto"/>
            <w:tcMar>
              <w:top w:w="15" w:type="dxa"/>
              <w:left w:w="15" w:type="dxa"/>
              <w:right w:w="15" w:type="dxa"/>
            </w:tcMar>
            <w:vAlign w:val="center"/>
          </w:tcPr>
          <w:p>
            <w:pPr>
              <w:pStyle w:val="24"/>
              <w:bidi w:val="0"/>
            </w:pPr>
            <w:r>
              <w:rPr>
                <w:rFonts w:hint="eastAsia"/>
              </w:rPr>
              <w:t>达标</w:t>
            </w:r>
          </w:p>
        </w:tc>
        <w:tc>
          <w:tcPr>
            <w:tcW w:w="935" w:type="dxa"/>
            <w:shd w:val="clear" w:color="auto" w:fill="auto"/>
            <w:tcMar>
              <w:top w:w="15" w:type="dxa"/>
              <w:left w:w="15" w:type="dxa"/>
              <w:right w:w="15" w:type="dxa"/>
            </w:tcMar>
            <w:vAlign w:val="center"/>
          </w:tcPr>
          <w:p>
            <w:pPr>
              <w:pStyle w:val="24"/>
              <w:bidi w:val="0"/>
            </w:pPr>
            <w:r>
              <w:rPr>
                <w:rFonts w:hint="eastAsia"/>
              </w:rPr>
              <w:t>达标</w:t>
            </w:r>
          </w:p>
        </w:tc>
        <w:tc>
          <w:tcPr>
            <w:tcW w:w="892" w:type="dxa"/>
            <w:shd w:val="clear" w:color="auto" w:fill="auto"/>
            <w:tcMar>
              <w:top w:w="15" w:type="dxa"/>
              <w:left w:w="15" w:type="dxa"/>
              <w:right w:w="15" w:type="dxa"/>
            </w:tcMar>
            <w:vAlign w:val="center"/>
          </w:tcPr>
          <w:p>
            <w:pPr>
              <w:pStyle w:val="24"/>
              <w:bidi w:val="0"/>
            </w:pPr>
            <w:r>
              <w:rPr>
                <w:rFonts w:hint="eastAsia"/>
              </w:rPr>
              <w:t>达标</w:t>
            </w:r>
          </w:p>
        </w:tc>
        <w:tc>
          <w:tcPr>
            <w:tcW w:w="945" w:type="dxa"/>
            <w:shd w:val="clear" w:color="auto" w:fill="auto"/>
            <w:tcMar>
              <w:top w:w="15" w:type="dxa"/>
              <w:left w:w="15" w:type="dxa"/>
              <w:right w:w="15" w:type="dxa"/>
            </w:tcMar>
            <w:vAlign w:val="center"/>
          </w:tcPr>
          <w:p>
            <w:pPr>
              <w:pStyle w:val="24"/>
              <w:bidi w:val="0"/>
            </w:pPr>
            <w:r>
              <w:rPr>
                <w:rFonts w:hint="eastAsia"/>
              </w:rPr>
              <w:t>达标</w:t>
            </w:r>
          </w:p>
        </w:tc>
        <w:tc>
          <w:tcPr>
            <w:tcW w:w="877" w:type="dxa"/>
            <w:shd w:val="clear" w:color="auto" w:fill="auto"/>
            <w:tcMar>
              <w:top w:w="15" w:type="dxa"/>
              <w:left w:w="15" w:type="dxa"/>
              <w:right w:w="15" w:type="dxa"/>
            </w:tcMar>
            <w:vAlign w:val="center"/>
          </w:tcPr>
          <w:p>
            <w:pPr>
              <w:pStyle w:val="24"/>
              <w:bidi w:val="0"/>
            </w:pPr>
            <w:r>
              <w:rPr>
                <w:rFonts w:hint="eastAsia"/>
              </w:rPr>
              <w:t>达标</w:t>
            </w:r>
          </w:p>
        </w:tc>
        <w:tc>
          <w:tcPr>
            <w:tcW w:w="884" w:type="dxa"/>
            <w:shd w:val="clear" w:color="auto" w:fill="auto"/>
            <w:tcMar>
              <w:top w:w="15" w:type="dxa"/>
              <w:left w:w="15" w:type="dxa"/>
              <w:right w:w="15" w:type="dxa"/>
            </w:tcMar>
            <w:vAlign w:val="center"/>
          </w:tcPr>
          <w:p>
            <w:pPr>
              <w:pStyle w:val="24"/>
              <w:bidi w:val="0"/>
            </w:pPr>
            <w:r>
              <w:rPr>
                <w:rFonts w:hint="eastAsia"/>
              </w:rPr>
              <w:t>达标</w:t>
            </w:r>
          </w:p>
        </w:tc>
        <w:tc>
          <w:tcPr>
            <w:tcW w:w="946" w:type="dxa"/>
            <w:shd w:val="clear" w:color="auto" w:fill="auto"/>
            <w:tcMar>
              <w:top w:w="15" w:type="dxa"/>
              <w:left w:w="15" w:type="dxa"/>
              <w:right w:w="15" w:type="dxa"/>
            </w:tcMar>
            <w:vAlign w:val="center"/>
          </w:tcPr>
          <w:p>
            <w:pPr>
              <w:pStyle w:val="24"/>
              <w:bidi w:val="0"/>
            </w:pPr>
            <w:r>
              <w:rPr>
                <w:rFonts w:hint="eastAsia"/>
              </w:rPr>
              <w:t>达标</w:t>
            </w:r>
          </w:p>
        </w:tc>
        <w:tc>
          <w:tcPr>
            <w:tcW w:w="815" w:type="dxa"/>
            <w:shd w:val="clear" w:color="auto" w:fill="auto"/>
            <w:tcMar>
              <w:top w:w="15" w:type="dxa"/>
              <w:left w:w="15" w:type="dxa"/>
              <w:right w:w="15" w:type="dxa"/>
            </w:tcMar>
            <w:vAlign w:val="center"/>
          </w:tcPr>
          <w:p>
            <w:pPr>
              <w:pStyle w:val="24"/>
              <w:bidi w:val="0"/>
            </w:pPr>
            <w:r>
              <w:rPr>
                <w:rFonts w:hint="eastAsia"/>
              </w:rPr>
              <w:t>达标</w:t>
            </w:r>
          </w:p>
        </w:tc>
        <w:tc>
          <w:tcPr>
            <w:tcW w:w="739" w:type="dxa"/>
            <w:shd w:val="clear" w:color="auto" w:fill="auto"/>
            <w:tcMar>
              <w:top w:w="15" w:type="dxa"/>
              <w:left w:w="15" w:type="dxa"/>
              <w:right w:w="15" w:type="dxa"/>
            </w:tcMar>
            <w:vAlign w:val="center"/>
          </w:tcPr>
          <w:p>
            <w:pPr>
              <w:pStyle w:val="24"/>
              <w:bidi w:val="0"/>
            </w:pPr>
            <w:r>
              <w:rPr>
                <w:rFonts w:hint="eastAsia"/>
              </w:rPr>
              <w:t>达标</w:t>
            </w:r>
          </w:p>
        </w:tc>
        <w:tc>
          <w:tcPr>
            <w:tcW w:w="703" w:type="dxa"/>
            <w:shd w:val="clear" w:color="auto" w:fill="auto"/>
            <w:tcMar>
              <w:top w:w="15" w:type="dxa"/>
              <w:left w:w="15" w:type="dxa"/>
              <w:right w:w="15" w:type="dxa"/>
            </w:tcMar>
            <w:vAlign w:val="center"/>
          </w:tcPr>
          <w:p>
            <w:pPr>
              <w:pStyle w:val="24"/>
              <w:bidi w:val="0"/>
            </w:pPr>
            <w:r>
              <w:rPr>
                <w:rFonts w:hint="eastAsia"/>
              </w:rPr>
              <w:t>达标</w:t>
            </w:r>
          </w:p>
        </w:tc>
        <w:tc>
          <w:tcPr>
            <w:tcW w:w="806" w:type="dxa"/>
            <w:shd w:val="clear" w:color="auto" w:fill="auto"/>
            <w:tcMar>
              <w:top w:w="15" w:type="dxa"/>
              <w:left w:w="15" w:type="dxa"/>
              <w:right w:w="15" w:type="dxa"/>
            </w:tcMar>
            <w:vAlign w:val="center"/>
          </w:tcPr>
          <w:p>
            <w:pPr>
              <w:pStyle w:val="24"/>
              <w:bidi w:val="0"/>
            </w:pPr>
            <w:r>
              <w:rPr>
                <w:rFonts w:hint="eastAsia"/>
              </w:rPr>
              <w:t>达标</w:t>
            </w:r>
          </w:p>
        </w:tc>
        <w:tc>
          <w:tcPr>
            <w:tcW w:w="934" w:type="dxa"/>
            <w:shd w:val="clear" w:color="auto" w:fill="auto"/>
            <w:tcMar>
              <w:top w:w="15" w:type="dxa"/>
              <w:left w:w="15" w:type="dxa"/>
              <w:right w:w="15" w:type="dxa"/>
            </w:tcMar>
            <w:vAlign w:val="center"/>
          </w:tcPr>
          <w:p>
            <w:pPr>
              <w:pStyle w:val="24"/>
              <w:bidi w:val="0"/>
            </w:pPr>
            <w:r>
              <w:rPr>
                <w:rFonts w:hint="eastAsia"/>
              </w:rPr>
              <w:t>/</w:t>
            </w:r>
          </w:p>
        </w:tc>
        <w:tc>
          <w:tcPr>
            <w:tcW w:w="1066" w:type="dxa"/>
            <w:shd w:val="clear" w:color="auto" w:fill="auto"/>
            <w:tcMar>
              <w:top w:w="15" w:type="dxa"/>
              <w:left w:w="15" w:type="dxa"/>
              <w:right w:w="15" w:type="dxa"/>
            </w:tcMar>
            <w:vAlign w:val="center"/>
          </w:tcPr>
          <w:p>
            <w:pPr>
              <w:pStyle w:val="24"/>
              <w:bidi w:val="0"/>
            </w:pPr>
            <w:r>
              <w:rPr>
                <w:rFonts w:hint="eastAsia"/>
              </w:rPr>
              <w:t>/</w:t>
            </w:r>
          </w:p>
        </w:tc>
      </w:tr>
    </w:tbl>
    <w:p>
      <w:pPr>
        <w:pStyle w:val="19"/>
        <w:ind w:firstLine="0" w:firstLineChars="0"/>
        <w:sectPr>
          <w:pgSz w:w="16839" w:h="11907" w:orient="landscape"/>
          <w:pgMar w:top="1134" w:right="1134" w:bottom="1134" w:left="1134" w:header="851" w:footer="992" w:gutter="0"/>
          <w:pgBorders>
            <w:top w:val="none" w:sz="0" w:space="0"/>
            <w:left w:val="none" w:sz="0" w:space="0"/>
            <w:bottom w:val="none" w:sz="0" w:space="0"/>
            <w:right w:val="none" w:sz="0" w:space="0"/>
          </w:pgBorders>
          <w:cols w:space="720" w:num="1"/>
          <w:docGrid w:type="lines" w:linePitch="312" w:charSpace="0"/>
        </w:sectPr>
      </w:pPr>
    </w:p>
    <w:p>
      <w:pPr>
        <w:pStyle w:val="19"/>
        <w:ind w:firstLine="0" w:firstLineChars="0"/>
        <w:jc w:val="center"/>
      </w:pPr>
      <w:r>
        <w:drawing>
          <wp:inline distT="0" distB="0" distL="114300" distR="114300">
            <wp:extent cx="5751830" cy="3272155"/>
            <wp:effectExtent l="0" t="0" r="1270" b="444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50"/>
                    <a:stretch>
                      <a:fillRect/>
                    </a:stretch>
                  </pic:blipFill>
                  <pic:spPr>
                    <a:xfrm>
                      <a:off x="0" y="0"/>
                      <a:ext cx="5751830" cy="3272155"/>
                    </a:xfrm>
                    <a:prstGeom prst="rect">
                      <a:avLst/>
                    </a:prstGeom>
                    <a:noFill/>
                    <a:ln>
                      <a:noFill/>
                    </a:ln>
                  </pic:spPr>
                </pic:pic>
              </a:graphicData>
            </a:graphic>
          </wp:inline>
        </w:drawing>
      </w:r>
    </w:p>
    <w:p>
      <w:pPr>
        <w:pStyle w:val="23"/>
      </w:pPr>
      <w:r>
        <w:t>图9.3-1 环评报告</w:t>
      </w:r>
      <w:r>
        <w:rPr>
          <w:rFonts w:hint="eastAsia"/>
          <w:lang w:eastAsia="zh-CN"/>
        </w:rPr>
        <w:t>书</w:t>
      </w:r>
      <w:r>
        <w:t>中地下水现状监测结果（摘录）</w:t>
      </w:r>
    </w:p>
    <w:p>
      <w:pPr>
        <w:pStyle w:val="19"/>
        <w:ind w:firstLine="480"/>
        <w:rPr>
          <w:lang w:val="en-US"/>
        </w:rPr>
      </w:pPr>
      <w:r>
        <w:rPr>
          <w:lang w:val="en-US"/>
        </w:rPr>
        <w:t>根据图9.3-1可知，本项目环评报告地下水现状监测结果中，项目区地下水监测点位D1/D2/D3/D4/D5</w:t>
      </w:r>
      <w:r>
        <w:rPr>
          <w:rFonts w:hint="eastAsia"/>
          <w:lang w:val="en-US" w:eastAsia="zh-CN"/>
        </w:rPr>
        <w:t xml:space="preserve"> pH、</w:t>
      </w:r>
      <w:r>
        <w:t>总硬度、</w:t>
      </w:r>
      <w:r>
        <w:rPr>
          <w:rFonts w:hint="eastAsia"/>
          <w:lang w:val="en-US" w:eastAsia="zh-CN"/>
        </w:rPr>
        <w:t>溶解性总固体、硫酸盐、</w:t>
      </w:r>
      <w:r>
        <w:t>氯化物</w:t>
      </w:r>
      <w:r>
        <w:rPr>
          <w:lang w:val="en-US"/>
        </w:rPr>
        <w:t>指标同样存在不同程度的超标情况</w:t>
      </w:r>
      <w:r>
        <w:rPr>
          <w:rFonts w:hint="eastAsia"/>
          <w:lang w:val="en-US" w:eastAsia="zh-CN"/>
        </w:rPr>
        <w:t>，在企业一期验收监测结果中同样存在类似情况</w:t>
      </w:r>
      <w:r>
        <w:rPr>
          <w:lang w:val="en-US"/>
        </w:rPr>
        <w:t>。</w:t>
      </w:r>
    </w:p>
    <w:p>
      <w:pPr>
        <w:pStyle w:val="19"/>
        <w:ind w:firstLine="480"/>
      </w:pPr>
      <w:r>
        <w:rPr>
          <w:lang w:val="en-US"/>
        </w:rPr>
        <w:t>超标原因分析：</w:t>
      </w:r>
      <w:r>
        <w:rPr>
          <w:snapToGrid w:val="0"/>
          <w:color w:val="000000" w:themeColor="text1"/>
          <w14:textFill>
            <w14:solidFill>
              <w14:schemeClr w14:val="tx1"/>
            </w14:solidFill>
          </w14:textFill>
        </w:rPr>
        <w:t>因为项目所在地为填海形成，海水渗透造成项目区地下水</w:t>
      </w:r>
      <w:r>
        <w:t>总硬度、</w:t>
      </w:r>
      <w:r>
        <w:rPr>
          <w:lang w:val="en-US"/>
        </w:rPr>
        <w:t>溶解性总固体、氯化物等</w:t>
      </w:r>
      <w:r>
        <w:rPr>
          <w:snapToGrid w:val="0"/>
          <w:color w:val="000000" w:themeColor="text1"/>
          <w14:textFill>
            <w14:solidFill>
              <w14:schemeClr w14:val="tx1"/>
            </w14:solidFill>
          </w14:textFill>
        </w:rPr>
        <w:t>指标浓度较高</w:t>
      </w:r>
      <w:r>
        <w:t>。</w:t>
      </w:r>
    </w:p>
    <w:p>
      <w:pPr>
        <w:pStyle w:val="18"/>
      </w:pPr>
      <w:r>
        <w:t>9.3.3土壤环境</w:t>
      </w:r>
    </w:p>
    <w:p>
      <w:pPr>
        <w:pStyle w:val="19"/>
        <w:ind w:firstLine="480"/>
      </w:pPr>
      <w:r>
        <w:t>土壤监测分别在</w:t>
      </w:r>
      <w:r>
        <w:rPr>
          <w:lang w:val="en-US"/>
        </w:rPr>
        <w:t>废气处理装置、</w:t>
      </w:r>
      <w:r>
        <w:rPr>
          <w:rFonts w:hint="eastAsia"/>
          <w:lang w:val="en-US" w:eastAsia="zh-CN"/>
        </w:rPr>
        <w:t>1</w:t>
      </w:r>
      <w:r>
        <w:rPr>
          <w:lang w:val="en-US"/>
        </w:rPr>
        <w:t>~</w:t>
      </w:r>
      <w:r>
        <w:rPr>
          <w:rFonts w:hint="eastAsia"/>
          <w:lang w:val="en-US" w:eastAsia="zh-CN"/>
        </w:rPr>
        <w:t>4</w:t>
      </w:r>
      <w:r>
        <w:rPr>
          <w:lang w:val="en-US"/>
        </w:rPr>
        <w:t>#罐区、</w:t>
      </w:r>
      <w:r>
        <w:rPr>
          <w:rFonts w:hint="eastAsia"/>
          <w:lang w:val="en-US" w:eastAsia="zh-CN"/>
        </w:rPr>
        <w:t>5~8#罐区、</w:t>
      </w:r>
      <w:r>
        <w:rPr>
          <w:lang w:val="en-US"/>
        </w:rPr>
        <w:t>杜厝村各布设1个点位采集表层样</w:t>
      </w:r>
      <w:r>
        <w:t>。具体监测结果见表9.3</w:t>
      </w:r>
      <w:r>
        <w:rPr>
          <w:lang w:val="en-US"/>
        </w:rPr>
        <w:t>.</w:t>
      </w:r>
      <w:r>
        <w:t>3</w:t>
      </w:r>
      <w:r>
        <w:rPr>
          <w:lang w:val="en-US"/>
        </w:rPr>
        <w:t>~9.</w:t>
      </w:r>
      <w:r>
        <w:t>3</w:t>
      </w:r>
      <w:r>
        <w:rPr>
          <w:lang w:val="en-US"/>
        </w:rPr>
        <w:t>.</w:t>
      </w:r>
      <w:r>
        <w:t>4。</w:t>
      </w:r>
    </w:p>
    <w:p>
      <w:pPr>
        <w:pStyle w:val="19"/>
        <w:ind w:firstLine="480"/>
      </w:pPr>
      <w:r>
        <w:t>根据表9</w:t>
      </w:r>
      <w:r>
        <w:rPr>
          <w:lang w:val="en-US"/>
        </w:rPr>
        <w:t>.</w:t>
      </w:r>
      <w:r>
        <w:t>3</w:t>
      </w:r>
      <w:r>
        <w:rPr>
          <w:lang w:val="en-US"/>
        </w:rPr>
        <w:t>.</w:t>
      </w:r>
      <w:r>
        <w:t>3可知，</w:t>
      </w:r>
      <w:r>
        <w:rPr>
          <w:rFonts w:hint="eastAsia"/>
          <w:lang w:val="en-US"/>
        </w:rPr>
        <w:t>厂区内土壤监测点位</w:t>
      </w:r>
      <w:r>
        <w:t>各项指标均符合《土壤环境质量 建设用地土壤污染风险管控标准》（GB36600-2018）中第二类用地筛选值标准要求。</w:t>
      </w:r>
    </w:p>
    <w:p>
      <w:pPr>
        <w:pStyle w:val="19"/>
        <w:ind w:firstLine="480"/>
      </w:pPr>
      <w:r>
        <w:t>根据表9</w:t>
      </w:r>
      <w:r>
        <w:rPr>
          <w:lang w:val="en-US"/>
        </w:rPr>
        <w:t>.</w:t>
      </w:r>
      <w:r>
        <w:t>3</w:t>
      </w:r>
      <w:r>
        <w:rPr>
          <w:lang w:val="en-US"/>
        </w:rPr>
        <w:t>.</w:t>
      </w:r>
      <w:r>
        <w:rPr>
          <w:rFonts w:hint="eastAsia"/>
          <w:lang w:val="en-US"/>
        </w:rPr>
        <w:t>4</w:t>
      </w:r>
      <w:r>
        <w:t>可知，</w:t>
      </w:r>
      <w:r>
        <w:rPr>
          <w:lang w:val="en-US"/>
        </w:rPr>
        <w:t>杜厝村</w:t>
      </w:r>
      <w:r>
        <w:t xml:space="preserve">监测点各项指标均符合《土壤环境质量 </w:t>
      </w:r>
      <w:r>
        <w:rPr>
          <w:lang w:val="en-US"/>
        </w:rPr>
        <w:t>农用地</w:t>
      </w:r>
      <w:r>
        <w:t>土壤污染风险管控标准（</w:t>
      </w:r>
      <w:r>
        <w:rPr>
          <w:lang w:val="en-US"/>
        </w:rPr>
        <w:t>试行</w:t>
      </w:r>
      <w:r>
        <w:t>）》（GB</w:t>
      </w:r>
      <w:r>
        <w:rPr>
          <w:lang w:val="en-US"/>
        </w:rPr>
        <w:t>15618</w:t>
      </w:r>
      <w:r>
        <w:t>-2018）中标准</w:t>
      </w:r>
      <w:r>
        <w:rPr>
          <w:lang w:val="en-US"/>
        </w:rPr>
        <w:t>限值</w:t>
      </w:r>
      <w:r>
        <w:t>要求，石油烃</w:t>
      </w:r>
      <w:r>
        <w:rPr>
          <w:rFonts w:hint="eastAsia"/>
        </w:rPr>
        <w:t>（</w:t>
      </w:r>
      <w:r>
        <w:rPr>
          <w:rFonts w:hint="eastAsia"/>
          <w:lang w:val="en-US"/>
        </w:rPr>
        <w:t>C</w:t>
      </w:r>
      <w:r>
        <w:rPr>
          <w:rFonts w:hint="eastAsia"/>
          <w:vertAlign w:val="subscript"/>
          <w:lang w:val="en-US"/>
        </w:rPr>
        <w:t>6</w:t>
      </w:r>
      <w:r>
        <w:rPr>
          <w:rFonts w:hint="eastAsia"/>
          <w:lang w:val="en-US"/>
        </w:rPr>
        <w:t>~C</w:t>
      </w:r>
      <w:r>
        <w:rPr>
          <w:rFonts w:hint="eastAsia"/>
          <w:vertAlign w:val="subscript"/>
          <w:lang w:val="en-US"/>
        </w:rPr>
        <w:t>9</w:t>
      </w:r>
      <w:r>
        <w:rPr>
          <w:rFonts w:hint="eastAsia"/>
        </w:rPr>
        <w:t>）</w:t>
      </w:r>
      <w:r>
        <w:rPr>
          <w:lang w:val="en-US"/>
        </w:rPr>
        <w:t>为</w:t>
      </w:r>
      <w:r>
        <w:rPr>
          <w:rFonts w:hint="eastAsia"/>
          <w:lang w:val="en-US" w:eastAsia="zh-CN"/>
        </w:rPr>
        <w:t>182</w:t>
      </w:r>
      <w:r>
        <w:t>mg/kg。</w:t>
      </w:r>
    </w:p>
    <w:p>
      <w:pPr>
        <w:pStyle w:val="23"/>
        <w:sectPr>
          <w:pgSz w:w="11906" w:h="16838"/>
          <w:pgMar w:top="1417" w:right="1417" w:bottom="1417" w:left="1417" w:header="1417" w:footer="1134" w:gutter="0"/>
          <w:pgBorders>
            <w:top w:val="none" w:sz="0" w:space="0"/>
            <w:left w:val="none" w:sz="0" w:space="0"/>
            <w:bottom w:val="none" w:sz="0" w:space="0"/>
            <w:right w:val="none" w:sz="0" w:space="0"/>
          </w:pgBorders>
          <w:cols w:space="720" w:num="1"/>
          <w:rtlGutter w:val="0"/>
          <w:docGrid w:type="lines" w:linePitch="315" w:charSpace="0"/>
        </w:sectPr>
      </w:pPr>
    </w:p>
    <w:p>
      <w:pPr>
        <w:pStyle w:val="23"/>
      </w:pPr>
      <w:r>
        <w:t>表9.3.3 厂区内土壤监测结果统计一览表  单位：mg/kg，pH无量纲</w:t>
      </w:r>
    </w:p>
    <w:tbl>
      <w:tblPr>
        <w:tblStyle w:val="14"/>
        <w:tblW w:w="928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2"/>
        <w:gridCol w:w="1035"/>
        <w:gridCol w:w="2164"/>
        <w:gridCol w:w="2164"/>
        <w:gridCol w:w="21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blHeader/>
          <w:jc w:val="center"/>
        </w:trPr>
        <w:tc>
          <w:tcPr>
            <w:tcW w:w="1752" w:type="dxa"/>
            <w:vMerge w:val="restart"/>
            <w:vAlign w:val="center"/>
          </w:tcPr>
          <w:p>
            <w:pPr>
              <w:pStyle w:val="24"/>
            </w:pPr>
            <w:r>
              <w:t>检测项目</w:t>
            </w:r>
          </w:p>
        </w:tc>
        <w:tc>
          <w:tcPr>
            <w:tcW w:w="1035" w:type="dxa"/>
            <w:vMerge w:val="restart"/>
            <w:vAlign w:val="center"/>
          </w:tcPr>
          <w:p>
            <w:pPr>
              <w:pStyle w:val="24"/>
            </w:pPr>
            <w:r>
              <w:t>单位</w:t>
            </w:r>
          </w:p>
        </w:tc>
        <w:tc>
          <w:tcPr>
            <w:tcW w:w="6494" w:type="dxa"/>
            <w:gridSpan w:val="3"/>
            <w:vAlign w:val="center"/>
          </w:tcPr>
          <w:p>
            <w:pPr>
              <w:pStyle w:val="24"/>
            </w:pPr>
            <w:r>
              <w:t>检测结果</w:t>
            </w:r>
            <w:r>
              <w:rPr>
                <w:rFonts w:hint="eastAsia"/>
              </w:rPr>
              <w:t>（202</w:t>
            </w:r>
            <w:r>
              <w:rPr>
                <w:rFonts w:hint="eastAsia"/>
                <w:lang w:val="en-US" w:eastAsia="zh-CN"/>
              </w:rPr>
              <w:t>3.3.23</w:t>
            </w: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52" w:type="dxa"/>
            <w:vMerge w:val="continue"/>
            <w:vAlign w:val="center"/>
          </w:tcPr>
          <w:p>
            <w:pPr>
              <w:pStyle w:val="24"/>
            </w:pPr>
          </w:p>
        </w:tc>
        <w:tc>
          <w:tcPr>
            <w:tcW w:w="1035" w:type="dxa"/>
            <w:vMerge w:val="continue"/>
            <w:vAlign w:val="center"/>
          </w:tcPr>
          <w:p>
            <w:pPr>
              <w:pStyle w:val="24"/>
            </w:pPr>
          </w:p>
        </w:tc>
        <w:tc>
          <w:tcPr>
            <w:tcW w:w="2164" w:type="dxa"/>
            <w:vAlign w:val="center"/>
          </w:tcPr>
          <w:p>
            <w:pPr>
              <w:pStyle w:val="24"/>
              <w:rPr>
                <w:rFonts w:hint="default"/>
                <w:lang w:val="en-US" w:eastAsia="zh-CN"/>
              </w:rPr>
            </w:pPr>
            <w:r>
              <w:rPr>
                <w:rFonts w:hint="default"/>
                <w:lang w:val="en-US" w:eastAsia="zh-CN"/>
              </w:rPr>
              <w:t>TR-01</w:t>
            </w:r>
          </w:p>
          <w:p>
            <w:pPr>
              <w:pStyle w:val="24"/>
              <w:rPr>
                <w:rFonts w:hint="default"/>
                <w:lang w:val="en-US" w:eastAsia="zh-CN"/>
              </w:rPr>
            </w:pPr>
            <w:r>
              <w:rPr>
                <w:rFonts w:hint="default"/>
                <w:lang w:val="en-US" w:eastAsia="zh-CN"/>
              </w:rPr>
              <w:t>1~4#罐下游</w:t>
            </w:r>
          </w:p>
          <w:p>
            <w:pPr>
              <w:pStyle w:val="24"/>
              <w:rPr>
                <w:rFonts w:hint="eastAsia"/>
                <w:lang w:val="en-US" w:eastAsia="zh-CN"/>
              </w:rPr>
            </w:pPr>
            <w:r>
              <w:rPr>
                <w:rFonts w:hint="default"/>
                <w:lang w:val="en-US" w:eastAsia="zh-CN"/>
              </w:rPr>
              <w:t>E:</w:t>
            </w:r>
            <w:r>
              <w:rPr>
                <w:rFonts w:hint="eastAsia"/>
                <w:lang w:val="en-US" w:eastAsia="zh-CN"/>
              </w:rPr>
              <w:t>119.010893°</w:t>
            </w:r>
          </w:p>
          <w:p>
            <w:pPr>
              <w:pStyle w:val="24"/>
            </w:pPr>
            <w:r>
              <w:rPr>
                <w:rFonts w:hint="default"/>
                <w:lang w:val="en-US" w:eastAsia="zh-CN"/>
              </w:rPr>
              <w:t>N:</w:t>
            </w:r>
            <w:r>
              <w:rPr>
                <w:rFonts w:hint="eastAsia"/>
                <w:lang w:val="en-US" w:eastAsia="zh-CN"/>
              </w:rPr>
              <w:t>25.040669°</w:t>
            </w:r>
          </w:p>
        </w:tc>
        <w:tc>
          <w:tcPr>
            <w:tcW w:w="2164" w:type="dxa"/>
            <w:vAlign w:val="center"/>
          </w:tcPr>
          <w:p>
            <w:pPr>
              <w:pStyle w:val="24"/>
              <w:rPr>
                <w:rFonts w:hint="default"/>
                <w:lang w:val="en-US" w:eastAsia="zh-CN"/>
              </w:rPr>
            </w:pPr>
            <w:r>
              <w:rPr>
                <w:rFonts w:hint="default"/>
                <w:lang w:val="en-US" w:eastAsia="zh-CN"/>
              </w:rPr>
              <w:t>TR-0</w:t>
            </w:r>
            <w:r>
              <w:rPr>
                <w:rFonts w:hint="eastAsia"/>
                <w:lang w:val="en-US" w:eastAsia="zh-CN"/>
              </w:rPr>
              <w:t>2</w:t>
            </w:r>
          </w:p>
          <w:p>
            <w:pPr>
              <w:pStyle w:val="24"/>
              <w:rPr>
                <w:rFonts w:hint="eastAsia"/>
                <w:lang w:val="en-US" w:eastAsia="zh-CN"/>
              </w:rPr>
            </w:pPr>
            <w:r>
              <w:rPr>
                <w:rFonts w:hint="default"/>
                <w:lang w:val="en-US" w:eastAsia="zh-CN"/>
              </w:rPr>
              <w:t>5~8#</w:t>
            </w:r>
            <w:r>
              <w:rPr>
                <w:rFonts w:hint="eastAsia"/>
                <w:lang w:val="en-US" w:eastAsia="zh-CN"/>
              </w:rPr>
              <w:t>罐区下游</w:t>
            </w:r>
          </w:p>
          <w:p>
            <w:pPr>
              <w:pStyle w:val="24"/>
            </w:pPr>
            <w:r>
              <w:rPr>
                <w:rFonts w:hint="default"/>
                <w:lang w:val="en-US" w:eastAsia="zh-CN"/>
              </w:rPr>
              <w:t>E:</w:t>
            </w:r>
            <w:r>
              <w:rPr>
                <w:rFonts w:hint="eastAsia"/>
                <w:lang w:val="en-US" w:eastAsia="zh-CN"/>
              </w:rPr>
              <w:t>119.010810°</w:t>
            </w:r>
            <w:r>
              <w:rPr>
                <w:rFonts w:hint="default"/>
                <w:lang w:val="en-US" w:eastAsia="zh-CN"/>
              </w:rPr>
              <w:t>N:</w:t>
            </w:r>
            <w:r>
              <w:rPr>
                <w:rFonts w:hint="eastAsia"/>
                <w:lang w:val="en-US" w:eastAsia="zh-CN"/>
              </w:rPr>
              <w:t>25.040528°</w:t>
            </w:r>
          </w:p>
        </w:tc>
        <w:tc>
          <w:tcPr>
            <w:tcW w:w="2166" w:type="dxa"/>
            <w:vAlign w:val="center"/>
          </w:tcPr>
          <w:p>
            <w:pPr>
              <w:pStyle w:val="24"/>
              <w:rPr>
                <w:rFonts w:hint="default"/>
                <w:lang w:val="en-US" w:eastAsia="zh-CN"/>
              </w:rPr>
            </w:pPr>
            <w:r>
              <w:rPr>
                <w:rFonts w:hint="default"/>
                <w:lang w:val="en-US" w:eastAsia="zh-CN"/>
              </w:rPr>
              <w:t>TR-0</w:t>
            </w:r>
            <w:r>
              <w:rPr>
                <w:rFonts w:hint="eastAsia"/>
                <w:lang w:val="en-US" w:eastAsia="zh-CN"/>
              </w:rPr>
              <w:t>3</w:t>
            </w:r>
          </w:p>
          <w:p>
            <w:pPr>
              <w:pStyle w:val="24"/>
            </w:pPr>
            <w:r>
              <w:rPr>
                <w:rFonts w:hint="eastAsia"/>
                <w:lang w:val="en-US" w:eastAsia="zh-CN"/>
              </w:rPr>
              <w:t>废气处理装置下游</w:t>
            </w:r>
            <w:r>
              <w:rPr>
                <w:rFonts w:hint="default"/>
                <w:lang w:val="en-US" w:eastAsia="zh-CN"/>
              </w:rPr>
              <w:t>E:</w:t>
            </w:r>
            <w:r>
              <w:rPr>
                <w:rFonts w:hint="eastAsia"/>
                <w:lang w:val="en-US" w:eastAsia="zh-CN"/>
              </w:rPr>
              <w:t>119.008883°</w:t>
            </w:r>
            <w:r>
              <w:rPr>
                <w:rFonts w:hint="default"/>
                <w:lang w:val="en-US" w:eastAsia="zh-CN"/>
              </w:rPr>
              <w:t>N:</w:t>
            </w:r>
            <w:r>
              <w:rPr>
                <w:rFonts w:hint="eastAsia"/>
                <w:lang w:val="en-US" w:eastAsia="zh-CN"/>
              </w:rPr>
              <w:t>25.040313°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52" w:type="dxa"/>
            <w:vMerge w:val="continue"/>
            <w:vAlign w:val="center"/>
          </w:tcPr>
          <w:p>
            <w:pPr>
              <w:pStyle w:val="24"/>
            </w:pPr>
          </w:p>
        </w:tc>
        <w:tc>
          <w:tcPr>
            <w:tcW w:w="1035" w:type="dxa"/>
            <w:vMerge w:val="continue"/>
            <w:vAlign w:val="center"/>
          </w:tcPr>
          <w:p>
            <w:pPr>
              <w:pStyle w:val="24"/>
            </w:pPr>
          </w:p>
        </w:tc>
        <w:tc>
          <w:tcPr>
            <w:tcW w:w="2164" w:type="dxa"/>
            <w:vAlign w:val="center"/>
          </w:tcPr>
          <w:p>
            <w:pPr>
              <w:pStyle w:val="24"/>
            </w:pPr>
            <w:r>
              <w:t>采样深度：0~20cm</w:t>
            </w:r>
          </w:p>
        </w:tc>
        <w:tc>
          <w:tcPr>
            <w:tcW w:w="2164" w:type="dxa"/>
            <w:vAlign w:val="center"/>
          </w:tcPr>
          <w:p>
            <w:pPr>
              <w:pStyle w:val="24"/>
            </w:pPr>
            <w:r>
              <w:t>采样深度：0~20cm</w:t>
            </w:r>
          </w:p>
        </w:tc>
        <w:tc>
          <w:tcPr>
            <w:tcW w:w="2166" w:type="dxa"/>
            <w:vAlign w:val="center"/>
          </w:tcPr>
          <w:p>
            <w:pPr>
              <w:pStyle w:val="24"/>
            </w:pPr>
            <w:r>
              <w:t>采样深度：0~20cm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1" w:type="dxa"/>
            <w:gridSpan w:val="5"/>
            <w:vAlign w:val="center"/>
          </w:tcPr>
          <w:p>
            <w:pPr>
              <w:pStyle w:val="24"/>
            </w:pPr>
            <w:r>
              <w:t>重金属和无机物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pH</w:t>
            </w:r>
          </w:p>
        </w:tc>
        <w:tc>
          <w:tcPr>
            <w:tcW w:w="1035" w:type="dxa"/>
            <w:vAlign w:val="center"/>
          </w:tcPr>
          <w:p>
            <w:pPr>
              <w:pStyle w:val="24"/>
            </w:pPr>
            <w:r>
              <w:t>无量纲</w:t>
            </w:r>
          </w:p>
        </w:tc>
        <w:tc>
          <w:tcPr>
            <w:tcW w:w="2164" w:type="dxa"/>
            <w:vAlign w:val="center"/>
          </w:tcPr>
          <w:p>
            <w:pPr>
              <w:pStyle w:val="24"/>
              <w:bidi w:val="0"/>
            </w:pPr>
            <w:r>
              <w:rPr>
                <w:rFonts w:hint="eastAsia"/>
                <w:lang w:val="en-US" w:eastAsia="zh-CN"/>
              </w:rPr>
              <w:t>7.77</w:t>
            </w:r>
          </w:p>
        </w:tc>
        <w:tc>
          <w:tcPr>
            <w:tcW w:w="2164" w:type="dxa"/>
            <w:vAlign w:val="center"/>
          </w:tcPr>
          <w:p>
            <w:pPr>
              <w:pStyle w:val="24"/>
              <w:bidi w:val="0"/>
            </w:pPr>
            <w:r>
              <w:rPr>
                <w:rFonts w:hint="eastAsia"/>
                <w:lang w:val="en-US" w:eastAsia="zh-CN"/>
              </w:rPr>
              <w:t>7.70</w:t>
            </w:r>
          </w:p>
        </w:tc>
        <w:tc>
          <w:tcPr>
            <w:tcW w:w="2166" w:type="dxa"/>
            <w:vAlign w:val="center"/>
          </w:tcPr>
          <w:p>
            <w:pPr>
              <w:pStyle w:val="24"/>
              <w:bidi w:val="0"/>
            </w:pPr>
            <w:r>
              <w:rPr>
                <w:rFonts w:hint="eastAsia"/>
                <w:lang w:val="en-US" w:eastAsia="zh-CN"/>
              </w:rPr>
              <w:t>8.22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砷</w:t>
            </w:r>
          </w:p>
        </w:tc>
        <w:tc>
          <w:tcPr>
            <w:tcW w:w="1035" w:type="dxa"/>
            <w:vAlign w:val="center"/>
          </w:tcPr>
          <w:p>
            <w:pPr>
              <w:pStyle w:val="24"/>
            </w:pPr>
            <w:r>
              <w:t>mg/kg</w:t>
            </w:r>
          </w:p>
        </w:tc>
        <w:tc>
          <w:tcPr>
            <w:tcW w:w="2164" w:type="dxa"/>
            <w:vAlign w:val="center"/>
          </w:tcPr>
          <w:p>
            <w:pPr>
              <w:pStyle w:val="24"/>
              <w:bidi w:val="0"/>
            </w:pPr>
            <w:r>
              <w:rPr>
                <w:rFonts w:hint="eastAsia"/>
                <w:lang w:val="en-US" w:eastAsia="zh-CN"/>
              </w:rPr>
              <w:t>1.60</w:t>
            </w:r>
          </w:p>
        </w:tc>
        <w:tc>
          <w:tcPr>
            <w:tcW w:w="2164" w:type="dxa"/>
            <w:vAlign w:val="center"/>
          </w:tcPr>
          <w:p>
            <w:pPr>
              <w:pStyle w:val="24"/>
              <w:bidi w:val="0"/>
            </w:pPr>
            <w:r>
              <w:rPr>
                <w:rFonts w:hint="eastAsia"/>
                <w:lang w:val="en-US" w:eastAsia="zh-CN"/>
              </w:rPr>
              <w:t>2.77</w:t>
            </w:r>
          </w:p>
        </w:tc>
        <w:tc>
          <w:tcPr>
            <w:tcW w:w="2166" w:type="dxa"/>
            <w:vAlign w:val="center"/>
          </w:tcPr>
          <w:p>
            <w:pPr>
              <w:pStyle w:val="24"/>
              <w:bidi w:val="0"/>
            </w:pPr>
            <w:r>
              <w:rPr>
                <w:rFonts w:hint="eastAsia"/>
                <w:lang w:val="en-US" w:eastAsia="zh-CN"/>
              </w:rPr>
              <w:t>2.51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镉</w:t>
            </w:r>
          </w:p>
        </w:tc>
        <w:tc>
          <w:tcPr>
            <w:tcW w:w="1035" w:type="dxa"/>
            <w:vAlign w:val="center"/>
          </w:tcPr>
          <w:p>
            <w:pPr>
              <w:pStyle w:val="24"/>
            </w:pPr>
            <w:r>
              <w:t>mg/kg</w:t>
            </w:r>
          </w:p>
        </w:tc>
        <w:tc>
          <w:tcPr>
            <w:tcW w:w="2164" w:type="dxa"/>
            <w:vAlign w:val="center"/>
          </w:tcPr>
          <w:p>
            <w:pPr>
              <w:pStyle w:val="24"/>
              <w:bidi w:val="0"/>
            </w:pPr>
            <w:r>
              <w:rPr>
                <w:rFonts w:hint="eastAsia"/>
                <w:lang w:val="en-US" w:eastAsia="zh-CN"/>
              </w:rPr>
              <w:t>0.77</w:t>
            </w:r>
          </w:p>
        </w:tc>
        <w:tc>
          <w:tcPr>
            <w:tcW w:w="2164" w:type="dxa"/>
            <w:vAlign w:val="center"/>
          </w:tcPr>
          <w:p>
            <w:pPr>
              <w:pStyle w:val="24"/>
              <w:bidi w:val="0"/>
            </w:pPr>
            <w:r>
              <w:rPr>
                <w:rFonts w:hint="eastAsia"/>
                <w:lang w:val="en-US" w:eastAsia="zh-CN"/>
              </w:rPr>
              <w:t>0.48</w:t>
            </w:r>
          </w:p>
        </w:tc>
        <w:tc>
          <w:tcPr>
            <w:tcW w:w="2166" w:type="dxa"/>
            <w:vAlign w:val="center"/>
          </w:tcPr>
          <w:p>
            <w:pPr>
              <w:pStyle w:val="24"/>
              <w:bidi w:val="0"/>
            </w:pPr>
            <w:r>
              <w:rPr>
                <w:rFonts w:hint="eastAsia"/>
                <w:lang w:val="en-US" w:eastAsia="zh-CN"/>
              </w:rPr>
              <w:t>0.34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铬（六价）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铜</w:t>
            </w:r>
          </w:p>
        </w:tc>
        <w:tc>
          <w:tcPr>
            <w:tcW w:w="1035" w:type="dxa"/>
            <w:vAlign w:val="center"/>
          </w:tcPr>
          <w:p>
            <w:pPr>
              <w:pStyle w:val="24"/>
            </w:pPr>
            <w:r>
              <w:t>mg/kg</w:t>
            </w:r>
          </w:p>
        </w:tc>
        <w:tc>
          <w:tcPr>
            <w:tcW w:w="2164" w:type="dxa"/>
            <w:vAlign w:val="center"/>
          </w:tcPr>
          <w:p>
            <w:pPr>
              <w:pStyle w:val="24"/>
              <w:bidi w:val="0"/>
            </w:pPr>
            <w:r>
              <w:rPr>
                <w:rFonts w:hint="eastAsia"/>
                <w:lang w:val="en-US" w:eastAsia="zh-CN"/>
              </w:rPr>
              <w:t>18.6</w:t>
            </w:r>
          </w:p>
        </w:tc>
        <w:tc>
          <w:tcPr>
            <w:tcW w:w="2164" w:type="dxa"/>
            <w:vAlign w:val="center"/>
          </w:tcPr>
          <w:p>
            <w:pPr>
              <w:pStyle w:val="24"/>
              <w:bidi w:val="0"/>
            </w:pPr>
            <w:r>
              <w:rPr>
                <w:rFonts w:hint="eastAsia"/>
                <w:lang w:val="en-US" w:eastAsia="zh-CN"/>
              </w:rPr>
              <w:t>24.1</w:t>
            </w:r>
          </w:p>
        </w:tc>
        <w:tc>
          <w:tcPr>
            <w:tcW w:w="2166" w:type="dxa"/>
            <w:vAlign w:val="center"/>
          </w:tcPr>
          <w:p>
            <w:pPr>
              <w:pStyle w:val="24"/>
              <w:bidi w:val="0"/>
            </w:pPr>
            <w:r>
              <w:rPr>
                <w:rFonts w:hint="eastAsia"/>
                <w:lang w:val="en-US" w:eastAsia="zh-CN"/>
              </w:rPr>
              <w:t>28.9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铅</w:t>
            </w:r>
          </w:p>
        </w:tc>
        <w:tc>
          <w:tcPr>
            <w:tcW w:w="1035" w:type="dxa"/>
            <w:vAlign w:val="center"/>
          </w:tcPr>
          <w:p>
            <w:pPr>
              <w:pStyle w:val="24"/>
            </w:pPr>
            <w:r>
              <w:t>mg/kg</w:t>
            </w:r>
          </w:p>
        </w:tc>
        <w:tc>
          <w:tcPr>
            <w:tcW w:w="2164" w:type="dxa"/>
            <w:vAlign w:val="center"/>
          </w:tcPr>
          <w:p>
            <w:pPr>
              <w:pStyle w:val="24"/>
              <w:bidi w:val="0"/>
            </w:pPr>
            <w:r>
              <w:rPr>
                <w:rFonts w:hint="eastAsia"/>
                <w:lang w:val="en-US" w:eastAsia="zh-CN"/>
              </w:rPr>
              <w:t>30.6</w:t>
            </w:r>
          </w:p>
        </w:tc>
        <w:tc>
          <w:tcPr>
            <w:tcW w:w="2164" w:type="dxa"/>
            <w:vAlign w:val="center"/>
          </w:tcPr>
          <w:p>
            <w:pPr>
              <w:pStyle w:val="24"/>
              <w:bidi w:val="0"/>
            </w:pPr>
            <w:r>
              <w:rPr>
                <w:rFonts w:hint="eastAsia"/>
                <w:lang w:val="en-US" w:eastAsia="zh-CN"/>
              </w:rPr>
              <w:t>27.3</w:t>
            </w:r>
          </w:p>
        </w:tc>
        <w:tc>
          <w:tcPr>
            <w:tcW w:w="2166" w:type="dxa"/>
            <w:vAlign w:val="center"/>
          </w:tcPr>
          <w:p>
            <w:pPr>
              <w:pStyle w:val="24"/>
              <w:bidi w:val="0"/>
            </w:pPr>
            <w:r>
              <w:rPr>
                <w:rFonts w:hint="eastAsia"/>
                <w:lang w:val="en-US" w:eastAsia="zh-CN"/>
              </w:rPr>
              <w:t>31.7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汞</w:t>
            </w:r>
          </w:p>
        </w:tc>
        <w:tc>
          <w:tcPr>
            <w:tcW w:w="1035" w:type="dxa"/>
            <w:vAlign w:val="center"/>
          </w:tcPr>
          <w:p>
            <w:pPr>
              <w:pStyle w:val="24"/>
            </w:pPr>
            <w:r>
              <w:t>mg/kg</w:t>
            </w:r>
          </w:p>
        </w:tc>
        <w:tc>
          <w:tcPr>
            <w:tcW w:w="2164" w:type="dxa"/>
            <w:vAlign w:val="center"/>
          </w:tcPr>
          <w:p>
            <w:pPr>
              <w:pStyle w:val="24"/>
              <w:bidi w:val="0"/>
            </w:pPr>
            <w:r>
              <w:rPr>
                <w:rFonts w:hint="eastAsia"/>
                <w:lang w:val="en-US" w:eastAsia="zh-CN"/>
              </w:rPr>
              <w:t>0.188</w:t>
            </w:r>
          </w:p>
        </w:tc>
        <w:tc>
          <w:tcPr>
            <w:tcW w:w="2164" w:type="dxa"/>
            <w:vAlign w:val="center"/>
          </w:tcPr>
          <w:p>
            <w:pPr>
              <w:pStyle w:val="24"/>
              <w:bidi w:val="0"/>
            </w:pPr>
            <w:r>
              <w:rPr>
                <w:rFonts w:hint="eastAsia"/>
                <w:lang w:val="en-US" w:eastAsia="zh-CN"/>
              </w:rPr>
              <w:t>0.263</w:t>
            </w:r>
          </w:p>
        </w:tc>
        <w:tc>
          <w:tcPr>
            <w:tcW w:w="2166" w:type="dxa"/>
            <w:vAlign w:val="center"/>
          </w:tcPr>
          <w:p>
            <w:pPr>
              <w:pStyle w:val="24"/>
              <w:bidi w:val="0"/>
            </w:pPr>
            <w:r>
              <w:rPr>
                <w:rFonts w:hint="eastAsia"/>
                <w:lang w:val="en-US" w:eastAsia="zh-CN"/>
              </w:rPr>
              <w:t>0.195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镍</w:t>
            </w:r>
          </w:p>
        </w:tc>
        <w:tc>
          <w:tcPr>
            <w:tcW w:w="1035" w:type="dxa"/>
            <w:vAlign w:val="center"/>
          </w:tcPr>
          <w:p>
            <w:pPr>
              <w:pStyle w:val="24"/>
            </w:pPr>
            <w:r>
              <w:t>mg/kg</w:t>
            </w:r>
          </w:p>
        </w:tc>
        <w:tc>
          <w:tcPr>
            <w:tcW w:w="2164" w:type="dxa"/>
            <w:vAlign w:val="center"/>
          </w:tcPr>
          <w:p>
            <w:pPr>
              <w:pStyle w:val="24"/>
              <w:bidi w:val="0"/>
            </w:pPr>
            <w:r>
              <w:rPr>
                <w:rFonts w:hint="eastAsia"/>
                <w:lang w:val="en-US" w:eastAsia="zh-CN"/>
              </w:rPr>
              <w:t>11.5</w:t>
            </w:r>
          </w:p>
        </w:tc>
        <w:tc>
          <w:tcPr>
            <w:tcW w:w="2164" w:type="dxa"/>
            <w:vAlign w:val="center"/>
          </w:tcPr>
          <w:p>
            <w:pPr>
              <w:pStyle w:val="24"/>
              <w:bidi w:val="0"/>
            </w:pPr>
            <w:r>
              <w:rPr>
                <w:rFonts w:hint="eastAsia"/>
                <w:lang w:val="en-US" w:eastAsia="zh-CN"/>
              </w:rPr>
              <w:t>15.9</w:t>
            </w:r>
          </w:p>
        </w:tc>
        <w:tc>
          <w:tcPr>
            <w:tcW w:w="2166" w:type="dxa"/>
            <w:vAlign w:val="center"/>
          </w:tcPr>
          <w:p>
            <w:pPr>
              <w:pStyle w:val="24"/>
              <w:bidi w:val="0"/>
            </w:pPr>
            <w:r>
              <w:rPr>
                <w:rFonts w:hint="eastAsia"/>
                <w:lang w:val="en-US" w:eastAsia="zh-CN"/>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1" w:type="dxa"/>
            <w:gridSpan w:val="5"/>
            <w:vAlign w:val="center"/>
          </w:tcPr>
          <w:p>
            <w:pPr>
              <w:pStyle w:val="24"/>
            </w:pPr>
            <w:r>
              <w:t>挥发性有机物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四氯化碳</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氯仿</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氯甲烷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1,1-二氯乙烷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1,2-二氯乙烷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1,1-二氯乙烯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顺-1,2-二氯乙烯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反-1,2-二氯乙烯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二氯甲烷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1,2-二氯丙烷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1,1,1,2-四氯乙烷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1,1,2,2-四氯乙烷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四氯乙烯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1,1,1-三氯乙烷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1,1,2-三氯乙烷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三氯乙烯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1,2,3-三氯丙烷</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氯乙烯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氯苯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1,2-二氯苯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1,4-二氯苯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乙苯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苯乙烯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甲苯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间</w:t>
            </w:r>
            <w:r>
              <w:rPr>
                <w:rFonts w:hint="eastAsia"/>
                <w:lang w:eastAsia="zh-CN"/>
              </w:rPr>
              <w:t>、</w:t>
            </w:r>
            <w:r>
              <w:t>对二甲苯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邻二甲苯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1" w:type="dxa"/>
            <w:gridSpan w:val="5"/>
            <w:vAlign w:val="center"/>
          </w:tcPr>
          <w:p>
            <w:pPr>
              <w:pStyle w:val="24"/>
            </w:pPr>
            <w:r>
              <w:t>半挥发性有机物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硝基苯</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苯胺</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2-氯酚</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苯并[a]蒽</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苯并[a]芘</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苯并[b]荧蒽</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苯并[k]荧蒽</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䓛</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二苯并[a,h]蒽</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茚并[1,2,3-cd]芘</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萘</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1" w:type="dxa"/>
            <w:gridSpan w:val="5"/>
            <w:vAlign w:val="center"/>
          </w:tcPr>
          <w:p>
            <w:pPr>
              <w:pStyle w:val="24"/>
            </w:pPr>
            <w:r>
              <w:t>石油烃类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石油烃（C</w:t>
            </w:r>
            <w:r>
              <w:rPr>
                <w:vertAlign w:val="subscript"/>
              </w:rPr>
              <w:t>10</w:t>
            </w:r>
            <w:r>
              <w:t>-C</w:t>
            </w:r>
            <w:r>
              <w:rPr>
                <w:vertAlign w:val="subscript"/>
              </w:rPr>
              <w:t>40</w:t>
            </w:r>
            <w:r>
              <w:t>）</w:t>
            </w:r>
          </w:p>
        </w:tc>
        <w:tc>
          <w:tcPr>
            <w:tcW w:w="1035" w:type="dxa"/>
            <w:vAlign w:val="center"/>
          </w:tcPr>
          <w:p>
            <w:pPr>
              <w:pStyle w:val="24"/>
            </w:pPr>
            <w:r>
              <w:t>mg/kg</w:t>
            </w:r>
          </w:p>
        </w:tc>
        <w:tc>
          <w:tcPr>
            <w:tcW w:w="2164" w:type="dxa"/>
            <w:vAlign w:val="center"/>
          </w:tcPr>
          <w:p>
            <w:pPr>
              <w:pStyle w:val="24"/>
              <w:bidi w:val="0"/>
            </w:pPr>
            <w:r>
              <w:rPr>
                <w:rFonts w:hint="eastAsia"/>
                <w:lang w:val="en-US" w:eastAsia="zh-CN"/>
              </w:rPr>
              <w:t>156</w:t>
            </w:r>
          </w:p>
        </w:tc>
        <w:tc>
          <w:tcPr>
            <w:tcW w:w="2164" w:type="dxa"/>
            <w:vAlign w:val="center"/>
          </w:tcPr>
          <w:p>
            <w:pPr>
              <w:pStyle w:val="24"/>
              <w:bidi w:val="0"/>
            </w:pPr>
            <w:r>
              <w:rPr>
                <w:rFonts w:hint="eastAsia"/>
                <w:lang w:val="en-US" w:eastAsia="zh-CN"/>
              </w:rPr>
              <w:t>174</w:t>
            </w:r>
          </w:p>
        </w:tc>
        <w:tc>
          <w:tcPr>
            <w:tcW w:w="2166" w:type="dxa"/>
            <w:vAlign w:val="center"/>
          </w:tcPr>
          <w:p>
            <w:pPr>
              <w:pStyle w:val="24"/>
              <w:bidi w:val="0"/>
            </w:pPr>
            <w:r>
              <w:rPr>
                <w:rFonts w:hint="eastAsia"/>
                <w:lang w:val="en-US" w:eastAsia="zh-CN"/>
              </w:rPr>
              <w:t>198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52" w:type="dxa"/>
            <w:vAlign w:val="center"/>
          </w:tcPr>
          <w:p>
            <w:pPr>
              <w:pStyle w:val="24"/>
            </w:pPr>
            <w:r>
              <w:t>石油烃（C</w:t>
            </w:r>
            <w:r>
              <w:rPr>
                <w:vertAlign w:val="subscript"/>
              </w:rPr>
              <w:t>6</w:t>
            </w:r>
            <w:r>
              <w:t>-C</w:t>
            </w:r>
            <w:r>
              <w:rPr>
                <w:vertAlign w:val="subscript"/>
              </w:rPr>
              <w:t>9</w:t>
            </w:r>
            <w:r>
              <w:t>）</w:t>
            </w:r>
          </w:p>
        </w:tc>
        <w:tc>
          <w:tcPr>
            <w:tcW w:w="1035" w:type="dxa"/>
            <w:vAlign w:val="center"/>
          </w:tcPr>
          <w:p>
            <w:pPr>
              <w:pStyle w:val="24"/>
            </w:pPr>
            <w:r>
              <w:t>mg/kg</w:t>
            </w:r>
          </w:p>
        </w:tc>
        <w:tc>
          <w:tcPr>
            <w:tcW w:w="2164" w:type="dxa"/>
            <w:vAlign w:val="center"/>
          </w:tcPr>
          <w:p>
            <w:pPr>
              <w:pStyle w:val="24"/>
              <w:bidi w:val="0"/>
            </w:pPr>
            <w:r>
              <w:rPr>
                <w:rFonts w:hint="default"/>
                <w:lang w:val="en-US" w:eastAsia="zh-CN"/>
              </w:rPr>
              <w:t>未检出</w:t>
            </w:r>
          </w:p>
        </w:tc>
        <w:tc>
          <w:tcPr>
            <w:tcW w:w="2164" w:type="dxa"/>
            <w:vAlign w:val="center"/>
          </w:tcPr>
          <w:p>
            <w:pPr>
              <w:pStyle w:val="24"/>
              <w:bidi w:val="0"/>
            </w:pPr>
            <w:r>
              <w:rPr>
                <w:rFonts w:hint="default"/>
                <w:lang w:val="en-US" w:eastAsia="zh-CN"/>
              </w:rPr>
              <w:t>未检出</w:t>
            </w:r>
          </w:p>
        </w:tc>
        <w:tc>
          <w:tcPr>
            <w:tcW w:w="2166" w:type="dxa"/>
            <w:vAlign w:val="center"/>
          </w:tcPr>
          <w:p>
            <w:pPr>
              <w:pStyle w:val="24"/>
              <w:bidi w:val="0"/>
            </w:pPr>
            <w:r>
              <w:rPr>
                <w:rFonts w:hint="default"/>
                <w:lang w:val="en-US" w:eastAsia="zh-CN"/>
              </w:rPr>
              <w:t>未检出</w:t>
            </w:r>
          </w:p>
        </w:tc>
      </w:tr>
    </w:tbl>
    <w:p>
      <w:pPr>
        <w:pStyle w:val="23"/>
        <w:spacing w:before="240"/>
      </w:pPr>
      <w:r>
        <w:t>表9.3.4 敏感点杜厝村土壤监测结果统计一览表  单位：mg/kg，pH无量纲</w:t>
      </w:r>
    </w:p>
    <w:tbl>
      <w:tblPr>
        <w:tblStyle w:val="14"/>
        <w:tblW w:w="928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60"/>
        <w:gridCol w:w="1851"/>
        <w:gridCol w:w="50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jc w:val="center"/>
        </w:trPr>
        <w:tc>
          <w:tcPr>
            <w:tcW w:w="2360" w:type="dxa"/>
            <w:vMerge w:val="restart"/>
            <w:vAlign w:val="center"/>
          </w:tcPr>
          <w:p>
            <w:pPr>
              <w:pStyle w:val="24"/>
            </w:pPr>
            <w:r>
              <w:t>检测项目</w:t>
            </w:r>
          </w:p>
        </w:tc>
        <w:tc>
          <w:tcPr>
            <w:tcW w:w="1851" w:type="dxa"/>
            <w:vMerge w:val="restart"/>
            <w:vAlign w:val="center"/>
          </w:tcPr>
          <w:p>
            <w:pPr>
              <w:pStyle w:val="24"/>
            </w:pPr>
            <w:r>
              <w:t>单位</w:t>
            </w:r>
          </w:p>
        </w:tc>
        <w:tc>
          <w:tcPr>
            <w:tcW w:w="5070" w:type="dxa"/>
            <w:vAlign w:val="center"/>
          </w:tcPr>
          <w:p>
            <w:pPr>
              <w:pStyle w:val="24"/>
            </w:pPr>
            <w:r>
              <w:t>检测结果</w:t>
            </w:r>
            <w:r>
              <w:rPr>
                <w:rFonts w:hint="eastAsia"/>
              </w:rPr>
              <w:t>（</w:t>
            </w:r>
            <w:r>
              <w:rPr>
                <w:rFonts w:hint="eastAsia"/>
                <w:lang w:val="en-US" w:eastAsia="zh-CN"/>
              </w:rPr>
              <w:t>2023.3.23</w:t>
            </w:r>
            <w:r>
              <w:rPr>
                <w:rFonts w:hint="eastAsia"/>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jc w:val="center"/>
        </w:trPr>
        <w:tc>
          <w:tcPr>
            <w:tcW w:w="2360" w:type="dxa"/>
            <w:vMerge w:val="continue"/>
            <w:vAlign w:val="center"/>
          </w:tcPr>
          <w:p>
            <w:pPr>
              <w:pStyle w:val="24"/>
            </w:pPr>
          </w:p>
        </w:tc>
        <w:tc>
          <w:tcPr>
            <w:tcW w:w="1851" w:type="dxa"/>
            <w:vMerge w:val="continue"/>
            <w:vAlign w:val="center"/>
          </w:tcPr>
          <w:p>
            <w:pPr>
              <w:pStyle w:val="24"/>
            </w:pPr>
          </w:p>
        </w:tc>
        <w:tc>
          <w:tcPr>
            <w:tcW w:w="5070" w:type="dxa"/>
            <w:vAlign w:val="center"/>
          </w:tcPr>
          <w:p>
            <w:pPr>
              <w:pStyle w:val="24"/>
            </w:pPr>
            <w:r>
              <w:t>TR-</w:t>
            </w:r>
            <w:r>
              <w:rPr>
                <w:rFonts w:hint="eastAsia"/>
                <w:lang w:val="en-US" w:eastAsia="zh-CN"/>
              </w:rPr>
              <w:t>04</w:t>
            </w:r>
            <w:r>
              <w:t>杜厝村农用地</w:t>
            </w:r>
          </w:p>
          <w:p>
            <w:pPr>
              <w:pStyle w:val="24"/>
            </w:pPr>
            <w:r>
              <w:t>E:119.002924°N:25.038268°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jc w:val="center"/>
        </w:trPr>
        <w:tc>
          <w:tcPr>
            <w:tcW w:w="2360" w:type="dxa"/>
            <w:vMerge w:val="continue"/>
            <w:vAlign w:val="center"/>
          </w:tcPr>
          <w:p>
            <w:pPr>
              <w:pStyle w:val="24"/>
            </w:pPr>
          </w:p>
        </w:tc>
        <w:tc>
          <w:tcPr>
            <w:tcW w:w="1851" w:type="dxa"/>
            <w:vMerge w:val="continue"/>
            <w:vAlign w:val="center"/>
          </w:tcPr>
          <w:p>
            <w:pPr>
              <w:pStyle w:val="24"/>
            </w:pPr>
          </w:p>
        </w:tc>
        <w:tc>
          <w:tcPr>
            <w:tcW w:w="5070" w:type="dxa"/>
            <w:vAlign w:val="center"/>
          </w:tcPr>
          <w:p>
            <w:pPr>
              <w:pStyle w:val="24"/>
            </w:pPr>
            <w:r>
              <w:t>采样深度：0~20cm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pPr>
            <w:r>
              <w:t>pH</w:t>
            </w:r>
          </w:p>
        </w:tc>
        <w:tc>
          <w:tcPr>
            <w:tcW w:w="1851" w:type="dxa"/>
            <w:vAlign w:val="center"/>
          </w:tcPr>
          <w:p>
            <w:pPr>
              <w:pStyle w:val="24"/>
            </w:pPr>
            <w:r>
              <w:t>无量纲</w:t>
            </w:r>
          </w:p>
        </w:tc>
        <w:tc>
          <w:tcPr>
            <w:tcW w:w="5070" w:type="dxa"/>
            <w:vAlign w:val="center"/>
          </w:tcPr>
          <w:p>
            <w:pPr>
              <w:pStyle w:val="24"/>
              <w:rPr>
                <w:rFonts w:hint="default" w:eastAsia="宋体"/>
                <w:lang w:val="en-US" w:eastAsia="zh-CN"/>
              </w:rPr>
            </w:pPr>
            <w:r>
              <w:rPr>
                <w:rFonts w:hint="eastAsia"/>
                <w:lang w:val="en-US" w:eastAsia="zh-CN"/>
              </w:rPr>
              <w:t>8.07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镉</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eastAsia" w:ascii="Times New Roman" w:hAnsi="Times New Roman" w:eastAsia="宋体" w:cs="Times New Roman"/>
                <w:kern w:val="0"/>
                <w:sz w:val="20"/>
                <w:szCs w:val="21"/>
                <w:lang w:val="en-US" w:eastAsia="zh-CN" w:bidi="ar-SA"/>
              </w:rPr>
            </w:pPr>
            <w:r>
              <w:rPr>
                <w:rFonts w:hint="eastAsia"/>
                <w:lang w:val="en-US" w:eastAsia="zh-CN"/>
              </w:rPr>
              <w:t>0.23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汞</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eastAsia" w:ascii="Times New Roman" w:hAnsi="Times New Roman" w:eastAsia="宋体" w:cs="Times New Roman"/>
                <w:kern w:val="0"/>
                <w:sz w:val="20"/>
                <w:szCs w:val="21"/>
                <w:lang w:val="en-US" w:eastAsia="zh-CN" w:bidi="ar-SA"/>
              </w:rPr>
            </w:pPr>
            <w:r>
              <w:rPr>
                <w:rFonts w:hint="eastAsia"/>
                <w:lang w:val="en-US" w:eastAsia="zh-CN"/>
              </w:rPr>
              <w:t>0.260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砷</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eastAsia" w:ascii="Times New Roman" w:hAnsi="Times New Roman" w:eastAsia="宋体" w:cs="Times New Roman"/>
                <w:kern w:val="0"/>
                <w:sz w:val="20"/>
                <w:szCs w:val="21"/>
                <w:lang w:val="en-US" w:eastAsia="zh-CN" w:bidi="ar-SA"/>
              </w:rPr>
            </w:pPr>
            <w:r>
              <w:rPr>
                <w:rFonts w:hint="eastAsia"/>
                <w:lang w:val="en-US" w:eastAsia="zh-CN"/>
              </w:rPr>
              <w:t>4.21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铅</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eastAsia" w:ascii="Times New Roman" w:hAnsi="Times New Roman" w:eastAsia="宋体" w:cs="Times New Roman"/>
                <w:kern w:val="0"/>
                <w:sz w:val="20"/>
                <w:szCs w:val="21"/>
                <w:lang w:val="en-US" w:eastAsia="zh-CN" w:bidi="ar-SA"/>
              </w:rPr>
            </w:pPr>
            <w:r>
              <w:rPr>
                <w:rFonts w:hint="eastAsia"/>
                <w:lang w:val="en-US" w:eastAsia="zh-CN"/>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铬</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default" w:ascii="Times New Roman" w:hAnsi="Times New Roman" w:eastAsia="宋体" w:cs="Times New Roman"/>
                <w:kern w:val="0"/>
                <w:sz w:val="20"/>
                <w:szCs w:val="21"/>
                <w:lang w:val="en-US" w:eastAsia="zh-CN" w:bidi="ar-SA"/>
              </w:rPr>
            </w:pPr>
            <w:r>
              <w:rPr>
                <w:rFonts w:hint="eastAsia"/>
                <w:lang w:val="en-US" w:eastAsia="zh-CN"/>
              </w:rPr>
              <w:t>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铜</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default" w:ascii="Times New Roman" w:hAnsi="Times New Roman" w:eastAsia="宋体" w:cs="Times New Roman"/>
                <w:kern w:val="0"/>
                <w:sz w:val="20"/>
                <w:szCs w:val="21"/>
                <w:lang w:val="en-US" w:eastAsia="zh-CN" w:bidi="ar-SA"/>
              </w:rPr>
            </w:pPr>
            <w:r>
              <w:rPr>
                <w:rFonts w:hint="eastAsia"/>
                <w:lang w:val="en-US" w:eastAsia="zh-CN"/>
              </w:rPr>
              <w:t>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镍</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default" w:ascii="Times New Roman" w:hAnsi="Times New Roman" w:eastAsia="宋体" w:cs="Times New Roman"/>
                <w:kern w:val="0"/>
                <w:sz w:val="20"/>
                <w:szCs w:val="21"/>
                <w:lang w:val="en-US" w:eastAsia="zh-CN" w:bidi="ar-SA"/>
              </w:rPr>
            </w:pPr>
            <w:r>
              <w:rPr>
                <w:rFonts w:hint="eastAsia"/>
                <w:lang w:val="en-US" w:eastAsia="zh-CN"/>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rPr>
                <w:rFonts w:ascii="Times New Roman" w:hAnsi="Times New Roman" w:eastAsia="宋体" w:cs="Times New Roman"/>
                <w:kern w:val="0"/>
                <w:sz w:val="20"/>
                <w:szCs w:val="21"/>
                <w:lang w:val="en-US" w:eastAsia="zh-CN" w:bidi="ar-SA"/>
              </w:rPr>
            </w:pPr>
            <w:r>
              <w:t>锌</w:t>
            </w:r>
          </w:p>
        </w:tc>
        <w:tc>
          <w:tcPr>
            <w:tcW w:w="1851" w:type="dxa"/>
            <w:vAlign w:val="center"/>
          </w:tcPr>
          <w:p>
            <w:pPr>
              <w:pStyle w:val="24"/>
              <w:rPr>
                <w:rFonts w:ascii="Times New Roman" w:hAnsi="Times New Roman" w:eastAsia="宋体" w:cs="Times New Roman"/>
                <w:kern w:val="0"/>
                <w:sz w:val="20"/>
                <w:szCs w:val="21"/>
                <w:lang w:val="en-US" w:eastAsia="zh-CN" w:bidi="ar-SA"/>
              </w:rPr>
            </w:pPr>
            <w:r>
              <w:t>mg/kg</w:t>
            </w:r>
          </w:p>
        </w:tc>
        <w:tc>
          <w:tcPr>
            <w:tcW w:w="5070" w:type="dxa"/>
            <w:vAlign w:val="center"/>
          </w:tcPr>
          <w:p>
            <w:pPr>
              <w:pStyle w:val="24"/>
              <w:rPr>
                <w:rFonts w:hint="default" w:ascii="Times New Roman" w:hAnsi="Times New Roman" w:eastAsia="宋体" w:cs="Times New Roman"/>
                <w:kern w:val="0"/>
                <w:sz w:val="20"/>
                <w:szCs w:val="21"/>
                <w:lang w:val="en-US" w:eastAsia="zh-CN" w:bidi="ar-SA"/>
              </w:rPr>
            </w:pPr>
            <w:r>
              <w:rPr>
                <w:rFonts w:hint="eastAsia"/>
                <w:lang w:val="en-US" w:eastAsia="zh-CN"/>
              </w:rPr>
              <w:t>106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pPr>
            <w:r>
              <w:t>石油烃（C</w:t>
            </w:r>
            <w:r>
              <w:rPr>
                <w:vertAlign w:val="subscript"/>
              </w:rPr>
              <w:t>10</w:t>
            </w:r>
            <w:r>
              <w:t>-C</w:t>
            </w:r>
            <w:r>
              <w:rPr>
                <w:vertAlign w:val="subscript"/>
              </w:rPr>
              <w:t>40</w:t>
            </w:r>
            <w:r>
              <w:t>）</w:t>
            </w:r>
          </w:p>
        </w:tc>
        <w:tc>
          <w:tcPr>
            <w:tcW w:w="1851" w:type="dxa"/>
            <w:vAlign w:val="center"/>
          </w:tcPr>
          <w:p>
            <w:pPr>
              <w:pStyle w:val="24"/>
            </w:pPr>
            <w:r>
              <w:t>mg/kg</w:t>
            </w:r>
          </w:p>
        </w:tc>
        <w:tc>
          <w:tcPr>
            <w:tcW w:w="5070" w:type="dxa"/>
            <w:vAlign w:val="center"/>
          </w:tcPr>
          <w:p>
            <w:pPr>
              <w:pStyle w:val="24"/>
              <w:rPr>
                <w:rFonts w:hint="default" w:eastAsia="宋体"/>
                <w:lang w:val="en-US" w:eastAsia="zh-CN"/>
              </w:rPr>
            </w:pPr>
            <w:r>
              <w:rPr>
                <w:rFonts w:hint="eastAsia"/>
                <w:lang w:val="en-US" w:eastAsia="zh-CN"/>
              </w:rPr>
              <w:t>182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360" w:type="dxa"/>
            <w:vAlign w:val="center"/>
          </w:tcPr>
          <w:p>
            <w:pPr>
              <w:pStyle w:val="24"/>
            </w:pPr>
            <w:r>
              <w:t>石油烃（C</w:t>
            </w:r>
            <w:r>
              <w:rPr>
                <w:vertAlign w:val="subscript"/>
              </w:rPr>
              <w:t>6</w:t>
            </w:r>
            <w:r>
              <w:t>-C</w:t>
            </w:r>
            <w:r>
              <w:rPr>
                <w:vertAlign w:val="subscript"/>
              </w:rPr>
              <w:t>9</w:t>
            </w:r>
            <w:r>
              <w:t>）</w:t>
            </w:r>
          </w:p>
        </w:tc>
        <w:tc>
          <w:tcPr>
            <w:tcW w:w="1851" w:type="dxa"/>
            <w:vAlign w:val="center"/>
          </w:tcPr>
          <w:p>
            <w:pPr>
              <w:pStyle w:val="24"/>
            </w:pPr>
            <w:r>
              <w:t>mg/kg</w:t>
            </w:r>
          </w:p>
        </w:tc>
        <w:tc>
          <w:tcPr>
            <w:tcW w:w="5070" w:type="dxa"/>
            <w:vAlign w:val="center"/>
          </w:tcPr>
          <w:p>
            <w:pPr>
              <w:pStyle w:val="24"/>
            </w:pPr>
            <w:r>
              <w:rPr>
                <w:rFonts w:hint="default"/>
                <w:lang w:val="en-US" w:eastAsia="zh-CN"/>
              </w:rPr>
              <w:t>未检出</w:t>
            </w:r>
          </w:p>
        </w:tc>
      </w:tr>
    </w:tbl>
    <w:p>
      <w:pPr>
        <w:pStyle w:val="18"/>
        <w:spacing w:before="156" w:beforeLines="50"/>
        <w:sectPr>
          <w:pgSz w:w="11906" w:h="16838"/>
          <w:pgMar w:top="1417" w:right="1417" w:bottom="1417" w:left="1417" w:header="1417" w:footer="1134" w:gutter="0"/>
          <w:pgBorders>
            <w:top w:val="none" w:sz="0" w:space="0"/>
            <w:left w:val="none" w:sz="0" w:space="0"/>
            <w:bottom w:val="none" w:sz="0" w:space="0"/>
            <w:right w:val="none" w:sz="0" w:space="0"/>
          </w:pgBorders>
          <w:cols w:space="720" w:num="1"/>
          <w:rtlGutter w:val="0"/>
          <w:docGrid w:type="lines" w:linePitch="315" w:charSpace="0"/>
        </w:sectPr>
      </w:pPr>
    </w:p>
    <w:p>
      <w:pPr>
        <w:pStyle w:val="18"/>
        <w:spacing w:before="156" w:beforeLines="50"/>
      </w:pPr>
      <w:r>
        <w:t>9.3.4 声环境</w:t>
      </w:r>
    </w:p>
    <w:p>
      <w:pPr>
        <w:pStyle w:val="19"/>
        <w:ind w:firstLine="480"/>
        <w:rPr>
          <w:lang w:val="en-US"/>
        </w:rPr>
      </w:pPr>
      <w:r>
        <w:rPr>
          <w:lang w:val="en-US"/>
        </w:rPr>
        <w:t>验收监测期间于杜厝村敏感点</w:t>
      </w:r>
      <w:r>
        <w:t>布设</w:t>
      </w:r>
      <w:r>
        <w:rPr>
          <w:lang w:val="en-US"/>
        </w:rPr>
        <w:t>1</w:t>
      </w:r>
      <w:r>
        <w:t>个</w:t>
      </w:r>
      <w:r>
        <w:rPr>
          <w:lang w:val="en-US"/>
        </w:rPr>
        <w:t>噪声</w:t>
      </w:r>
      <w:r>
        <w:t>监测点，具体监测结果见表9</w:t>
      </w:r>
      <w:r>
        <w:rPr>
          <w:lang w:val="en-US"/>
        </w:rPr>
        <w:t>.</w:t>
      </w:r>
      <w:r>
        <w:t>3</w:t>
      </w:r>
      <w:r>
        <w:rPr>
          <w:lang w:val="en-US"/>
        </w:rPr>
        <w:t>.</w:t>
      </w:r>
      <w:r>
        <w:t>5。</w:t>
      </w:r>
      <w:r>
        <w:rPr>
          <w:lang w:val="en-US"/>
        </w:rPr>
        <w:t>根据监测结果，敏感点杜厝村环境噪声均符合</w:t>
      </w:r>
      <w:r>
        <w:t>《声环境质量标准》（GB3096-2008）</w:t>
      </w:r>
      <w:r>
        <w:rPr>
          <w:lang w:val="en-US"/>
        </w:rPr>
        <w:t>2</w:t>
      </w:r>
      <w:r>
        <w:t>类，</w:t>
      </w:r>
      <w:r>
        <w:rPr>
          <w:lang w:val="en-US"/>
        </w:rPr>
        <w:t>即昼间不超过60</w:t>
      </w:r>
      <w:r>
        <w:t>dB(A)，</w:t>
      </w:r>
      <w:r>
        <w:rPr>
          <w:lang w:val="en-US"/>
        </w:rPr>
        <w:t>夜间不超过50</w:t>
      </w:r>
      <w:r>
        <w:t>dB(A)。</w:t>
      </w:r>
    </w:p>
    <w:p>
      <w:pPr>
        <w:pStyle w:val="23"/>
        <w:rPr>
          <w:color w:val="000000"/>
        </w:rPr>
      </w:pPr>
      <w:r>
        <w:t>表9.3.5 敏感点噪声现状监测结果  单位：dB(A)</w:t>
      </w:r>
    </w:p>
    <w:tbl>
      <w:tblPr>
        <w:tblStyle w:val="14"/>
        <w:tblW w:w="9284"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1158"/>
        <w:gridCol w:w="1481"/>
        <w:gridCol w:w="2167"/>
        <w:gridCol w:w="1739"/>
        <w:gridCol w:w="17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7" w:hRule="exact"/>
          <w:tblHeader/>
          <w:jc w:val="center"/>
        </w:trPr>
        <w:tc>
          <w:tcPr>
            <w:tcW w:w="1037" w:type="dxa"/>
            <w:vAlign w:val="center"/>
          </w:tcPr>
          <w:p>
            <w:pPr>
              <w:pStyle w:val="24"/>
              <w:tabs>
                <w:tab w:val="left" w:pos="0"/>
              </w:tabs>
            </w:pPr>
            <w:r>
              <w:t>监测点位</w:t>
            </w:r>
          </w:p>
        </w:tc>
        <w:tc>
          <w:tcPr>
            <w:tcW w:w="1158" w:type="dxa"/>
            <w:vAlign w:val="center"/>
          </w:tcPr>
          <w:p>
            <w:pPr>
              <w:pStyle w:val="24"/>
              <w:tabs>
                <w:tab w:val="left" w:pos="0"/>
              </w:tabs>
            </w:pPr>
            <w:r>
              <w:t>监测日期</w:t>
            </w:r>
          </w:p>
        </w:tc>
        <w:tc>
          <w:tcPr>
            <w:tcW w:w="1481" w:type="dxa"/>
            <w:vAlign w:val="center"/>
          </w:tcPr>
          <w:p>
            <w:pPr>
              <w:pStyle w:val="24"/>
              <w:tabs>
                <w:tab w:val="left" w:pos="0"/>
              </w:tabs>
            </w:pPr>
            <w:r>
              <w:t>监测时间</w:t>
            </w:r>
          </w:p>
        </w:tc>
        <w:tc>
          <w:tcPr>
            <w:tcW w:w="2167" w:type="dxa"/>
            <w:vAlign w:val="center"/>
          </w:tcPr>
          <w:p>
            <w:pPr>
              <w:pStyle w:val="24"/>
              <w:tabs>
                <w:tab w:val="left" w:pos="0"/>
              </w:tabs>
            </w:pPr>
            <w:r>
              <w:t>现状监测值</w:t>
            </w:r>
          </w:p>
          <w:p>
            <w:pPr>
              <w:pStyle w:val="24"/>
              <w:tabs>
                <w:tab w:val="left" w:pos="0"/>
              </w:tabs>
            </w:pPr>
            <w:r>
              <w:t>L</w:t>
            </w:r>
            <w:r>
              <w:rPr>
                <w:vertAlign w:val="subscript"/>
              </w:rPr>
              <w:t>Aeq</w:t>
            </w:r>
            <w:r>
              <w:t xml:space="preserve"> dB(A)</w:t>
            </w:r>
          </w:p>
        </w:tc>
        <w:tc>
          <w:tcPr>
            <w:tcW w:w="1739" w:type="dxa"/>
            <w:vAlign w:val="center"/>
          </w:tcPr>
          <w:p>
            <w:pPr>
              <w:pStyle w:val="24"/>
              <w:tabs>
                <w:tab w:val="left" w:pos="0"/>
              </w:tabs>
            </w:pPr>
            <w:r>
              <w:t>标准值</w:t>
            </w:r>
          </w:p>
          <w:p>
            <w:pPr>
              <w:pStyle w:val="24"/>
              <w:tabs>
                <w:tab w:val="left" w:pos="0"/>
              </w:tabs>
            </w:pPr>
            <w:r>
              <w:t>dB(A)</w:t>
            </w:r>
          </w:p>
        </w:tc>
        <w:tc>
          <w:tcPr>
            <w:tcW w:w="1702" w:type="dxa"/>
            <w:vAlign w:val="center"/>
          </w:tcPr>
          <w:p>
            <w:pPr>
              <w:pStyle w:val="24"/>
              <w:tabs>
                <w:tab w:val="left" w:pos="0"/>
              </w:tabs>
            </w:pPr>
            <w: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vMerge w:val="restart"/>
            <w:vAlign w:val="center"/>
          </w:tcPr>
          <w:p>
            <w:pPr>
              <w:pStyle w:val="24"/>
              <w:tabs>
                <w:tab w:val="left" w:pos="0"/>
              </w:tabs>
            </w:pPr>
            <w:r>
              <w:t>杜厝村</w:t>
            </w:r>
          </w:p>
        </w:tc>
        <w:tc>
          <w:tcPr>
            <w:tcW w:w="1158" w:type="dxa"/>
            <w:vMerge w:val="restart"/>
            <w:vAlign w:val="center"/>
          </w:tcPr>
          <w:p>
            <w:pPr>
              <w:pStyle w:val="24"/>
              <w:tabs>
                <w:tab w:val="left" w:pos="0"/>
              </w:tabs>
              <w:rPr>
                <w:rFonts w:hint="default" w:eastAsia="宋体"/>
                <w:lang w:val="en-US" w:eastAsia="zh-CN"/>
              </w:rPr>
            </w:pPr>
            <w:r>
              <w:rPr>
                <w:rFonts w:hint="eastAsia"/>
                <w:lang w:val="en-US" w:eastAsia="zh-CN"/>
              </w:rPr>
              <w:t>2023.3.23</w:t>
            </w:r>
          </w:p>
        </w:tc>
        <w:tc>
          <w:tcPr>
            <w:tcW w:w="1481" w:type="dxa"/>
            <w:vAlign w:val="center"/>
          </w:tcPr>
          <w:p>
            <w:pPr>
              <w:pStyle w:val="24"/>
              <w:tabs>
                <w:tab w:val="left" w:pos="0"/>
              </w:tabs>
            </w:pPr>
            <w:r>
              <w:t>昼间</w:t>
            </w:r>
          </w:p>
        </w:tc>
        <w:tc>
          <w:tcPr>
            <w:tcW w:w="2167" w:type="dxa"/>
            <w:vAlign w:val="center"/>
          </w:tcPr>
          <w:p>
            <w:pPr>
              <w:pStyle w:val="24"/>
              <w:bidi w:val="0"/>
            </w:pPr>
            <w:r>
              <w:rPr>
                <w:rFonts w:hint="default"/>
                <w:lang w:val="en-US" w:eastAsia="zh-CN"/>
              </w:rPr>
              <w:t>48.4</w:t>
            </w:r>
          </w:p>
        </w:tc>
        <w:tc>
          <w:tcPr>
            <w:tcW w:w="1739" w:type="dxa"/>
            <w:vAlign w:val="center"/>
          </w:tcPr>
          <w:p>
            <w:pPr>
              <w:pStyle w:val="24"/>
              <w:tabs>
                <w:tab w:val="left" w:pos="0"/>
              </w:tabs>
            </w:pPr>
            <w:r>
              <w:t>60</w:t>
            </w:r>
          </w:p>
        </w:tc>
        <w:tc>
          <w:tcPr>
            <w:tcW w:w="1702" w:type="dxa"/>
            <w:vAlign w:val="center"/>
          </w:tcPr>
          <w:p>
            <w:pPr>
              <w:pStyle w:val="24"/>
            </w:pPr>
            <w: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vMerge w:val="continue"/>
            <w:vAlign w:val="center"/>
          </w:tcPr>
          <w:p>
            <w:pPr>
              <w:pStyle w:val="24"/>
              <w:tabs>
                <w:tab w:val="left" w:pos="0"/>
              </w:tabs>
            </w:pPr>
          </w:p>
        </w:tc>
        <w:tc>
          <w:tcPr>
            <w:tcW w:w="1158" w:type="dxa"/>
            <w:vMerge w:val="continue"/>
            <w:vAlign w:val="center"/>
          </w:tcPr>
          <w:p>
            <w:pPr>
              <w:pStyle w:val="24"/>
              <w:tabs>
                <w:tab w:val="left" w:pos="0"/>
              </w:tabs>
            </w:pPr>
          </w:p>
        </w:tc>
        <w:tc>
          <w:tcPr>
            <w:tcW w:w="1481" w:type="dxa"/>
            <w:vAlign w:val="center"/>
          </w:tcPr>
          <w:p>
            <w:pPr>
              <w:pStyle w:val="24"/>
              <w:tabs>
                <w:tab w:val="left" w:pos="0"/>
              </w:tabs>
            </w:pPr>
            <w:r>
              <w:t>夜间</w:t>
            </w:r>
          </w:p>
        </w:tc>
        <w:tc>
          <w:tcPr>
            <w:tcW w:w="2167" w:type="dxa"/>
            <w:vAlign w:val="center"/>
          </w:tcPr>
          <w:p>
            <w:pPr>
              <w:pStyle w:val="24"/>
              <w:bidi w:val="0"/>
            </w:pPr>
            <w:r>
              <w:rPr>
                <w:rFonts w:hint="default"/>
                <w:lang w:val="en-US" w:eastAsia="zh-CN"/>
              </w:rPr>
              <w:t>43.1</w:t>
            </w:r>
          </w:p>
        </w:tc>
        <w:tc>
          <w:tcPr>
            <w:tcW w:w="1739" w:type="dxa"/>
            <w:vAlign w:val="center"/>
          </w:tcPr>
          <w:p>
            <w:pPr>
              <w:pStyle w:val="24"/>
              <w:tabs>
                <w:tab w:val="left" w:pos="0"/>
              </w:tabs>
            </w:pPr>
            <w:r>
              <w:t>50</w:t>
            </w:r>
          </w:p>
        </w:tc>
        <w:tc>
          <w:tcPr>
            <w:tcW w:w="1702" w:type="dxa"/>
            <w:vAlign w:val="center"/>
          </w:tcPr>
          <w:p>
            <w:pPr>
              <w:pStyle w:val="24"/>
            </w:pPr>
            <w: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vMerge w:val="continue"/>
            <w:vAlign w:val="center"/>
          </w:tcPr>
          <w:p>
            <w:pPr>
              <w:pStyle w:val="24"/>
              <w:tabs>
                <w:tab w:val="left" w:pos="0"/>
              </w:tabs>
            </w:pPr>
          </w:p>
        </w:tc>
        <w:tc>
          <w:tcPr>
            <w:tcW w:w="1158" w:type="dxa"/>
            <w:vMerge w:val="restart"/>
            <w:vAlign w:val="center"/>
          </w:tcPr>
          <w:p>
            <w:pPr>
              <w:pStyle w:val="24"/>
              <w:tabs>
                <w:tab w:val="left" w:pos="0"/>
              </w:tabs>
              <w:rPr>
                <w:rFonts w:hint="default" w:eastAsia="宋体"/>
                <w:lang w:val="en-US" w:eastAsia="zh-CN"/>
              </w:rPr>
            </w:pPr>
            <w:r>
              <w:rPr>
                <w:rFonts w:hint="eastAsia"/>
                <w:lang w:val="en-US" w:eastAsia="zh-CN"/>
              </w:rPr>
              <w:t>2023.3.24</w:t>
            </w:r>
          </w:p>
        </w:tc>
        <w:tc>
          <w:tcPr>
            <w:tcW w:w="1481" w:type="dxa"/>
            <w:vAlign w:val="center"/>
          </w:tcPr>
          <w:p>
            <w:pPr>
              <w:pStyle w:val="24"/>
              <w:tabs>
                <w:tab w:val="left" w:pos="0"/>
              </w:tabs>
            </w:pPr>
            <w:r>
              <w:t>昼间</w:t>
            </w:r>
          </w:p>
        </w:tc>
        <w:tc>
          <w:tcPr>
            <w:tcW w:w="2167" w:type="dxa"/>
            <w:vAlign w:val="center"/>
          </w:tcPr>
          <w:p>
            <w:pPr>
              <w:pStyle w:val="24"/>
              <w:bidi w:val="0"/>
            </w:pPr>
            <w:r>
              <w:rPr>
                <w:rFonts w:hint="default"/>
                <w:lang w:val="en-US" w:eastAsia="zh-CN"/>
              </w:rPr>
              <w:t>50.7</w:t>
            </w:r>
          </w:p>
        </w:tc>
        <w:tc>
          <w:tcPr>
            <w:tcW w:w="1739" w:type="dxa"/>
            <w:vAlign w:val="center"/>
          </w:tcPr>
          <w:p>
            <w:pPr>
              <w:pStyle w:val="24"/>
              <w:tabs>
                <w:tab w:val="left" w:pos="0"/>
              </w:tabs>
            </w:pPr>
            <w:r>
              <w:t>60</w:t>
            </w:r>
          </w:p>
        </w:tc>
        <w:tc>
          <w:tcPr>
            <w:tcW w:w="1702" w:type="dxa"/>
            <w:vAlign w:val="center"/>
          </w:tcPr>
          <w:p>
            <w:pPr>
              <w:pStyle w:val="24"/>
            </w:pPr>
            <w: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vMerge w:val="continue"/>
            <w:vAlign w:val="center"/>
          </w:tcPr>
          <w:p>
            <w:pPr>
              <w:pStyle w:val="24"/>
              <w:tabs>
                <w:tab w:val="left" w:pos="0"/>
              </w:tabs>
            </w:pPr>
          </w:p>
        </w:tc>
        <w:tc>
          <w:tcPr>
            <w:tcW w:w="1158" w:type="dxa"/>
            <w:vMerge w:val="continue"/>
            <w:vAlign w:val="center"/>
          </w:tcPr>
          <w:p>
            <w:pPr>
              <w:pStyle w:val="24"/>
              <w:tabs>
                <w:tab w:val="left" w:pos="0"/>
              </w:tabs>
            </w:pPr>
          </w:p>
        </w:tc>
        <w:tc>
          <w:tcPr>
            <w:tcW w:w="1481" w:type="dxa"/>
            <w:vAlign w:val="center"/>
          </w:tcPr>
          <w:p>
            <w:pPr>
              <w:pStyle w:val="24"/>
              <w:tabs>
                <w:tab w:val="left" w:pos="0"/>
              </w:tabs>
            </w:pPr>
            <w:r>
              <w:t>夜间</w:t>
            </w:r>
          </w:p>
        </w:tc>
        <w:tc>
          <w:tcPr>
            <w:tcW w:w="2167" w:type="dxa"/>
            <w:vAlign w:val="center"/>
          </w:tcPr>
          <w:p>
            <w:pPr>
              <w:pStyle w:val="24"/>
              <w:bidi w:val="0"/>
            </w:pPr>
            <w:r>
              <w:rPr>
                <w:rFonts w:hint="default"/>
                <w:lang w:val="en-US" w:eastAsia="zh-CN"/>
              </w:rPr>
              <w:t>44.4</w:t>
            </w:r>
          </w:p>
        </w:tc>
        <w:tc>
          <w:tcPr>
            <w:tcW w:w="1739" w:type="dxa"/>
            <w:vAlign w:val="center"/>
          </w:tcPr>
          <w:p>
            <w:pPr>
              <w:pStyle w:val="24"/>
              <w:tabs>
                <w:tab w:val="left" w:pos="0"/>
              </w:tabs>
            </w:pPr>
            <w:r>
              <w:t>50</w:t>
            </w:r>
          </w:p>
        </w:tc>
        <w:tc>
          <w:tcPr>
            <w:tcW w:w="1702" w:type="dxa"/>
            <w:vAlign w:val="center"/>
          </w:tcPr>
          <w:p>
            <w:pPr>
              <w:pStyle w:val="24"/>
            </w:pPr>
            <w:r>
              <w:t>达标</w:t>
            </w:r>
          </w:p>
        </w:tc>
      </w:tr>
    </w:tbl>
    <w:p>
      <w:pPr>
        <w:pStyle w:val="18"/>
        <w:spacing w:before="156" w:beforeLines="50"/>
      </w:pPr>
      <w:r>
        <w:t xml:space="preserve">9.3.4 </w:t>
      </w:r>
      <w:r>
        <w:rPr>
          <w:rFonts w:hint="eastAsia"/>
          <w:lang w:eastAsia="zh-CN"/>
        </w:rPr>
        <w:t>海洋</w:t>
      </w:r>
      <w:r>
        <w:t>环境</w:t>
      </w:r>
    </w:p>
    <w:p>
      <w:pPr>
        <w:pStyle w:val="19"/>
        <w:ind w:firstLine="480"/>
        <w:rPr>
          <w:rFonts w:hint="eastAsia"/>
          <w:lang w:val="en-US" w:eastAsia="zh-CN"/>
        </w:rPr>
      </w:pPr>
      <w:r>
        <w:rPr>
          <w:rFonts w:hint="eastAsia"/>
          <w:lang w:val="en-US" w:eastAsia="zh-CN"/>
        </w:rPr>
        <w:t>本次验收委托福建拓普检测技术有限公司及福州华测品标有限公司于2023年3月30日对码头临时排污口周边海域开展了现场采样监测。海水布设8个站位，沉积物4个站位，海洋生态4个站位，周边海域生物体质量采集一份样品。</w:t>
      </w:r>
    </w:p>
    <w:p>
      <w:pPr>
        <w:pStyle w:val="19"/>
        <w:ind w:firstLine="480"/>
        <w:rPr>
          <w:rFonts w:hint="default"/>
          <w:lang w:val="en-US" w:eastAsia="zh-CN"/>
        </w:rPr>
      </w:pPr>
      <w:r>
        <w:rPr>
          <w:rFonts w:hint="eastAsia"/>
          <w:lang w:val="en-US" w:eastAsia="zh-CN"/>
        </w:rPr>
        <w:t>（1）8个海水监测站位中除活性磷酸盐以外，其余指标均符合</w:t>
      </w:r>
      <w:r>
        <w:rPr>
          <w:rFonts w:hint="eastAsia"/>
          <w:lang w:eastAsia="zh-CN"/>
        </w:rPr>
        <w:t>《</w:t>
      </w:r>
      <w:r>
        <w:rPr>
          <w:rFonts w:hint="default"/>
        </w:rPr>
        <w:t>海水水质标准</w:t>
      </w:r>
      <w:r>
        <w:rPr>
          <w:rFonts w:hint="eastAsia"/>
          <w:lang w:eastAsia="zh-CN"/>
        </w:rPr>
        <w:t>》（</w:t>
      </w:r>
      <w:r>
        <w:rPr>
          <w:rFonts w:hint="default"/>
        </w:rPr>
        <w:t>GB 3097-1997</w:t>
      </w:r>
      <w:r>
        <w:rPr>
          <w:rFonts w:hint="eastAsia"/>
          <w:lang w:eastAsia="zh-CN"/>
        </w:rPr>
        <w:t>）表</w:t>
      </w:r>
      <w:r>
        <w:rPr>
          <w:rFonts w:hint="eastAsia"/>
          <w:lang w:val="en-US" w:eastAsia="zh-CN"/>
        </w:rPr>
        <w:t>1第三类标准。通过查询近年《福建省海洋环境状况公报》可知，受江河入海携带的营养盐等污染物的影响，省内主要湾口，活性磷酸盐等存在一定程度的超标。4个沉积物站位各指标均符合《海洋沉积物质量标准》（GB 18668-2002）第二类标准，沉积物环境质量较好。</w:t>
      </w:r>
    </w:p>
    <w:p>
      <w:pPr>
        <w:pStyle w:val="19"/>
        <w:ind w:firstLine="480"/>
        <w:rPr>
          <w:rFonts w:hint="default" w:ascii="Times New Roman" w:hAnsi="Times New Roman" w:eastAsia="宋体" w:cs="Times New Roman"/>
          <w:lang w:val="en-US" w:eastAsia="zh-CN"/>
        </w:rPr>
      </w:pPr>
      <w:r>
        <w:rPr>
          <w:rFonts w:hint="eastAsia"/>
          <w:lang w:val="en-US" w:eastAsia="zh-CN"/>
        </w:rPr>
        <w:t>（2）从总种数、密度、总生物量等方面分析，项目周边海域的叶绿素a、浮游植物、浮游动物及底栖生物均未发生明显变化，项目建设对周边海域的生态环境影响较小。</w:t>
      </w:r>
    </w:p>
    <w:p>
      <w:pPr>
        <w:pStyle w:val="19"/>
        <w:ind w:firstLine="48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w:t>
      </w:r>
      <w:r>
        <w:rPr>
          <w:rFonts w:hint="eastAsia" w:cs="Times New Roman"/>
          <w:lang w:val="en-US" w:eastAsia="zh-CN"/>
        </w:rPr>
        <w:t>3</w:t>
      </w:r>
      <w:r>
        <w:rPr>
          <w:rFonts w:hint="eastAsia" w:ascii="Times New Roman" w:hAnsi="Times New Roman" w:eastAsia="宋体" w:cs="Times New Roman"/>
          <w:lang w:val="en-US" w:eastAsia="zh-CN"/>
        </w:rPr>
        <w:t>）项目周边海域中贝类（牡蛎）生物体内的重金属、石油烃等指标结果见表</w:t>
      </w:r>
      <w:r>
        <w:rPr>
          <w:rFonts w:hint="eastAsia" w:cs="Times New Roman"/>
          <w:lang w:val="en-US" w:eastAsia="zh-CN"/>
        </w:rPr>
        <w:t>9.3.7</w:t>
      </w:r>
      <w:r>
        <w:rPr>
          <w:rFonts w:hint="eastAsia" w:ascii="Times New Roman" w:hAnsi="Times New Roman" w:eastAsia="宋体" w:cs="Times New Roman"/>
          <w:lang w:val="en-US" w:eastAsia="zh-CN"/>
        </w:rPr>
        <w:t>，其中，铜、锌超过《海洋生物质量》（GB 18421-2001）中第二类标准，与历年监测情况</w:t>
      </w:r>
      <w:r>
        <w:rPr>
          <w:rFonts w:hint="eastAsia" w:cs="Times New Roman"/>
          <w:lang w:val="en-US" w:eastAsia="zh-CN"/>
        </w:rPr>
        <w:t>相类似</w:t>
      </w:r>
      <w:r>
        <w:rPr>
          <w:rFonts w:hint="eastAsia" w:ascii="Times New Roman" w:hAnsi="Times New Roman" w:eastAsia="宋体" w:cs="Times New Roman"/>
          <w:lang w:val="en-US" w:eastAsia="zh-CN"/>
        </w:rPr>
        <w:t>。牡蛎中铜、锌含量较高的原因和贝类生物对海洋污染物具有较强的富集作用有关。</w:t>
      </w:r>
      <w:r>
        <w:rPr>
          <w:rFonts w:hint="eastAsia" w:cs="Times New Roman"/>
          <w:lang w:val="en-US" w:eastAsia="zh-CN"/>
        </w:rPr>
        <w:t>与项目相关的特征污染物石油烃未超过限值要求。</w:t>
      </w:r>
    </w:p>
    <w:p>
      <w:pPr>
        <w:pStyle w:val="19"/>
        <w:ind w:left="0" w:leftChars="0" w:firstLine="0" w:firstLineChars="0"/>
        <w:rPr>
          <w:rFonts w:hint="default" w:ascii="Times New Roman" w:hAnsi="Times New Roman" w:eastAsia="宋体" w:cs="Times New Roman"/>
          <w:lang w:val="en-US" w:eastAsia="zh-CN"/>
        </w:rPr>
      </w:pPr>
    </w:p>
    <w:p>
      <w:pPr>
        <w:pStyle w:val="23"/>
        <w:bidi w:val="0"/>
        <w:rPr>
          <w:rFonts w:hint="eastAsia"/>
          <w:lang w:val="en-US" w:eastAsia="zh-CN"/>
        </w:rPr>
        <w:sectPr>
          <w:pgSz w:w="11906" w:h="16838"/>
          <w:pgMar w:top="1417" w:right="1417" w:bottom="1417" w:left="1417" w:header="1417" w:footer="1134" w:gutter="0"/>
          <w:pgBorders>
            <w:top w:val="none" w:sz="0" w:space="0"/>
            <w:left w:val="none" w:sz="0" w:space="0"/>
            <w:bottom w:val="none" w:sz="0" w:space="0"/>
            <w:right w:val="none" w:sz="0" w:space="0"/>
          </w:pgBorders>
          <w:cols w:space="720" w:num="1"/>
          <w:rtlGutter w:val="0"/>
          <w:docGrid w:type="lines" w:linePitch="315" w:charSpace="0"/>
        </w:sectPr>
      </w:pPr>
    </w:p>
    <w:p>
      <w:pPr>
        <w:pStyle w:val="23"/>
        <w:bidi w:val="0"/>
        <w:rPr>
          <w:rFonts w:hint="eastAsia"/>
          <w:lang w:val="en-US" w:eastAsia="zh-CN"/>
        </w:rPr>
      </w:pPr>
      <w:r>
        <w:rPr>
          <w:rFonts w:hint="eastAsia"/>
          <w:lang w:val="en-US" w:eastAsia="zh-CN"/>
        </w:rPr>
        <w:t>表9.3.6 调查监测站位经纬度和调查内容</w:t>
      </w:r>
    </w:p>
    <w:tbl>
      <w:tblPr>
        <w:tblStyle w:val="14"/>
        <w:tblW w:w="9662" w:type="dxa"/>
        <w:tblInd w:w="0" w:type="dxa"/>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1100"/>
        <w:gridCol w:w="1084"/>
        <w:gridCol w:w="3411"/>
        <w:gridCol w:w="4067"/>
      </w:tblGrid>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监测类别</w:t>
            </w: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监测站位</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经纬度</w:t>
            </w:r>
          </w:p>
        </w:tc>
        <w:tc>
          <w:tcPr>
            <w:tcW w:w="4067"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监测内容</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restart"/>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r>
              <w:rPr>
                <w:rFonts w:hint="eastAsia"/>
                <w:lang w:val="en-US" w:eastAsia="zh-CN"/>
              </w:rPr>
              <w:t>海水</w:t>
            </w: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H1</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N：25°3'1.34"E：119°1'10.88"</w:t>
            </w:r>
          </w:p>
        </w:tc>
        <w:tc>
          <w:tcPr>
            <w:tcW w:w="4067" w:type="dxa"/>
            <w:vMerge w:val="restart"/>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r>
              <w:rPr>
                <w:rFonts w:hint="eastAsia"/>
                <w:lang w:val="en-US" w:eastAsia="zh-CN"/>
              </w:rPr>
              <w:t>水温、pH、盐度、化学需氧量、溶解氧、悬浮物、无机氮（硝酸盐、亚硝酸盐、氨氮）、活性磷酸盐、铜、铅、镉、锌、六价铬、总铬、汞、砷、镍、石油类、硫化物、挥发酚、苯、甲苯、二甲苯、苯乙烯</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H2</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N：25°2'23.03"E：119°0'51.18"</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H3</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N：25°2'19.51"E：119°1'10.73"</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H4</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N：25°2'6.93"E：119°0'41.36"</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H5</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N：25°2'52.06"E：119°1'41.35"</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H6</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N：25°1'50.58"E：119°1'4.20"</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H7</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N：25°1'32.88"E：119°0'41.52"</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H8</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N：25°1'32.27"E：119°1'20.21"</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restart"/>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default"/>
                <w:lang w:val="en-US" w:eastAsia="zh-CN"/>
              </w:rPr>
              <w:t>沉积物</w:t>
            </w: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H1</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N：25°3'1.34"E：119°1'10.88"</w:t>
            </w:r>
          </w:p>
        </w:tc>
        <w:tc>
          <w:tcPr>
            <w:tcW w:w="4067" w:type="dxa"/>
            <w:vMerge w:val="restart"/>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default"/>
                <w:lang w:val="en-US" w:eastAsia="zh-CN"/>
              </w:rPr>
              <w:t>汞、镉、铅、锌、铜、铬、砷、有机碳、硫化物、石油类</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H2</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N：25°2'23.03"E：119°0'51.18"</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H3</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N：25°2'19.51"E：119°1'10.73"</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H4</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N：25°2'6.93"E：119°0'41.36"</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restart"/>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海洋</w:t>
            </w:r>
            <w:r>
              <w:rPr>
                <w:rFonts w:hint="default"/>
                <w:lang w:val="en-US" w:eastAsia="zh-CN"/>
              </w:rPr>
              <w:t>生态</w:t>
            </w: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H1</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N：25°3'1.34"E：119°1'10.88"</w:t>
            </w:r>
          </w:p>
        </w:tc>
        <w:tc>
          <w:tcPr>
            <w:tcW w:w="4067" w:type="dxa"/>
            <w:vMerge w:val="restart"/>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default"/>
                <w:lang w:val="en-US" w:eastAsia="zh-CN"/>
              </w:rPr>
              <w:t>叶绿素a、浮游植物、浮游动物、底栖生物</w:t>
            </w: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H2</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N：25°2'23.03"E：119°0'51.18"</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H3</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N：25°2'19.51"E：119°1'10.73"</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lang w:val="en-US" w:eastAsia="zh-CN"/>
              </w:rPr>
            </w:pPr>
          </w:p>
        </w:tc>
        <w:tc>
          <w:tcPr>
            <w:tcW w:w="1084"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H4</w:t>
            </w:r>
          </w:p>
        </w:tc>
        <w:tc>
          <w:tcPr>
            <w:tcW w:w="3411"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N：25°2'6.93"E：119°0'41.36"</w:t>
            </w:r>
          </w:p>
        </w:tc>
        <w:tc>
          <w:tcPr>
            <w:tcW w:w="4067" w:type="dxa"/>
            <w:vMerge w:val="continue"/>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p>
        </w:tc>
      </w:tr>
      <w:tr>
        <w:tblPrEx>
          <w:tblBorders>
            <w:top w:val="single" w:color="000000" w:sz="8" w:space="0"/>
            <w:left w:val="none" w:color="auto" w:sz="0" w:space="0"/>
            <w:bottom w:val="single" w:color="000000" w:sz="8"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trHeight w:val="340" w:hRule="atLeast"/>
        </w:trPr>
        <w:tc>
          <w:tcPr>
            <w:tcW w:w="1100"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default"/>
                <w:lang w:val="en-US" w:eastAsia="zh-CN"/>
              </w:rPr>
              <w:t>生物质量</w:t>
            </w:r>
          </w:p>
        </w:tc>
        <w:tc>
          <w:tcPr>
            <w:tcW w:w="4495" w:type="dxa"/>
            <w:gridSpan w:val="2"/>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eastAsia"/>
                <w:lang w:val="en-US" w:eastAsia="zh-CN"/>
              </w:rPr>
              <w:t>项目周边海域生物体</w:t>
            </w:r>
          </w:p>
        </w:tc>
        <w:tc>
          <w:tcPr>
            <w:tcW w:w="4067" w:type="dxa"/>
            <w:tcBorders>
              <w:tl2br w:val="nil"/>
              <w:tr2bl w:val="nil"/>
            </w:tcBorders>
            <w:noWrap w:val="0"/>
            <w:tcMar>
              <w:top w:w="15" w:type="dxa"/>
              <w:left w:w="15" w:type="dxa"/>
              <w:right w:w="15" w:type="dxa"/>
            </w:tcMar>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default"/>
                <w:lang w:val="en-US" w:eastAsia="zh-CN"/>
              </w:rPr>
            </w:pPr>
            <w:r>
              <w:rPr>
                <w:rFonts w:hint="default"/>
                <w:lang w:val="en-US" w:eastAsia="zh-CN"/>
              </w:rPr>
              <w:t>总汞、镉、铅、铬、砷、铜、锌、石油烃</w:t>
            </w:r>
          </w:p>
        </w:tc>
      </w:tr>
    </w:tbl>
    <w:p>
      <w:pPr>
        <w:pStyle w:val="23"/>
        <w:bidi w:val="0"/>
        <w:rPr>
          <w:rFonts w:hint="eastAsia"/>
          <w:lang w:val="en-US" w:eastAsia="zh-CN"/>
        </w:rPr>
        <w:sectPr>
          <w:pgSz w:w="11906" w:h="16838"/>
          <w:pgMar w:top="1417" w:right="1134" w:bottom="1417" w:left="1134" w:header="1417" w:footer="1134" w:gutter="0"/>
          <w:pgBorders>
            <w:top w:val="none" w:sz="0" w:space="0"/>
            <w:left w:val="none" w:sz="0" w:space="0"/>
            <w:bottom w:val="none" w:sz="0" w:space="0"/>
            <w:right w:val="none" w:sz="0" w:space="0"/>
          </w:pgBorders>
          <w:cols w:space="720" w:num="1"/>
          <w:rtlGutter w:val="0"/>
          <w:docGrid w:type="lines" w:linePitch="315" w:charSpace="0"/>
        </w:sectPr>
      </w:pPr>
    </w:p>
    <w:p>
      <w:pPr>
        <w:pStyle w:val="23"/>
        <w:bidi w:val="0"/>
        <w:rPr>
          <w:rFonts w:hint="default"/>
          <w:lang w:val="en-US" w:eastAsia="zh-CN"/>
        </w:rPr>
      </w:pPr>
      <w:r>
        <w:rPr>
          <w:rFonts w:hint="eastAsia"/>
          <w:lang w:val="en-US" w:eastAsia="zh-CN"/>
        </w:rPr>
        <w:t>表9.3.7 海水水质监测结果</w:t>
      </w:r>
    </w:p>
    <w:tbl>
      <w:tblPr>
        <w:tblStyle w:val="14"/>
        <w:tblW w:w="1420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825"/>
        <w:gridCol w:w="1276"/>
        <w:gridCol w:w="1276"/>
        <w:gridCol w:w="1276"/>
        <w:gridCol w:w="1276"/>
        <w:gridCol w:w="1276"/>
        <w:gridCol w:w="1276"/>
        <w:gridCol w:w="1276"/>
        <w:gridCol w:w="1283"/>
        <w:gridCol w:w="17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1389" w:type="dxa"/>
            <w:vMerge w:val="restart"/>
            <w:tcBorders>
              <w:tl2br w:val="nil"/>
              <w:tr2bl w:val="nil"/>
            </w:tcBorders>
            <w:noWrap w:val="0"/>
            <w:vAlign w:val="center"/>
          </w:tcPr>
          <w:p>
            <w:pPr>
              <w:pStyle w:val="24"/>
              <w:bidi w:val="0"/>
              <w:jc w:val="center"/>
              <w:rPr>
                <w:rFonts w:hint="default"/>
              </w:rPr>
            </w:pPr>
            <w:r>
              <w:rPr>
                <w:rFonts w:hint="default"/>
              </w:rPr>
              <w:t>检测项目</w:t>
            </w:r>
          </w:p>
        </w:tc>
        <w:tc>
          <w:tcPr>
            <w:tcW w:w="825" w:type="dxa"/>
            <w:vMerge w:val="restart"/>
            <w:tcBorders>
              <w:tl2br w:val="nil"/>
              <w:tr2bl w:val="nil"/>
            </w:tcBorders>
            <w:noWrap w:val="0"/>
            <w:vAlign w:val="center"/>
          </w:tcPr>
          <w:p>
            <w:pPr>
              <w:pStyle w:val="24"/>
              <w:bidi w:val="0"/>
              <w:jc w:val="center"/>
              <w:rPr>
                <w:rFonts w:hint="default"/>
                <w:lang w:eastAsia="zh-CN"/>
              </w:rPr>
            </w:pPr>
            <w:r>
              <w:rPr>
                <w:rFonts w:hint="default"/>
                <w:lang w:eastAsia="zh-CN"/>
              </w:rPr>
              <w:t>单位</w:t>
            </w:r>
          </w:p>
        </w:tc>
        <w:tc>
          <w:tcPr>
            <w:tcW w:w="11995" w:type="dxa"/>
            <w:gridSpan w:val="9"/>
            <w:tcBorders>
              <w:tl2br w:val="nil"/>
              <w:tr2bl w:val="nil"/>
            </w:tcBorders>
            <w:noWrap w:val="0"/>
            <w:vAlign w:val="center"/>
          </w:tcPr>
          <w:p>
            <w:pPr>
              <w:pStyle w:val="24"/>
              <w:bidi w:val="0"/>
              <w:jc w:val="center"/>
              <w:rPr>
                <w:rFonts w:hint="default"/>
                <w:lang w:val="en-US" w:eastAsia="zh-CN"/>
              </w:rPr>
            </w:pPr>
            <w:r>
              <w:rPr>
                <w:rFonts w:hint="default"/>
                <w:lang w:val="en-US" w:eastAsia="zh-CN"/>
              </w:rPr>
              <w:t>检测结果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1389" w:type="dxa"/>
            <w:vMerge w:val="continue"/>
            <w:tcBorders>
              <w:tl2br w:val="nil"/>
              <w:tr2bl w:val="nil"/>
            </w:tcBorders>
            <w:noWrap w:val="0"/>
            <w:vAlign w:val="center"/>
          </w:tcPr>
          <w:p>
            <w:pPr>
              <w:pStyle w:val="24"/>
              <w:bidi w:val="0"/>
              <w:jc w:val="center"/>
              <w:rPr>
                <w:rFonts w:hint="default"/>
              </w:rPr>
            </w:pPr>
          </w:p>
        </w:tc>
        <w:tc>
          <w:tcPr>
            <w:tcW w:w="825" w:type="dxa"/>
            <w:vMerge w:val="continue"/>
            <w:tcBorders>
              <w:tl2br w:val="nil"/>
              <w:tr2bl w:val="nil"/>
            </w:tcBorders>
            <w:noWrap w:val="0"/>
            <w:vAlign w:val="center"/>
          </w:tcPr>
          <w:p>
            <w:pPr>
              <w:pStyle w:val="24"/>
              <w:bidi w:val="0"/>
              <w:jc w:val="center"/>
              <w:rPr>
                <w:rFonts w:hint="default"/>
              </w:rPr>
            </w:pP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H1</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H2</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H3</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H4</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H5</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H6</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H7</w:t>
            </w:r>
          </w:p>
        </w:tc>
        <w:tc>
          <w:tcPr>
            <w:tcW w:w="1283"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H8</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rPr>
              <w:t>GB 3097-1997</w:t>
            </w:r>
            <w:r>
              <w:rPr>
                <w:rFonts w:hint="eastAsia"/>
                <w:lang w:eastAsia="zh-CN"/>
              </w:rPr>
              <w:t>《</w:t>
            </w:r>
            <w:r>
              <w:rPr>
                <w:rFonts w:hint="default"/>
              </w:rPr>
              <w:t>海水水质标准</w:t>
            </w:r>
            <w:r>
              <w:rPr>
                <w:rFonts w:hint="eastAsia"/>
                <w:lang w:eastAsia="zh-CN"/>
              </w:rPr>
              <w:t>》表</w:t>
            </w:r>
            <w:r>
              <w:rPr>
                <w:rFonts w:hint="eastAsia"/>
                <w:lang w:val="en-US" w:eastAsia="zh-CN"/>
              </w:rPr>
              <w:t>1第三类标准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水温</w:t>
            </w:r>
          </w:p>
        </w:tc>
        <w:tc>
          <w:tcPr>
            <w:tcW w:w="82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17.4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17.2</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17</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17.3</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17.1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17.2</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17.4</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16.8</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人为造成的海水温升不超过当时当地4℃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pH</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无量纲</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8</w:t>
            </w:r>
            <w:r>
              <w:rPr>
                <w:rFonts w:hint="eastAsia"/>
                <w:lang w:val="en-US" w:eastAsia="zh-CN"/>
              </w:rPr>
              <w:t>.13</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8.1</w:t>
            </w:r>
            <w:r>
              <w:rPr>
                <w:rFonts w:hint="eastAsia"/>
                <w:lang w:val="en-US" w:eastAsia="zh-CN"/>
              </w:rPr>
              <w:t>7</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8</w:t>
            </w:r>
            <w:r>
              <w:rPr>
                <w:rFonts w:hint="eastAsia"/>
                <w:lang w:val="en-US" w:eastAsia="zh-CN"/>
              </w:rPr>
              <w:t>.01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8</w:t>
            </w:r>
            <w:r>
              <w:rPr>
                <w:rFonts w:hint="eastAsia"/>
                <w:lang w:val="en-US" w:eastAsia="zh-CN"/>
              </w:rPr>
              <w:t>.08</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7.9</w:t>
            </w:r>
            <w:r>
              <w:rPr>
                <w:rFonts w:hint="eastAsia"/>
                <w:lang w:val="en-US" w:eastAsia="zh-CN"/>
              </w:rPr>
              <w:t>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8</w:t>
            </w:r>
            <w:r>
              <w:rPr>
                <w:rFonts w:hint="eastAsia"/>
                <w:lang w:val="en-US" w:eastAsia="zh-CN"/>
              </w:rPr>
              <w:t>.04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8</w:t>
            </w:r>
            <w:r>
              <w:rPr>
                <w:rFonts w:hint="eastAsia"/>
                <w:lang w:val="en-US" w:eastAsia="zh-CN"/>
              </w:rPr>
              <w:t>.10</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8</w:t>
            </w:r>
            <w:r>
              <w:rPr>
                <w:rFonts w:hint="eastAsia"/>
                <w:lang w:val="en-US" w:eastAsia="zh-CN"/>
              </w:rPr>
              <w:t>.08</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6.8～8.8同时不超出该海域正常变动范围的0.5</w:t>
            </w:r>
            <w:r>
              <w:rPr>
                <w:rFonts w:hint="default"/>
                <w:lang w:val="en-US" w:eastAsia="zh-CN"/>
              </w:rPr>
              <w:t>pH</w:t>
            </w:r>
            <w:r>
              <w:rPr>
                <w:rFonts w:hint="eastAsia"/>
                <w:lang w:val="en-US" w:eastAsia="zh-CN"/>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盐度</w:t>
            </w:r>
          </w:p>
        </w:tc>
        <w:tc>
          <w:tcPr>
            <w:tcW w:w="825"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30</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28</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30</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29</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30</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30</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30</w:t>
            </w:r>
          </w:p>
        </w:tc>
        <w:tc>
          <w:tcPr>
            <w:tcW w:w="1283"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30</w:t>
            </w:r>
          </w:p>
        </w:tc>
        <w:tc>
          <w:tcPr>
            <w:tcW w:w="1780"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化学需氧量</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0.7</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1.1</w:t>
            </w:r>
            <w:r>
              <w:rPr>
                <w:rFonts w:hint="eastAsia"/>
                <w:lang w:val="en-US" w:eastAsia="zh-CN"/>
              </w:rPr>
              <w:t>2</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0.99</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1.4</w:t>
            </w:r>
            <w:r>
              <w:rPr>
                <w:rFonts w:hint="eastAsia"/>
                <w:lang w:val="en-US" w:eastAsia="zh-CN"/>
              </w:rPr>
              <w:t>2</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w:t>
            </w:r>
            <w:r>
              <w:rPr>
                <w:rFonts w:hint="eastAsia"/>
                <w:lang w:val="en-US" w:eastAsia="zh-CN"/>
              </w:rPr>
              <w:t>76</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1.6</w:t>
            </w:r>
            <w:r>
              <w:rPr>
                <w:rFonts w:hint="eastAsia"/>
                <w:lang w:val="en-US" w:eastAsia="zh-CN"/>
              </w:rPr>
              <w:t>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2.</w:t>
            </w:r>
            <w:r>
              <w:rPr>
                <w:rFonts w:hint="eastAsia"/>
                <w:lang w:val="en-US" w:eastAsia="zh-CN"/>
              </w:rPr>
              <w:t>16</w:t>
            </w:r>
          </w:p>
        </w:tc>
        <w:tc>
          <w:tcPr>
            <w:tcW w:w="1283"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1.24</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溶解氧</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6.82</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6.01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6.13</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7.05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7.11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7.34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6.52</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7.29</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&gt;</w:t>
            </w:r>
            <w:r>
              <w:rPr>
                <w:rFonts w:hint="eastAsia"/>
                <w:lang w:val="en-US" w:eastAsia="zh-CN"/>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悬浮物</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41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35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27</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21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37</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51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48</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36</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人为增加的量</w:t>
            </w:r>
            <w:r>
              <w:rPr>
                <w:rFonts w:hint="default"/>
                <w:lang w:val="en-US" w:eastAsia="zh-CN"/>
              </w:rPr>
              <w:t>≤</w:t>
            </w:r>
            <w:r>
              <w:rPr>
                <w:rFonts w:hint="eastAsia"/>
                <w:lang w:val="en-US" w:eastAsia="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硝酸盐</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0.102</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0.11</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0.092</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w:t>
            </w:r>
            <w:r>
              <w:rPr>
                <w:rFonts w:hint="eastAsia"/>
                <w:lang w:val="en-US" w:eastAsia="zh-CN"/>
              </w:rPr>
              <w:t>00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0.108</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0.113</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0.105</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0.11</w:t>
            </w:r>
            <w:r>
              <w:rPr>
                <w:rFonts w:hint="eastAsia"/>
                <w:lang w:val="en-US" w:eastAsia="zh-CN"/>
              </w:rPr>
              <w:t>0</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亚硝酸盐</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0.077</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0.089</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0.079</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0.092</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0.076</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0.074</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氨氮</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0.11</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0.099</w:t>
            </w:r>
            <w:r>
              <w:rPr>
                <w:rFonts w:hint="eastAsia"/>
                <w:lang w:val="en-US" w:eastAsia="zh-CN"/>
              </w:rPr>
              <w:t>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w:t>
            </w:r>
            <w:r>
              <w:rPr>
                <w:rFonts w:hint="eastAsia"/>
                <w:lang w:val="en-US" w:eastAsia="zh-CN"/>
              </w:rPr>
              <w:t>65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0.074</w:t>
            </w:r>
            <w:r>
              <w:rPr>
                <w:rFonts w:hint="eastAsia"/>
                <w:lang w:val="en-US" w:eastAsia="zh-CN"/>
              </w:rPr>
              <w:t>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0.101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0.118</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0.087</w:t>
            </w:r>
            <w:r>
              <w:rPr>
                <w:rFonts w:hint="eastAsia"/>
                <w:lang w:val="en-US" w:eastAsia="zh-CN"/>
              </w:rPr>
              <w:t>0</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0.113</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无机氮（以N计）</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0.288</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0.294</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0.268</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0.258</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0.288</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0.323</w:t>
            </w:r>
          </w:p>
        </w:tc>
        <w:tc>
          <w:tcPr>
            <w:tcW w:w="1276"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0.269</w:t>
            </w:r>
          </w:p>
        </w:tc>
        <w:tc>
          <w:tcPr>
            <w:tcW w:w="1283" w:type="dxa"/>
            <w:tcBorders>
              <w:tl2br w:val="nil"/>
              <w:tr2bl w:val="nil"/>
            </w:tcBorders>
            <w:noWrap w:val="0"/>
            <w:vAlign w:val="center"/>
          </w:tcPr>
          <w:p>
            <w:pPr>
              <w:pStyle w:val="24"/>
              <w:bidi w:val="0"/>
              <w:jc w:val="center"/>
              <w:rPr>
                <w:rFonts w:hint="eastAsia"/>
                <w:lang w:val="en-US" w:eastAsia="zh-CN"/>
              </w:rPr>
            </w:pPr>
            <w:r>
              <w:rPr>
                <w:rFonts w:hint="eastAsia"/>
                <w:lang w:val="en-US" w:eastAsia="zh-CN"/>
              </w:rPr>
              <w:t>0.296</w:t>
            </w:r>
          </w:p>
        </w:tc>
        <w:tc>
          <w:tcPr>
            <w:tcW w:w="1780" w:type="dxa"/>
            <w:tcBorders>
              <w:tl2br w:val="nil"/>
              <w:tr2bl w:val="nil"/>
            </w:tcBorders>
            <w:noWrap w:val="0"/>
            <w:vAlign w:val="center"/>
          </w:tcPr>
          <w:p>
            <w:pPr>
              <w:pStyle w:val="24"/>
              <w:bidi w:val="0"/>
              <w:jc w:val="center"/>
              <w:rPr>
                <w:rFonts w:hint="eastAsia"/>
                <w:lang w:val="en-US" w:eastAsia="zh-CN"/>
              </w:rPr>
            </w:pPr>
            <w:r>
              <w:rPr>
                <w:rFonts w:hint="default"/>
                <w:lang w:val="en-US" w:eastAsia="zh-CN"/>
              </w:rPr>
              <w:t>≤</w:t>
            </w:r>
            <w:r>
              <w:rPr>
                <w:rFonts w:hint="eastAsia"/>
                <w:lang w:val="en-US" w:eastAsia="zh-CN"/>
              </w:rPr>
              <w:t>0.40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活性磷酸盐</w:t>
            </w:r>
            <w:r>
              <w:rPr>
                <w:rFonts w:hint="eastAsia"/>
                <w:lang w:val="en-US" w:eastAsia="zh-CN"/>
              </w:rPr>
              <w:t>（以P计）</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shd w:val="clear" w:color="auto" w:fill="D7D7D7" w:themeFill="background1" w:themeFillShade="D8"/>
            <w:noWrap w:val="0"/>
            <w:vAlign w:val="center"/>
          </w:tcPr>
          <w:p>
            <w:pPr>
              <w:pStyle w:val="24"/>
              <w:bidi w:val="0"/>
              <w:jc w:val="center"/>
              <w:rPr>
                <w:rFonts w:hint="default"/>
                <w:lang w:val="en-US" w:eastAsia="zh-CN"/>
              </w:rPr>
            </w:pPr>
            <w:r>
              <w:rPr>
                <w:rFonts w:hint="eastAsia"/>
                <w:lang w:val="en-US" w:eastAsia="zh-CN"/>
              </w:rPr>
              <w:t>0.045</w:t>
            </w:r>
          </w:p>
        </w:tc>
        <w:tc>
          <w:tcPr>
            <w:tcW w:w="1276" w:type="dxa"/>
            <w:tcBorders>
              <w:tl2br w:val="nil"/>
              <w:tr2bl w:val="nil"/>
            </w:tcBorders>
            <w:shd w:val="clear" w:color="auto" w:fill="D7D7D7" w:themeFill="background1" w:themeFillShade="D8"/>
            <w:noWrap w:val="0"/>
            <w:vAlign w:val="center"/>
          </w:tcPr>
          <w:p>
            <w:pPr>
              <w:pStyle w:val="24"/>
              <w:bidi w:val="0"/>
              <w:jc w:val="center"/>
              <w:rPr>
                <w:rFonts w:hint="default"/>
                <w:lang w:val="en-US" w:eastAsia="zh-CN"/>
              </w:rPr>
            </w:pPr>
            <w:r>
              <w:rPr>
                <w:rFonts w:hint="eastAsia"/>
                <w:lang w:val="en-US" w:eastAsia="zh-CN"/>
              </w:rPr>
              <w:t>0.042</w:t>
            </w:r>
          </w:p>
        </w:tc>
        <w:tc>
          <w:tcPr>
            <w:tcW w:w="1276" w:type="dxa"/>
            <w:tcBorders>
              <w:tl2br w:val="nil"/>
              <w:tr2bl w:val="nil"/>
            </w:tcBorders>
            <w:shd w:val="clear" w:color="auto" w:fill="D7D7D7" w:themeFill="background1" w:themeFillShade="D8"/>
            <w:noWrap w:val="0"/>
            <w:vAlign w:val="center"/>
          </w:tcPr>
          <w:p>
            <w:pPr>
              <w:pStyle w:val="24"/>
              <w:bidi w:val="0"/>
              <w:jc w:val="center"/>
              <w:rPr>
                <w:rFonts w:hint="default"/>
                <w:lang w:val="en-US" w:eastAsia="zh-CN"/>
              </w:rPr>
            </w:pPr>
            <w:r>
              <w:rPr>
                <w:rFonts w:hint="eastAsia"/>
                <w:lang w:val="en-US" w:eastAsia="zh-CN"/>
              </w:rPr>
              <w:t>0.037</w:t>
            </w:r>
          </w:p>
        </w:tc>
        <w:tc>
          <w:tcPr>
            <w:tcW w:w="1276" w:type="dxa"/>
            <w:tcBorders>
              <w:tl2br w:val="nil"/>
              <w:tr2bl w:val="nil"/>
            </w:tcBorders>
            <w:shd w:val="clear" w:color="auto" w:fill="D7D7D7" w:themeFill="background1" w:themeFillShade="D8"/>
            <w:noWrap w:val="0"/>
            <w:vAlign w:val="center"/>
          </w:tcPr>
          <w:p>
            <w:pPr>
              <w:pStyle w:val="24"/>
              <w:bidi w:val="0"/>
              <w:jc w:val="center"/>
              <w:rPr>
                <w:rFonts w:hint="default"/>
                <w:lang w:val="en-US" w:eastAsia="zh-CN"/>
              </w:rPr>
            </w:pPr>
            <w:r>
              <w:rPr>
                <w:rFonts w:hint="eastAsia"/>
                <w:lang w:val="en-US" w:eastAsia="zh-CN"/>
              </w:rPr>
              <w:t>0.040</w:t>
            </w:r>
          </w:p>
        </w:tc>
        <w:tc>
          <w:tcPr>
            <w:tcW w:w="1276" w:type="dxa"/>
            <w:tcBorders>
              <w:tl2br w:val="nil"/>
              <w:tr2bl w:val="nil"/>
            </w:tcBorders>
            <w:shd w:val="clear" w:color="auto" w:fill="D7D7D7" w:themeFill="background1" w:themeFillShade="D8"/>
            <w:noWrap w:val="0"/>
            <w:vAlign w:val="center"/>
          </w:tcPr>
          <w:p>
            <w:pPr>
              <w:pStyle w:val="24"/>
              <w:bidi w:val="0"/>
              <w:jc w:val="center"/>
              <w:rPr>
                <w:rFonts w:hint="eastAsia"/>
                <w:lang w:val="en-US" w:eastAsia="zh-CN"/>
              </w:rPr>
            </w:pPr>
            <w:r>
              <w:rPr>
                <w:rFonts w:hint="eastAsia"/>
                <w:lang w:val="en-US" w:eastAsia="zh-CN"/>
              </w:rPr>
              <w:t>0.037</w:t>
            </w:r>
          </w:p>
        </w:tc>
        <w:tc>
          <w:tcPr>
            <w:tcW w:w="1276" w:type="dxa"/>
            <w:tcBorders>
              <w:tl2br w:val="nil"/>
              <w:tr2bl w:val="nil"/>
            </w:tcBorders>
            <w:shd w:val="clear" w:color="auto" w:fill="D7D7D7" w:themeFill="background1" w:themeFillShade="D8"/>
            <w:noWrap w:val="0"/>
            <w:vAlign w:val="center"/>
          </w:tcPr>
          <w:p>
            <w:pPr>
              <w:pStyle w:val="24"/>
              <w:bidi w:val="0"/>
              <w:jc w:val="center"/>
              <w:rPr>
                <w:rFonts w:hint="eastAsia"/>
                <w:lang w:val="en-US" w:eastAsia="zh-CN"/>
              </w:rPr>
            </w:pPr>
            <w:r>
              <w:rPr>
                <w:rFonts w:hint="eastAsia"/>
                <w:lang w:val="en-US" w:eastAsia="zh-CN"/>
              </w:rPr>
              <w:t>0.031</w:t>
            </w:r>
          </w:p>
        </w:tc>
        <w:tc>
          <w:tcPr>
            <w:tcW w:w="1276" w:type="dxa"/>
            <w:tcBorders>
              <w:tl2br w:val="nil"/>
              <w:tr2bl w:val="nil"/>
            </w:tcBorders>
            <w:shd w:val="clear" w:color="auto" w:fill="D7D7D7" w:themeFill="background1" w:themeFillShade="D8"/>
            <w:noWrap w:val="0"/>
            <w:vAlign w:val="center"/>
          </w:tcPr>
          <w:p>
            <w:pPr>
              <w:pStyle w:val="24"/>
              <w:bidi w:val="0"/>
              <w:jc w:val="center"/>
              <w:rPr>
                <w:rFonts w:hint="eastAsia"/>
                <w:lang w:val="en-US" w:eastAsia="zh-CN"/>
              </w:rPr>
            </w:pPr>
            <w:r>
              <w:rPr>
                <w:rFonts w:hint="eastAsia"/>
                <w:lang w:val="en-US" w:eastAsia="zh-CN"/>
              </w:rPr>
              <w:t>0.035</w:t>
            </w:r>
          </w:p>
        </w:tc>
        <w:tc>
          <w:tcPr>
            <w:tcW w:w="1283" w:type="dxa"/>
            <w:tcBorders>
              <w:tl2br w:val="nil"/>
              <w:tr2bl w:val="nil"/>
            </w:tcBorders>
            <w:shd w:val="clear" w:color="auto" w:fill="D7D7D7" w:themeFill="background1" w:themeFillShade="D8"/>
            <w:noWrap w:val="0"/>
            <w:vAlign w:val="center"/>
          </w:tcPr>
          <w:p>
            <w:pPr>
              <w:pStyle w:val="24"/>
              <w:bidi w:val="0"/>
              <w:jc w:val="center"/>
              <w:rPr>
                <w:rFonts w:hint="eastAsia"/>
                <w:lang w:val="en-US" w:eastAsia="zh-CN"/>
              </w:rPr>
            </w:pPr>
            <w:r>
              <w:rPr>
                <w:rFonts w:hint="eastAsia"/>
                <w:lang w:val="en-US" w:eastAsia="zh-CN"/>
              </w:rPr>
              <w:t>0.034</w:t>
            </w:r>
          </w:p>
        </w:tc>
        <w:tc>
          <w:tcPr>
            <w:tcW w:w="1780" w:type="dxa"/>
            <w:tcBorders>
              <w:tl2br w:val="nil"/>
              <w:tr2bl w:val="nil"/>
            </w:tcBorders>
            <w:noWrap w:val="0"/>
            <w:vAlign w:val="center"/>
          </w:tcPr>
          <w:p>
            <w:pPr>
              <w:pStyle w:val="24"/>
              <w:bidi w:val="0"/>
              <w:jc w:val="center"/>
              <w:rPr>
                <w:rFonts w:hint="eastAsia"/>
                <w:lang w:val="en-US" w:eastAsia="zh-CN"/>
              </w:rPr>
            </w:pPr>
            <w:r>
              <w:rPr>
                <w:rFonts w:hint="default"/>
                <w:lang w:val="en-US" w:eastAsia="zh-CN"/>
              </w:rPr>
              <w:t>≤</w:t>
            </w:r>
            <w:r>
              <w:rPr>
                <w:rFonts w:hint="eastAsia"/>
                <w:lang w:val="en-US" w:eastAsia="zh-CN"/>
              </w:rPr>
              <w:t>0.030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铜</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0.0007</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0.0007</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0.0039</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0.0012</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0.0009</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铅</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0.00003L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0.00003L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0.00003L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0.00003L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0.00003L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0.00003L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0.00003L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镉</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0.00001L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锌</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0.041</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0.0803</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0.0699</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0.0699</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0.0616</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0.0844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0.0854</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0.043</w:t>
            </w:r>
            <w:r>
              <w:rPr>
                <w:rFonts w:hint="eastAsia"/>
                <w:lang w:val="en-US" w:eastAsia="zh-CN"/>
              </w:rPr>
              <w:t>1</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六价铬</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0.004L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总铬</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0.0004</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0.0008</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0.0021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0.0007</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0.0013</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0.0009</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汞</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0.000007L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砷</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镍</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0.0005L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石油类</w:t>
            </w:r>
          </w:p>
        </w:tc>
        <w:tc>
          <w:tcPr>
            <w:tcW w:w="825" w:type="dxa"/>
            <w:tcBorders>
              <w:tl2br w:val="nil"/>
              <w:tr2bl w:val="nil"/>
            </w:tcBorders>
            <w:noWrap w:val="0"/>
            <w:vAlign w:val="center"/>
          </w:tcPr>
          <w:p>
            <w:pPr>
              <w:pStyle w:val="24"/>
              <w:bidi w:val="0"/>
              <w:jc w:val="center"/>
              <w:rPr>
                <w:rFonts w:hint="default"/>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0.0215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0.0061</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0.0231</w:t>
            </w:r>
          </w:p>
        </w:tc>
        <w:tc>
          <w:tcPr>
            <w:tcW w:w="1276" w:type="dxa"/>
            <w:tcBorders>
              <w:tl2br w:val="nil"/>
              <w:tr2bl w:val="nil"/>
            </w:tcBorders>
            <w:noWrap w:val="0"/>
            <w:vAlign w:val="center"/>
          </w:tcPr>
          <w:p>
            <w:pPr>
              <w:pStyle w:val="24"/>
              <w:bidi w:val="0"/>
              <w:jc w:val="center"/>
              <w:rPr>
                <w:rFonts w:hint="eastAsia"/>
                <w:lang w:val="en-US" w:eastAsia="zh-CN"/>
              </w:rPr>
            </w:pPr>
            <w:r>
              <w:rPr>
                <w:rFonts w:hint="default"/>
                <w:lang w:val="en-US" w:eastAsia="zh-CN"/>
              </w:rPr>
              <w:t>0.008</w:t>
            </w:r>
            <w:r>
              <w:rPr>
                <w:rFonts w:hint="eastAsia"/>
                <w:lang w:val="en-US" w:eastAsia="zh-CN"/>
              </w:rPr>
              <w:t>0</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0.0095</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0.0062</w:t>
            </w:r>
          </w:p>
        </w:tc>
        <w:tc>
          <w:tcPr>
            <w:tcW w:w="1276"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0.0243</w:t>
            </w:r>
          </w:p>
        </w:tc>
        <w:tc>
          <w:tcPr>
            <w:tcW w:w="1283"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0.0180</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硫化物</w:t>
            </w:r>
            <w:r>
              <w:rPr>
                <w:rFonts w:hint="eastAsia"/>
                <w:lang w:val="en-US" w:eastAsia="zh-CN"/>
              </w:rPr>
              <w:t>（以S计）</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0.0002L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挥发酚</w:t>
            </w:r>
          </w:p>
        </w:tc>
        <w:tc>
          <w:tcPr>
            <w:tcW w:w="825" w:type="dxa"/>
            <w:tcBorders>
              <w:tl2br w:val="nil"/>
              <w:tr2bl w:val="nil"/>
            </w:tcBorders>
            <w:noWrap w:val="0"/>
            <w:vAlign w:val="center"/>
          </w:tcPr>
          <w:p>
            <w:pPr>
              <w:pStyle w:val="24"/>
              <w:bidi w:val="0"/>
              <w:jc w:val="center"/>
              <w:rPr>
                <w:rFonts w:hint="default"/>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0.0011L</w:t>
            </w:r>
          </w:p>
        </w:tc>
        <w:tc>
          <w:tcPr>
            <w:tcW w:w="1780"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w:t>
            </w:r>
            <w:r>
              <w:rPr>
                <w:rFonts w:hint="eastAsia"/>
                <w:lang w:val="en-US" w:eastAsia="zh-CN"/>
              </w:rPr>
              <w:t>0.010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苯</w:t>
            </w:r>
          </w:p>
        </w:tc>
        <w:tc>
          <w:tcPr>
            <w:tcW w:w="825" w:type="dxa"/>
            <w:tcBorders>
              <w:tl2br w:val="nil"/>
              <w:tr2bl w:val="nil"/>
            </w:tcBorders>
            <w:noWrap w:val="0"/>
            <w:vAlign w:val="center"/>
          </w:tcPr>
          <w:p>
            <w:pPr>
              <w:pStyle w:val="24"/>
              <w:bidi w:val="0"/>
              <w:jc w:val="center"/>
              <w:rPr>
                <w:rFonts w:hint="default"/>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甲苯</w:t>
            </w:r>
          </w:p>
        </w:tc>
        <w:tc>
          <w:tcPr>
            <w:tcW w:w="825" w:type="dxa"/>
            <w:tcBorders>
              <w:tl2br w:val="nil"/>
              <w:tr2bl w:val="nil"/>
            </w:tcBorders>
            <w:noWrap w:val="0"/>
            <w:vAlign w:val="center"/>
          </w:tcPr>
          <w:p>
            <w:pPr>
              <w:pStyle w:val="24"/>
              <w:bidi w:val="0"/>
              <w:jc w:val="center"/>
              <w:rPr>
                <w:rFonts w:hint="default"/>
                <w:lang w:val="en-US" w:eastAsia="zh-CN"/>
              </w:rPr>
            </w:pPr>
            <w:r>
              <w:rPr>
                <w:rFonts w:hint="default"/>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二甲苯</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0.0014L</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89"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苯乙烯</w:t>
            </w:r>
          </w:p>
        </w:tc>
        <w:tc>
          <w:tcPr>
            <w:tcW w:w="825"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mg/L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276"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283" w:type="dxa"/>
            <w:tcBorders>
              <w:tl2br w:val="nil"/>
              <w:tr2bl w:val="nil"/>
            </w:tcBorders>
            <w:noWrap w:val="0"/>
            <w:vAlign w:val="center"/>
          </w:tcPr>
          <w:p>
            <w:pPr>
              <w:pStyle w:val="24"/>
              <w:bidi w:val="0"/>
              <w:jc w:val="center"/>
              <w:rPr>
                <w:rFonts w:hint="default"/>
                <w:lang w:val="en-US" w:eastAsia="zh-CN"/>
              </w:rPr>
            </w:pPr>
            <w:r>
              <w:rPr>
                <w:rFonts w:hint="default"/>
                <w:lang w:val="en-US" w:eastAsia="zh-CN"/>
              </w:rPr>
              <w:t>0.0006L</w:t>
            </w:r>
          </w:p>
        </w:tc>
        <w:tc>
          <w:tcPr>
            <w:tcW w:w="1780" w:type="dxa"/>
            <w:tcBorders>
              <w:tl2br w:val="nil"/>
              <w:tr2bl w:val="nil"/>
            </w:tcBorders>
            <w:noWrap w:val="0"/>
            <w:vAlign w:val="center"/>
          </w:tcPr>
          <w:p>
            <w:pPr>
              <w:pStyle w:val="24"/>
              <w:bidi w:val="0"/>
              <w:jc w:val="center"/>
              <w:rPr>
                <w:rFonts w:hint="default"/>
                <w:lang w:val="en-US" w:eastAsia="zh-CN"/>
              </w:rPr>
            </w:pP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209" w:type="dxa"/>
            <w:gridSpan w:val="11"/>
            <w:tcBorders>
              <w:tl2br w:val="nil"/>
              <w:tr2bl w:val="nil"/>
            </w:tcBorders>
            <w:noWrap w:val="0"/>
            <w:vAlign w:val="center"/>
          </w:tcPr>
          <w:p>
            <w:pPr>
              <w:pStyle w:val="24"/>
              <w:bidi w:val="0"/>
              <w:jc w:val="center"/>
              <w:rPr>
                <w:rFonts w:hint="eastAsia"/>
                <w:lang w:val="en-US" w:eastAsia="zh-CN"/>
              </w:rPr>
            </w:pPr>
            <w:r>
              <w:rPr>
                <w:rFonts w:hint="eastAsia" w:ascii="Times New Roman" w:hAnsi="Times New Roman" w:eastAsia="宋体" w:cs="Times New Roman"/>
                <w:color w:val="auto"/>
                <w:kern w:val="0"/>
                <w:sz w:val="18"/>
                <w:szCs w:val="18"/>
                <w:lang w:val="en-US" w:eastAsia="zh-CN" w:bidi="ar"/>
              </w:rPr>
              <w:t>备注：1、</w:t>
            </w:r>
            <w:r>
              <w:rPr>
                <w:rFonts w:hint="default" w:ascii="Times New Roman" w:hAnsi="Times New Roman" w:eastAsia="宋体" w:cs="Times New Roman"/>
                <w:color w:val="auto"/>
                <w:kern w:val="0"/>
                <w:sz w:val="18"/>
                <w:szCs w:val="18"/>
                <w:lang w:val="en-US" w:eastAsia="zh-CN" w:bidi="ar"/>
              </w:rPr>
              <w:t>无机氮包括亚硝酸盐、硝酸盐及氨，均以N计</w:t>
            </w:r>
            <w:r>
              <w:rPr>
                <w:rFonts w:hint="eastAsia" w:ascii="Times New Roman" w:hAnsi="Times New Roman" w:eastAsia="宋体" w:cs="Times New Roman"/>
                <w:color w:val="auto"/>
                <w:kern w:val="0"/>
                <w:sz w:val="18"/>
                <w:szCs w:val="18"/>
                <w:lang w:val="en-US" w:eastAsia="zh-CN" w:bidi="ar"/>
              </w:rPr>
              <w:t>；2、“</w:t>
            </w:r>
            <w:r>
              <w:rPr>
                <w:rFonts w:hint="eastAsia" w:ascii="Times New Roman" w:hAnsi="Times New Roman" w:eastAsia="宋体" w:cs="Times New Roman"/>
                <w:i w:val="0"/>
                <w:color w:val="000000"/>
                <w:kern w:val="0"/>
                <w:sz w:val="18"/>
                <w:szCs w:val="18"/>
                <w:u w:val="none"/>
                <w:lang w:val="en-US" w:eastAsia="zh-CN" w:bidi="ar"/>
              </w:rPr>
              <w:t>---”表示</w:t>
            </w:r>
            <w:r>
              <w:rPr>
                <w:rFonts w:hint="default" w:ascii="Times New Roman" w:hAnsi="Times New Roman" w:eastAsia="宋体" w:cs="Times New Roman"/>
                <w:color w:val="auto"/>
                <w:kern w:val="0"/>
                <w:sz w:val="18"/>
                <w:szCs w:val="18"/>
                <w:lang w:bidi="ar"/>
              </w:rPr>
              <w:t>GB 3097-1997</w:t>
            </w:r>
            <w:r>
              <w:rPr>
                <w:rFonts w:hint="eastAsia" w:ascii="Times New Roman" w:hAnsi="Times New Roman" w:eastAsia="宋体" w:cs="Times New Roman"/>
                <w:color w:val="auto"/>
                <w:kern w:val="0"/>
                <w:sz w:val="18"/>
                <w:szCs w:val="18"/>
                <w:lang w:eastAsia="zh-CN" w:bidi="ar"/>
              </w:rPr>
              <w:t>《</w:t>
            </w:r>
            <w:r>
              <w:rPr>
                <w:rFonts w:hint="default" w:ascii="Times New Roman" w:hAnsi="Times New Roman" w:eastAsia="宋体" w:cs="Times New Roman"/>
                <w:color w:val="auto"/>
                <w:kern w:val="0"/>
                <w:sz w:val="18"/>
                <w:szCs w:val="18"/>
                <w:lang w:bidi="ar"/>
              </w:rPr>
              <w:t>海水水质标准</w:t>
            </w:r>
            <w:r>
              <w:rPr>
                <w:rFonts w:hint="eastAsia" w:ascii="Times New Roman" w:hAnsi="Times New Roman" w:eastAsia="宋体" w:cs="Times New Roman"/>
                <w:color w:val="auto"/>
                <w:kern w:val="0"/>
                <w:sz w:val="18"/>
                <w:szCs w:val="18"/>
                <w:lang w:eastAsia="zh-CN" w:bidi="ar"/>
              </w:rPr>
              <w:t>》表</w:t>
            </w:r>
            <w:r>
              <w:rPr>
                <w:rFonts w:hint="eastAsia" w:ascii="Times New Roman" w:hAnsi="Times New Roman" w:eastAsia="宋体" w:cs="Times New Roman"/>
                <w:color w:val="auto"/>
                <w:kern w:val="0"/>
                <w:sz w:val="18"/>
                <w:szCs w:val="18"/>
                <w:lang w:val="en-US" w:eastAsia="zh-CN" w:bidi="ar"/>
              </w:rPr>
              <w:t>1</w:t>
            </w:r>
            <w:r>
              <w:rPr>
                <w:rFonts w:hint="eastAsia" w:ascii="Times New Roman" w:hAnsi="Times New Roman" w:eastAsia="宋体" w:cs="Times New Roman"/>
                <w:i w:val="0"/>
                <w:color w:val="000000"/>
                <w:kern w:val="0"/>
                <w:sz w:val="18"/>
                <w:szCs w:val="18"/>
                <w:u w:val="none"/>
                <w:lang w:val="en-US" w:eastAsia="zh-CN" w:bidi="ar"/>
              </w:rPr>
              <w:t>标准中未对该项目作限制。</w:t>
            </w:r>
          </w:p>
        </w:tc>
      </w:tr>
    </w:tbl>
    <w:p>
      <w:pPr>
        <w:pStyle w:val="23"/>
        <w:bidi w:val="0"/>
        <w:rPr>
          <w:rFonts w:hint="eastAsia"/>
          <w:lang w:val="en-US" w:eastAsia="zh-CN"/>
        </w:rPr>
        <w:sectPr>
          <w:pgSz w:w="16838" w:h="11906" w:orient="landscape"/>
          <w:pgMar w:top="1134" w:right="1417" w:bottom="1134" w:left="1417" w:header="1417" w:footer="1134" w:gutter="0"/>
          <w:pgBorders>
            <w:top w:val="none" w:sz="0" w:space="0"/>
            <w:left w:val="none" w:sz="0" w:space="0"/>
            <w:bottom w:val="none" w:sz="0" w:space="0"/>
            <w:right w:val="none" w:sz="0" w:space="0"/>
          </w:pgBorders>
          <w:cols w:space="720" w:num="1"/>
          <w:rtlGutter w:val="0"/>
          <w:docGrid w:type="lines" w:linePitch="315" w:charSpace="0"/>
        </w:sectPr>
      </w:pPr>
    </w:p>
    <w:p>
      <w:pPr>
        <w:pStyle w:val="23"/>
        <w:bidi w:val="0"/>
        <w:rPr>
          <w:rFonts w:hint="default"/>
          <w:lang w:val="en-US" w:eastAsia="zh-CN"/>
        </w:rPr>
      </w:pPr>
      <w:r>
        <w:rPr>
          <w:rFonts w:hint="eastAsia"/>
          <w:lang w:val="en-US" w:eastAsia="zh-CN"/>
        </w:rPr>
        <w:t>表9.3.8 海洋沉积物监测结果</w:t>
      </w:r>
    </w:p>
    <w:tbl>
      <w:tblPr>
        <w:tblStyle w:val="14"/>
        <w:tblW w:w="9840"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1"/>
        <w:gridCol w:w="972"/>
        <w:gridCol w:w="1557"/>
        <w:gridCol w:w="1557"/>
        <w:gridCol w:w="1557"/>
        <w:gridCol w:w="1563"/>
        <w:gridCol w:w="16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991" w:type="dxa"/>
            <w:vMerge w:val="restart"/>
            <w:tcBorders>
              <w:tl2br w:val="nil"/>
              <w:tr2bl w:val="nil"/>
            </w:tcBorders>
            <w:noWrap w:val="0"/>
            <w:vAlign w:val="center"/>
          </w:tcPr>
          <w:p>
            <w:pPr>
              <w:pStyle w:val="24"/>
              <w:bidi w:val="0"/>
              <w:rPr>
                <w:rFonts w:hint="eastAsia"/>
                <w:lang w:eastAsia="zh-CN"/>
              </w:rPr>
            </w:pPr>
            <w:r>
              <w:rPr>
                <w:rFonts w:hint="eastAsia"/>
                <w:lang w:eastAsia="zh-CN"/>
              </w:rPr>
              <w:t>检测</w:t>
            </w:r>
          </w:p>
          <w:p>
            <w:pPr>
              <w:pStyle w:val="24"/>
              <w:bidi w:val="0"/>
              <w:rPr>
                <w:rFonts w:hint="eastAsia"/>
                <w:lang w:val="en-US" w:eastAsia="zh-CN"/>
              </w:rPr>
            </w:pPr>
            <w:r>
              <w:rPr>
                <w:rFonts w:hint="eastAsia"/>
                <w:lang w:eastAsia="zh-CN"/>
              </w:rPr>
              <w:t>项目</w:t>
            </w:r>
          </w:p>
        </w:tc>
        <w:tc>
          <w:tcPr>
            <w:tcW w:w="972" w:type="dxa"/>
            <w:vMerge w:val="restart"/>
            <w:tcBorders>
              <w:tl2br w:val="nil"/>
              <w:tr2bl w:val="nil"/>
            </w:tcBorders>
            <w:noWrap w:val="0"/>
            <w:vAlign w:val="center"/>
          </w:tcPr>
          <w:p>
            <w:pPr>
              <w:pStyle w:val="24"/>
              <w:bidi w:val="0"/>
              <w:rPr>
                <w:rFonts w:hint="eastAsia"/>
              </w:rPr>
            </w:pPr>
            <w:r>
              <w:rPr>
                <w:rFonts w:hint="eastAsia"/>
                <w:lang w:eastAsia="zh-CN"/>
              </w:rPr>
              <w:t>单位</w:t>
            </w:r>
          </w:p>
        </w:tc>
        <w:tc>
          <w:tcPr>
            <w:tcW w:w="6234" w:type="dxa"/>
            <w:gridSpan w:val="4"/>
            <w:tcBorders>
              <w:tl2br w:val="nil"/>
              <w:tr2bl w:val="nil"/>
            </w:tcBorders>
            <w:noWrap w:val="0"/>
            <w:vAlign w:val="center"/>
          </w:tcPr>
          <w:p>
            <w:pPr>
              <w:pStyle w:val="24"/>
              <w:bidi w:val="0"/>
            </w:pPr>
            <w:r>
              <w:t>检测结果</w:t>
            </w:r>
          </w:p>
        </w:tc>
        <w:tc>
          <w:tcPr>
            <w:tcW w:w="1643" w:type="dxa"/>
            <w:vMerge w:val="restart"/>
            <w:tcBorders>
              <w:tl2br w:val="nil"/>
              <w:tr2bl w:val="nil"/>
            </w:tcBorders>
            <w:noWrap w:val="0"/>
            <w:vAlign w:val="center"/>
          </w:tcPr>
          <w:p>
            <w:pPr>
              <w:pStyle w:val="24"/>
              <w:bidi w:val="0"/>
              <w:rPr>
                <w:rFonts w:hint="default"/>
                <w:lang w:val="en-US" w:eastAsia="zh-CN"/>
              </w:rPr>
            </w:pPr>
            <w:r>
              <w:rPr>
                <w:rFonts w:hint="eastAsia"/>
              </w:rPr>
              <w:t xml:space="preserve">GB 18668-2002 </w:t>
            </w:r>
            <w:r>
              <w:rPr>
                <w:rFonts w:hint="eastAsia"/>
                <w:lang w:eastAsia="zh-CN"/>
              </w:rPr>
              <w:t>《</w:t>
            </w:r>
            <w:r>
              <w:rPr>
                <w:rFonts w:hint="eastAsia"/>
              </w:rPr>
              <w:t>海洋沉积物质量</w:t>
            </w:r>
            <w:r>
              <w:rPr>
                <w:rFonts w:hint="eastAsia"/>
                <w:lang w:eastAsia="zh-CN"/>
              </w:rPr>
              <w:t>》表</w:t>
            </w:r>
            <w:r>
              <w:rPr>
                <w:rFonts w:hint="eastAsia"/>
                <w:lang w:val="en-US" w:eastAsia="zh-CN"/>
              </w:rPr>
              <w:t>1第二类标准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991" w:type="dxa"/>
            <w:vMerge w:val="continue"/>
            <w:tcBorders>
              <w:tl2br w:val="nil"/>
              <w:tr2bl w:val="nil"/>
            </w:tcBorders>
            <w:noWrap w:val="0"/>
            <w:vAlign w:val="center"/>
          </w:tcPr>
          <w:p>
            <w:pPr>
              <w:pStyle w:val="24"/>
              <w:bidi w:val="0"/>
            </w:pPr>
          </w:p>
        </w:tc>
        <w:tc>
          <w:tcPr>
            <w:tcW w:w="972" w:type="dxa"/>
            <w:vMerge w:val="continue"/>
            <w:tcBorders>
              <w:tl2br w:val="nil"/>
              <w:tr2bl w:val="nil"/>
            </w:tcBorders>
            <w:noWrap w:val="0"/>
            <w:vAlign w:val="center"/>
          </w:tcPr>
          <w:p>
            <w:pPr>
              <w:pStyle w:val="24"/>
              <w:bidi w:val="0"/>
            </w:pPr>
          </w:p>
        </w:tc>
        <w:tc>
          <w:tcPr>
            <w:tcW w:w="1557" w:type="dxa"/>
            <w:tcBorders>
              <w:tl2br w:val="nil"/>
              <w:tr2bl w:val="nil"/>
            </w:tcBorders>
            <w:noWrap w:val="0"/>
            <w:vAlign w:val="center"/>
          </w:tcPr>
          <w:p>
            <w:pPr>
              <w:pStyle w:val="24"/>
              <w:bidi w:val="0"/>
              <w:rPr>
                <w:rFonts w:hint="eastAsia"/>
                <w:lang w:eastAsia="zh-CN"/>
              </w:rPr>
            </w:pPr>
            <w:r>
              <w:rPr>
                <w:rFonts w:hint="default"/>
                <w:lang w:val="en-US" w:eastAsia="zh-CN"/>
              </w:rPr>
              <w:t>H1</w:t>
            </w:r>
          </w:p>
        </w:tc>
        <w:tc>
          <w:tcPr>
            <w:tcW w:w="1557" w:type="dxa"/>
            <w:tcBorders>
              <w:tl2br w:val="nil"/>
              <w:tr2bl w:val="nil"/>
            </w:tcBorders>
            <w:noWrap w:val="0"/>
            <w:vAlign w:val="center"/>
          </w:tcPr>
          <w:p>
            <w:pPr>
              <w:pStyle w:val="24"/>
              <w:bidi w:val="0"/>
            </w:pPr>
            <w:r>
              <w:rPr>
                <w:rFonts w:hint="eastAsia"/>
                <w:lang w:val="en-US" w:eastAsia="zh-CN"/>
              </w:rPr>
              <w:t>H2</w:t>
            </w:r>
          </w:p>
        </w:tc>
        <w:tc>
          <w:tcPr>
            <w:tcW w:w="1557" w:type="dxa"/>
            <w:tcBorders>
              <w:tl2br w:val="nil"/>
              <w:tr2bl w:val="nil"/>
            </w:tcBorders>
            <w:noWrap w:val="0"/>
            <w:vAlign w:val="center"/>
          </w:tcPr>
          <w:p>
            <w:pPr>
              <w:pStyle w:val="24"/>
              <w:bidi w:val="0"/>
            </w:pPr>
            <w:r>
              <w:rPr>
                <w:rFonts w:hint="eastAsia"/>
                <w:lang w:val="en-US" w:eastAsia="zh-CN"/>
              </w:rPr>
              <w:t>H3</w:t>
            </w:r>
          </w:p>
        </w:tc>
        <w:tc>
          <w:tcPr>
            <w:tcW w:w="1563" w:type="dxa"/>
            <w:tcBorders>
              <w:tl2br w:val="nil"/>
              <w:tr2bl w:val="nil"/>
            </w:tcBorders>
            <w:noWrap w:val="0"/>
            <w:vAlign w:val="center"/>
          </w:tcPr>
          <w:p>
            <w:pPr>
              <w:pStyle w:val="24"/>
              <w:bidi w:val="0"/>
              <w:rPr>
                <w:rFonts w:hint="eastAsia"/>
                <w:lang w:val="en-US" w:eastAsia="zh-CN"/>
              </w:rPr>
            </w:pPr>
            <w:r>
              <w:rPr>
                <w:rFonts w:hint="eastAsia"/>
                <w:lang w:val="en-US" w:eastAsia="zh-CN"/>
              </w:rPr>
              <w:t>H4</w:t>
            </w:r>
          </w:p>
        </w:tc>
        <w:tc>
          <w:tcPr>
            <w:tcW w:w="1643" w:type="dxa"/>
            <w:vMerge w:val="continue"/>
            <w:tcBorders>
              <w:tl2br w:val="nil"/>
              <w:tr2bl w:val="nil"/>
            </w:tcBorders>
            <w:noWrap w:val="0"/>
            <w:vAlign w:val="center"/>
          </w:tcPr>
          <w:p>
            <w:pPr>
              <w:pStyle w:val="24"/>
              <w:bidi w:val="0"/>
              <w:rPr>
                <w:rFonts w:hint="eastAsi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default"/>
                <w:lang w:val="en-US" w:eastAsia="zh-CN"/>
              </w:rPr>
              <w:t>汞</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0.051</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0.089</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0.054</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0.062</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0.50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镉</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0.08</w:t>
            </w:r>
          </w:p>
        </w:tc>
        <w:tc>
          <w:tcPr>
            <w:tcW w:w="1557" w:type="dxa"/>
            <w:tcBorders>
              <w:tl2br w:val="nil"/>
              <w:tr2bl w:val="nil"/>
            </w:tcBorders>
            <w:noWrap w:val="0"/>
            <w:vAlign w:val="center"/>
          </w:tcPr>
          <w:p>
            <w:pPr>
              <w:pStyle w:val="24"/>
              <w:bidi w:val="0"/>
              <w:rPr>
                <w:rFonts w:hint="default"/>
                <w:lang w:val="en-US" w:eastAsia="zh-CN"/>
              </w:rPr>
            </w:pPr>
            <w:r>
              <w:rPr>
                <w:rFonts w:hint="eastAsia"/>
                <w:lang w:val="en-US" w:eastAsia="zh-CN"/>
              </w:rPr>
              <w:t>未检出</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0.21</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0.13</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1.50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铜</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11</w:t>
            </w:r>
            <w:r>
              <w:rPr>
                <w:rFonts w:hint="eastAsia"/>
                <w:lang w:val="en-US" w:eastAsia="zh-CN"/>
              </w:rPr>
              <w:t>.0</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6.9</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5.7</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9.8</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100.0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铅</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12</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7</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12</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27</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130.0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砷</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11.9</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10.7</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10.7</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14.2</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65.0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锌</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59</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40</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26</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58</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350.0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铬</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28</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21</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20</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34</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150.0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石油类</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19.1</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21.4</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5.1</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49.5</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1000.0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有机碳</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0.8</w:t>
            </w:r>
            <w:r>
              <w:rPr>
                <w:rFonts w:hint="eastAsia"/>
                <w:lang w:val="en-US" w:eastAsia="zh-CN"/>
              </w:rPr>
              <w:t>0</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0.51</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0.74</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0.86</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91" w:type="dxa"/>
            <w:tcBorders>
              <w:tl2br w:val="nil"/>
              <w:tr2bl w:val="nil"/>
            </w:tcBorders>
            <w:noWrap w:val="0"/>
            <w:vAlign w:val="center"/>
          </w:tcPr>
          <w:p>
            <w:pPr>
              <w:pStyle w:val="24"/>
              <w:bidi w:val="0"/>
              <w:rPr>
                <w:rFonts w:hint="eastAsia"/>
                <w:lang w:val="en-US" w:eastAsia="zh-CN"/>
              </w:rPr>
            </w:pPr>
            <w:r>
              <w:rPr>
                <w:rFonts w:hint="eastAsia"/>
                <w:lang w:val="en-US" w:eastAsia="zh-CN"/>
              </w:rPr>
              <w:t>硫化物</w:t>
            </w:r>
          </w:p>
        </w:tc>
        <w:tc>
          <w:tcPr>
            <w:tcW w:w="972" w:type="dxa"/>
            <w:tcBorders>
              <w:tl2br w:val="nil"/>
              <w:tr2bl w:val="nil"/>
            </w:tcBorders>
            <w:noWrap w:val="0"/>
            <w:vAlign w:val="center"/>
          </w:tcPr>
          <w:p>
            <w:pPr>
              <w:pStyle w:val="24"/>
              <w:bidi w:val="0"/>
              <w:rPr>
                <w:rFonts w:hint="eastAsia"/>
                <w:lang w:val="en-US" w:eastAsia="zh-CN"/>
              </w:rPr>
            </w:pPr>
            <w:r>
              <w:rPr>
                <w:rFonts w:hint="default"/>
                <w:lang w:val="en-US" w:eastAsia="zh-CN"/>
              </w:rPr>
              <w:t>mg/kg</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12.4</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15.4</w:t>
            </w:r>
          </w:p>
        </w:tc>
        <w:tc>
          <w:tcPr>
            <w:tcW w:w="1557" w:type="dxa"/>
            <w:tcBorders>
              <w:tl2br w:val="nil"/>
              <w:tr2bl w:val="nil"/>
            </w:tcBorders>
            <w:noWrap w:val="0"/>
            <w:vAlign w:val="center"/>
          </w:tcPr>
          <w:p>
            <w:pPr>
              <w:pStyle w:val="24"/>
              <w:bidi w:val="0"/>
              <w:rPr>
                <w:rFonts w:hint="default"/>
                <w:lang w:val="en-US" w:eastAsia="zh-CN"/>
              </w:rPr>
            </w:pPr>
            <w:r>
              <w:rPr>
                <w:rFonts w:hint="default"/>
                <w:lang w:val="en-US" w:eastAsia="zh-CN"/>
              </w:rPr>
              <w:t>9.19</w:t>
            </w:r>
          </w:p>
        </w:tc>
        <w:tc>
          <w:tcPr>
            <w:tcW w:w="1563" w:type="dxa"/>
            <w:tcBorders>
              <w:tl2br w:val="nil"/>
              <w:tr2bl w:val="nil"/>
            </w:tcBorders>
            <w:noWrap w:val="0"/>
            <w:vAlign w:val="center"/>
          </w:tcPr>
          <w:p>
            <w:pPr>
              <w:pStyle w:val="24"/>
              <w:bidi w:val="0"/>
              <w:rPr>
                <w:rFonts w:hint="default"/>
                <w:lang w:val="en-US" w:eastAsia="zh-CN"/>
              </w:rPr>
            </w:pPr>
            <w:r>
              <w:rPr>
                <w:rFonts w:hint="default"/>
                <w:lang w:val="en-US" w:eastAsia="zh-CN"/>
              </w:rPr>
              <w:t>10.3</w:t>
            </w:r>
          </w:p>
        </w:tc>
        <w:tc>
          <w:tcPr>
            <w:tcW w:w="1643" w:type="dxa"/>
            <w:tcBorders>
              <w:tl2br w:val="nil"/>
              <w:tr2bl w:val="nil"/>
            </w:tcBorders>
            <w:noWrap w:val="0"/>
            <w:vAlign w:val="center"/>
          </w:tcPr>
          <w:p>
            <w:pPr>
              <w:pStyle w:val="24"/>
              <w:bidi w:val="0"/>
              <w:rPr>
                <w:rFonts w:hint="default"/>
                <w:lang w:val="en-US" w:eastAsia="zh-CN"/>
              </w:rPr>
            </w:pPr>
            <w:r>
              <w:rPr>
                <w:rFonts w:hint="eastAsia"/>
                <w:lang w:val="en-US" w:eastAsia="zh-CN"/>
              </w:rPr>
              <w:t>500.0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840" w:type="dxa"/>
            <w:gridSpan w:val="7"/>
            <w:tcBorders>
              <w:tl2br w:val="nil"/>
              <w:tr2bl w:val="nil"/>
            </w:tcBorders>
            <w:noWrap w:val="0"/>
            <w:vAlign w:val="center"/>
          </w:tcPr>
          <w:p>
            <w:pPr>
              <w:pStyle w:val="24"/>
              <w:bidi w:val="0"/>
              <w:rPr>
                <w:rFonts w:hint="eastAsia"/>
                <w:lang w:val="en-US" w:eastAsia="zh-CN"/>
              </w:rPr>
            </w:pPr>
            <w:r>
              <w:rPr>
                <w:rFonts w:hint="eastAsia"/>
                <w:lang w:val="en-US" w:eastAsia="zh-CN"/>
              </w:rPr>
              <w:t>备注：“---”表示</w:t>
            </w:r>
            <w:r>
              <w:rPr>
                <w:rFonts w:hint="eastAsia"/>
              </w:rPr>
              <w:t xml:space="preserve">GB 18668-2002 </w:t>
            </w:r>
            <w:r>
              <w:rPr>
                <w:rFonts w:hint="eastAsia"/>
                <w:lang w:eastAsia="zh-CN"/>
              </w:rPr>
              <w:t>《</w:t>
            </w:r>
            <w:r>
              <w:rPr>
                <w:rFonts w:hint="eastAsia"/>
              </w:rPr>
              <w:t>海洋沉积物质量</w:t>
            </w:r>
            <w:r>
              <w:rPr>
                <w:rFonts w:hint="eastAsia"/>
                <w:lang w:eastAsia="zh-CN"/>
              </w:rPr>
              <w:t>》</w:t>
            </w:r>
            <w:r>
              <w:rPr>
                <w:rFonts w:hint="eastAsia"/>
                <w:lang w:val="en-US" w:eastAsia="zh-CN"/>
              </w:rPr>
              <w:t>表1标准中未对该项目作限制。</w:t>
            </w:r>
          </w:p>
        </w:tc>
      </w:tr>
    </w:tbl>
    <w:p>
      <w:pPr>
        <w:pStyle w:val="23"/>
        <w:bidi w:val="0"/>
        <w:rPr>
          <w:rFonts w:hint="default"/>
          <w:lang w:val="en-US" w:eastAsia="zh-CN"/>
        </w:rPr>
      </w:pPr>
      <w:r>
        <w:rPr>
          <w:rFonts w:hint="eastAsia"/>
          <w:lang w:val="en-US" w:eastAsia="zh-CN"/>
        </w:rPr>
        <w:t>表9.3.9 项目周边海域叶绿素a调查结果一览表  单位：mg/m</w:t>
      </w:r>
      <w:r>
        <w:rPr>
          <w:rFonts w:hint="eastAsia"/>
          <w:vertAlign w:val="superscript"/>
          <w:lang w:val="en-US" w:eastAsia="zh-CN"/>
        </w:rPr>
        <w:t>3</w:t>
      </w:r>
    </w:p>
    <w:tbl>
      <w:tblPr>
        <w:tblStyle w:val="15"/>
        <w:tblW w:w="9854"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1642"/>
        <w:gridCol w:w="1642"/>
        <w:gridCol w:w="1642"/>
        <w:gridCol w:w="1643"/>
        <w:gridCol w:w="16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642" w:type="dxa"/>
            <w:tcBorders>
              <w:tl2br w:val="nil"/>
              <w:tr2bl w:val="nil"/>
            </w:tcBorders>
            <w:vAlign w:val="center"/>
          </w:tcPr>
          <w:p>
            <w:pPr>
              <w:pStyle w:val="24"/>
              <w:bidi w:val="0"/>
              <w:jc w:val="center"/>
              <w:rPr>
                <w:rFonts w:hint="eastAsia"/>
                <w:lang w:val="en-US" w:eastAsia="zh-CN"/>
              </w:rPr>
            </w:pPr>
            <w:r>
              <w:rPr>
                <w:rFonts w:hint="eastAsia"/>
                <w:lang w:val="en-US" w:eastAsia="zh-CN"/>
              </w:rPr>
              <w:t>统计特征值</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2014.11</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2015.08</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2018.06</w:t>
            </w:r>
          </w:p>
        </w:tc>
        <w:tc>
          <w:tcPr>
            <w:tcW w:w="1643" w:type="dxa"/>
            <w:tcBorders>
              <w:tl2br w:val="nil"/>
              <w:tr2bl w:val="nil"/>
            </w:tcBorders>
            <w:vAlign w:val="center"/>
          </w:tcPr>
          <w:p>
            <w:pPr>
              <w:pStyle w:val="24"/>
              <w:bidi w:val="0"/>
              <w:jc w:val="center"/>
              <w:rPr>
                <w:rFonts w:hint="default"/>
                <w:lang w:val="en-US" w:eastAsia="zh-CN"/>
              </w:rPr>
            </w:pPr>
            <w:r>
              <w:rPr>
                <w:rFonts w:hint="eastAsia"/>
                <w:lang w:val="en-US" w:eastAsia="zh-CN"/>
              </w:rPr>
              <w:t>2018.11</w:t>
            </w:r>
          </w:p>
        </w:tc>
        <w:tc>
          <w:tcPr>
            <w:tcW w:w="1643" w:type="dxa"/>
            <w:tcBorders>
              <w:tl2br w:val="nil"/>
              <w:tr2bl w:val="nil"/>
            </w:tcBorders>
            <w:vAlign w:val="center"/>
          </w:tcPr>
          <w:p>
            <w:pPr>
              <w:pStyle w:val="24"/>
              <w:bidi w:val="0"/>
              <w:jc w:val="center"/>
              <w:rPr>
                <w:rFonts w:hint="default"/>
                <w:lang w:val="en-US" w:eastAsia="zh-CN"/>
              </w:rPr>
            </w:pPr>
            <w:r>
              <w:rPr>
                <w:rFonts w:hint="eastAsia"/>
                <w:lang w:val="en-US" w:eastAsia="zh-CN"/>
              </w:rPr>
              <w:t>2023.03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642" w:type="dxa"/>
            <w:tcBorders>
              <w:tl2br w:val="nil"/>
              <w:tr2bl w:val="nil"/>
            </w:tcBorders>
            <w:vAlign w:val="center"/>
          </w:tcPr>
          <w:p>
            <w:pPr>
              <w:pStyle w:val="24"/>
              <w:bidi w:val="0"/>
              <w:jc w:val="center"/>
              <w:rPr>
                <w:rFonts w:hint="eastAsia"/>
                <w:lang w:val="en-US" w:eastAsia="zh-CN"/>
              </w:rPr>
            </w:pPr>
            <w:r>
              <w:rPr>
                <w:rFonts w:hint="eastAsia"/>
                <w:lang w:val="en-US" w:eastAsia="zh-CN"/>
              </w:rPr>
              <w:t>范围</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0.41~1.70</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0.9~4.3</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1.44~1.67</w:t>
            </w:r>
          </w:p>
        </w:tc>
        <w:tc>
          <w:tcPr>
            <w:tcW w:w="1643" w:type="dxa"/>
            <w:tcBorders>
              <w:tl2br w:val="nil"/>
              <w:tr2bl w:val="nil"/>
            </w:tcBorders>
            <w:vAlign w:val="center"/>
          </w:tcPr>
          <w:p>
            <w:pPr>
              <w:pStyle w:val="24"/>
              <w:bidi w:val="0"/>
              <w:jc w:val="center"/>
              <w:rPr>
                <w:rFonts w:hint="default"/>
                <w:lang w:val="en-US" w:eastAsia="zh-CN"/>
              </w:rPr>
            </w:pPr>
            <w:r>
              <w:rPr>
                <w:rFonts w:hint="eastAsia"/>
                <w:lang w:val="en-US" w:eastAsia="zh-CN"/>
              </w:rPr>
              <w:t>0.91~1.85</w:t>
            </w:r>
          </w:p>
        </w:tc>
        <w:tc>
          <w:tcPr>
            <w:tcW w:w="1643" w:type="dxa"/>
            <w:tcBorders>
              <w:tl2br w:val="nil"/>
              <w:tr2bl w:val="nil"/>
            </w:tcBorders>
            <w:vAlign w:val="center"/>
          </w:tcPr>
          <w:p>
            <w:pPr>
              <w:pStyle w:val="24"/>
              <w:bidi w:val="0"/>
              <w:jc w:val="center"/>
              <w:rPr>
                <w:rFonts w:hint="default"/>
                <w:lang w:val="en-US" w:eastAsia="zh-CN"/>
              </w:rPr>
            </w:pPr>
            <w:r>
              <w:rPr>
                <w:rFonts w:hint="eastAsia"/>
                <w:lang w:val="en-US" w:eastAsia="zh-CN"/>
              </w:rPr>
              <w:t>0.78~1.24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642" w:type="dxa"/>
            <w:tcBorders>
              <w:tl2br w:val="nil"/>
              <w:tr2bl w:val="nil"/>
            </w:tcBorders>
            <w:vAlign w:val="center"/>
          </w:tcPr>
          <w:p>
            <w:pPr>
              <w:pStyle w:val="24"/>
              <w:bidi w:val="0"/>
              <w:jc w:val="center"/>
              <w:rPr>
                <w:rFonts w:hint="eastAsia"/>
                <w:lang w:val="en-US" w:eastAsia="zh-CN"/>
              </w:rPr>
            </w:pPr>
            <w:r>
              <w:rPr>
                <w:rFonts w:hint="eastAsia"/>
                <w:lang w:val="en-US" w:eastAsia="zh-CN"/>
              </w:rPr>
              <w:t>均值</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0.83</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2.29</w:t>
            </w:r>
          </w:p>
        </w:tc>
        <w:tc>
          <w:tcPr>
            <w:tcW w:w="1642" w:type="dxa"/>
            <w:tcBorders>
              <w:tl2br w:val="nil"/>
              <w:tr2bl w:val="nil"/>
            </w:tcBorders>
            <w:vAlign w:val="center"/>
          </w:tcPr>
          <w:p>
            <w:pPr>
              <w:pStyle w:val="24"/>
              <w:bidi w:val="0"/>
              <w:jc w:val="center"/>
              <w:rPr>
                <w:rFonts w:hint="default"/>
                <w:lang w:val="en-US" w:eastAsia="zh-CN"/>
              </w:rPr>
            </w:pPr>
            <w:r>
              <w:rPr>
                <w:rFonts w:hint="eastAsia"/>
                <w:lang w:val="en-US" w:eastAsia="zh-CN"/>
              </w:rPr>
              <w:t>1.56</w:t>
            </w:r>
          </w:p>
        </w:tc>
        <w:tc>
          <w:tcPr>
            <w:tcW w:w="1643" w:type="dxa"/>
            <w:tcBorders>
              <w:tl2br w:val="nil"/>
              <w:tr2bl w:val="nil"/>
            </w:tcBorders>
            <w:vAlign w:val="center"/>
          </w:tcPr>
          <w:p>
            <w:pPr>
              <w:pStyle w:val="24"/>
              <w:bidi w:val="0"/>
              <w:jc w:val="center"/>
              <w:rPr>
                <w:rFonts w:hint="default"/>
                <w:lang w:val="en-US" w:eastAsia="zh-CN"/>
              </w:rPr>
            </w:pPr>
            <w:r>
              <w:rPr>
                <w:rFonts w:hint="eastAsia"/>
                <w:lang w:val="en-US" w:eastAsia="zh-CN"/>
              </w:rPr>
              <w:t>1.33</w:t>
            </w:r>
          </w:p>
        </w:tc>
        <w:tc>
          <w:tcPr>
            <w:tcW w:w="1643" w:type="dxa"/>
            <w:tcBorders>
              <w:tl2br w:val="nil"/>
              <w:tr2bl w:val="nil"/>
            </w:tcBorders>
            <w:vAlign w:val="center"/>
          </w:tcPr>
          <w:p>
            <w:pPr>
              <w:pStyle w:val="24"/>
              <w:bidi w:val="0"/>
              <w:jc w:val="center"/>
              <w:rPr>
                <w:rFonts w:hint="default"/>
                <w:lang w:val="en-US" w:eastAsia="zh-CN"/>
              </w:rPr>
            </w:pPr>
            <w:r>
              <w:rPr>
                <w:rFonts w:hint="eastAsia"/>
                <w:lang w:val="en-US" w:eastAsia="zh-CN"/>
              </w:rPr>
              <w:t>1.05</w:t>
            </w:r>
          </w:p>
        </w:tc>
      </w:tr>
    </w:tbl>
    <w:p>
      <w:pPr>
        <w:pStyle w:val="23"/>
        <w:bidi w:val="0"/>
        <w:rPr>
          <w:rFonts w:hint="eastAsia"/>
          <w:lang w:val="en-US" w:eastAsia="zh-CN"/>
        </w:rPr>
      </w:pPr>
      <w:r>
        <w:rPr>
          <w:rFonts w:hint="eastAsia"/>
          <w:lang w:val="en-US" w:eastAsia="zh-CN"/>
        </w:rPr>
        <w:t>表9.3.10 项目周边海域浮游动植物、底栖生物调查结果一览表</w:t>
      </w:r>
    </w:p>
    <w:tbl>
      <w:tblPr>
        <w:tblStyle w:val="15"/>
        <w:tblW w:w="984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870"/>
        <w:gridCol w:w="1410"/>
        <w:gridCol w:w="1230"/>
        <w:gridCol w:w="855"/>
        <w:gridCol w:w="1140"/>
        <w:gridCol w:w="1275"/>
        <w:gridCol w:w="838"/>
        <w:gridCol w:w="11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vMerge w:val="restart"/>
            <w:tcBorders>
              <w:tl2br w:val="nil"/>
              <w:tr2bl w:val="nil"/>
            </w:tcBorders>
            <w:vAlign w:val="center"/>
          </w:tcPr>
          <w:p>
            <w:pPr>
              <w:pStyle w:val="24"/>
              <w:bidi w:val="0"/>
              <w:rPr>
                <w:rFonts w:hint="eastAsia"/>
                <w:lang w:val="en-US" w:eastAsia="zh-CN"/>
              </w:rPr>
            </w:pPr>
            <w:r>
              <w:rPr>
                <w:rFonts w:hint="eastAsia"/>
                <w:lang w:val="en-US" w:eastAsia="zh-CN"/>
              </w:rPr>
              <w:t>调查时间</w:t>
            </w:r>
          </w:p>
        </w:tc>
        <w:tc>
          <w:tcPr>
            <w:tcW w:w="2280" w:type="dxa"/>
            <w:gridSpan w:val="2"/>
            <w:tcBorders>
              <w:tl2br w:val="nil"/>
              <w:tr2bl w:val="nil"/>
            </w:tcBorders>
            <w:vAlign w:val="center"/>
          </w:tcPr>
          <w:p>
            <w:pPr>
              <w:pStyle w:val="24"/>
              <w:bidi w:val="0"/>
              <w:rPr>
                <w:rFonts w:hint="eastAsia"/>
                <w:lang w:val="en-US" w:eastAsia="zh-CN"/>
              </w:rPr>
            </w:pPr>
            <w:r>
              <w:rPr>
                <w:rFonts w:hint="eastAsia"/>
                <w:lang w:val="en-US" w:eastAsia="zh-CN"/>
              </w:rPr>
              <w:t>浮游植物</w:t>
            </w:r>
          </w:p>
        </w:tc>
        <w:tc>
          <w:tcPr>
            <w:tcW w:w="3225" w:type="dxa"/>
            <w:gridSpan w:val="3"/>
            <w:tcBorders>
              <w:tl2br w:val="nil"/>
              <w:tr2bl w:val="nil"/>
            </w:tcBorders>
            <w:vAlign w:val="center"/>
          </w:tcPr>
          <w:p>
            <w:pPr>
              <w:pStyle w:val="24"/>
              <w:bidi w:val="0"/>
              <w:rPr>
                <w:rFonts w:hint="eastAsia"/>
                <w:lang w:val="en-US" w:eastAsia="zh-CN"/>
              </w:rPr>
            </w:pPr>
            <w:r>
              <w:rPr>
                <w:rFonts w:hint="eastAsia"/>
                <w:lang w:val="en-US" w:eastAsia="zh-CN"/>
              </w:rPr>
              <w:t>浮游动物</w:t>
            </w:r>
          </w:p>
        </w:tc>
        <w:tc>
          <w:tcPr>
            <w:tcW w:w="3306" w:type="dxa"/>
            <w:gridSpan w:val="3"/>
            <w:tcBorders>
              <w:tl2br w:val="nil"/>
              <w:tr2bl w:val="nil"/>
            </w:tcBorders>
            <w:vAlign w:val="center"/>
          </w:tcPr>
          <w:p>
            <w:pPr>
              <w:pStyle w:val="24"/>
              <w:bidi w:val="0"/>
              <w:rPr>
                <w:rFonts w:hint="eastAsia"/>
                <w:lang w:val="en-US" w:eastAsia="zh-CN"/>
              </w:rPr>
            </w:pPr>
            <w:r>
              <w:rPr>
                <w:rFonts w:hint="eastAsia"/>
                <w:lang w:val="en-US" w:eastAsia="zh-CN"/>
              </w:rPr>
              <w:t>底栖生物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vMerge w:val="continue"/>
            <w:tcBorders>
              <w:tl2br w:val="nil"/>
              <w:tr2bl w:val="nil"/>
            </w:tcBorders>
            <w:vAlign w:val="center"/>
          </w:tcPr>
          <w:p>
            <w:pPr>
              <w:pStyle w:val="24"/>
              <w:bidi w:val="0"/>
              <w:rPr>
                <w:rFonts w:hint="default"/>
                <w:lang w:val="en-US" w:eastAsia="zh-CN"/>
              </w:rPr>
            </w:pPr>
          </w:p>
        </w:tc>
        <w:tc>
          <w:tcPr>
            <w:tcW w:w="870" w:type="dxa"/>
            <w:tcBorders>
              <w:tl2br w:val="nil"/>
              <w:tr2bl w:val="nil"/>
            </w:tcBorders>
            <w:vAlign w:val="center"/>
          </w:tcPr>
          <w:p>
            <w:pPr>
              <w:pStyle w:val="24"/>
              <w:bidi w:val="0"/>
              <w:rPr>
                <w:rFonts w:hint="eastAsia"/>
                <w:lang w:val="en-US" w:eastAsia="zh-CN"/>
              </w:rPr>
            </w:pPr>
            <w:r>
              <w:rPr>
                <w:rFonts w:hint="eastAsia"/>
                <w:lang w:val="en-US" w:eastAsia="zh-CN"/>
              </w:rPr>
              <w:t>总种数（种）</w:t>
            </w:r>
          </w:p>
        </w:tc>
        <w:tc>
          <w:tcPr>
            <w:tcW w:w="1410" w:type="dxa"/>
            <w:tcBorders>
              <w:tl2br w:val="nil"/>
              <w:tr2bl w:val="nil"/>
            </w:tcBorders>
            <w:vAlign w:val="center"/>
          </w:tcPr>
          <w:p>
            <w:pPr>
              <w:pStyle w:val="24"/>
              <w:bidi w:val="0"/>
              <w:rPr>
                <w:rFonts w:hint="eastAsia"/>
                <w:lang w:val="en-US" w:eastAsia="zh-CN"/>
              </w:rPr>
            </w:pPr>
            <w:r>
              <w:rPr>
                <w:rFonts w:hint="eastAsia"/>
                <w:lang w:val="en-US" w:eastAsia="zh-CN"/>
              </w:rPr>
              <w:t>总细胞密度（个/m</w:t>
            </w:r>
            <w:r>
              <w:rPr>
                <w:rFonts w:hint="eastAsia"/>
                <w:vertAlign w:val="superscript"/>
                <w:lang w:val="en-US" w:eastAsia="zh-CN"/>
              </w:rPr>
              <w:t>3</w:t>
            </w:r>
            <w:r>
              <w:rPr>
                <w:rFonts w:hint="eastAsia"/>
                <w:lang w:val="en-US" w:eastAsia="zh-CN"/>
              </w:rPr>
              <w:t>）</w:t>
            </w:r>
          </w:p>
        </w:tc>
        <w:tc>
          <w:tcPr>
            <w:tcW w:w="1230" w:type="dxa"/>
            <w:tcBorders>
              <w:tl2br w:val="nil"/>
              <w:tr2bl w:val="nil"/>
            </w:tcBorders>
            <w:vAlign w:val="center"/>
          </w:tcPr>
          <w:p>
            <w:pPr>
              <w:pStyle w:val="24"/>
              <w:bidi w:val="0"/>
              <w:rPr>
                <w:rFonts w:hint="eastAsia"/>
                <w:lang w:val="en-US" w:eastAsia="zh-CN"/>
              </w:rPr>
            </w:pPr>
            <w:r>
              <w:rPr>
                <w:rFonts w:hint="eastAsia"/>
                <w:lang w:val="en-US" w:eastAsia="zh-CN"/>
              </w:rPr>
              <w:t>总生物量（mg/m</w:t>
            </w:r>
            <w:r>
              <w:rPr>
                <w:rFonts w:hint="eastAsia"/>
                <w:vertAlign w:val="superscript"/>
                <w:lang w:val="en-US" w:eastAsia="zh-CN"/>
              </w:rPr>
              <w:t>3</w:t>
            </w:r>
            <w:r>
              <w:rPr>
                <w:rFonts w:hint="eastAsia"/>
                <w:lang w:val="en-US" w:eastAsia="zh-CN"/>
              </w:rPr>
              <w:t>）</w:t>
            </w:r>
          </w:p>
        </w:tc>
        <w:tc>
          <w:tcPr>
            <w:tcW w:w="855" w:type="dxa"/>
            <w:tcBorders>
              <w:tl2br w:val="nil"/>
              <w:tr2bl w:val="nil"/>
            </w:tcBorders>
            <w:vAlign w:val="center"/>
          </w:tcPr>
          <w:p>
            <w:pPr>
              <w:pStyle w:val="24"/>
              <w:bidi w:val="0"/>
              <w:rPr>
                <w:rFonts w:hint="eastAsia"/>
                <w:lang w:val="en-US" w:eastAsia="zh-CN"/>
              </w:rPr>
            </w:pPr>
            <w:r>
              <w:rPr>
                <w:rFonts w:hint="eastAsia"/>
                <w:lang w:val="en-US" w:eastAsia="zh-CN"/>
              </w:rPr>
              <w:t>总种数（种）</w:t>
            </w:r>
          </w:p>
        </w:tc>
        <w:tc>
          <w:tcPr>
            <w:tcW w:w="1140" w:type="dxa"/>
            <w:tcBorders>
              <w:tl2br w:val="nil"/>
              <w:tr2bl w:val="nil"/>
            </w:tcBorders>
            <w:vAlign w:val="center"/>
          </w:tcPr>
          <w:p>
            <w:pPr>
              <w:pStyle w:val="24"/>
              <w:bidi w:val="0"/>
              <w:rPr>
                <w:rFonts w:hint="eastAsia"/>
                <w:lang w:val="en-US" w:eastAsia="zh-CN"/>
              </w:rPr>
            </w:pPr>
            <w:r>
              <w:rPr>
                <w:rFonts w:hint="eastAsia"/>
                <w:lang w:val="en-US" w:eastAsia="zh-CN"/>
              </w:rPr>
              <w:t>总个体密度（个/m</w:t>
            </w:r>
            <w:r>
              <w:rPr>
                <w:rFonts w:hint="eastAsia"/>
                <w:vertAlign w:val="superscript"/>
                <w:lang w:val="en-US" w:eastAsia="zh-CN"/>
              </w:rPr>
              <w:t>3</w:t>
            </w:r>
            <w:r>
              <w:rPr>
                <w:rFonts w:hint="eastAsia"/>
                <w:lang w:val="en-US" w:eastAsia="zh-CN"/>
              </w:rPr>
              <w:t>）</w:t>
            </w:r>
          </w:p>
        </w:tc>
        <w:tc>
          <w:tcPr>
            <w:tcW w:w="1275" w:type="dxa"/>
            <w:tcBorders>
              <w:tl2br w:val="nil"/>
              <w:tr2bl w:val="nil"/>
            </w:tcBorders>
            <w:vAlign w:val="center"/>
          </w:tcPr>
          <w:p>
            <w:pPr>
              <w:pStyle w:val="24"/>
              <w:bidi w:val="0"/>
              <w:rPr>
                <w:rFonts w:hint="eastAsia"/>
                <w:lang w:val="en-US" w:eastAsia="zh-CN"/>
              </w:rPr>
            </w:pPr>
            <w:r>
              <w:rPr>
                <w:rFonts w:hint="eastAsia"/>
                <w:lang w:val="en-US" w:eastAsia="zh-CN"/>
              </w:rPr>
              <w:t>总生物量</w:t>
            </w:r>
          </w:p>
        </w:tc>
        <w:tc>
          <w:tcPr>
            <w:tcW w:w="838" w:type="dxa"/>
            <w:tcBorders>
              <w:tl2br w:val="nil"/>
              <w:tr2bl w:val="nil"/>
            </w:tcBorders>
            <w:vAlign w:val="center"/>
          </w:tcPr>
          <w:p>
            <w:pPr>
              <w:pStyle w:val="24"/>
              <w:bidi w:val="0"/>
              <w:rPr>
                <w:rFonts w:hint="eastAsia"/>
                <w:lang w:val="en-US" w:eastAsia="zh-CN"/>
              </w:rPr>
            </w:pPr>
            <w:r>
              <w:rPr>
                <w:rFonts w:hint="eastAsia"/>
                <w:lang w:val="en-US" w:eastAsia="zh-CN"/>
              </w:rPr>
              <w:t>总种数（种）</w:t>
            </w:r>
          </w:p>
        </w:tc>
        <w:tc>
          <w:tcPr>
            <w:tcW w:w="1193" w:type="dxa"/>
            <w:tcBorders>
              <w:tl2br w:val="nil"/>
              <w:tr2bl w:val="nil"/>
            </w:tcBorders>
            <w:vAlign w:val="center"/>
          </w:tcPr>
          <w:p>
            <w:pPr>
              <w:pStyle w:val="24"/>
              <w:bidi w:val="0"/>
              <w:rPr>
                <w:rFonts w:hint="eastAsia"/>
                <w:lang w:val="en-US" w:eastAsia="zh-CN"/>
              </w:rPr>
            </w:pPr>
            <w:r>
              <w:rPr>
                <w:rFonts w:hint="eastAsia"/>
                <w:lang w:val="en-US" w:eastAsia="zh-CN"/>
              </w:rPr>
              <w:t>总栖息密度（个/m</w:t>
            </w:r>
            <w:r>
              <w:rPr>
                <w:rFonts w:hint="eastAsia"/>
                <w:vertAlign w:val="superscript"/>
                <w:lang w:val="en-US" w:eastAsia="zh-CN"/>
              </w:rPr>
              <w:t>2</w:t>
            </w:r>
            <w:r>
              <w:rPr>
                <w:rFonts w:hint="eastAsia"/>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tcBorders>
              <w:tl2br w:val="nil"/>
              <w:tr2bl w:val="nil"/>
            </w:tcBorders>
            <w:vAlign w:val="center"/>
          </w:tcPr>
          <w:p>
            <w:pPr>
              <w:pStyle w:val="24"/>
              <w:bidi w:val="0"/>
              <w:rPr>
                <w:rFonts w:hint="default" w:ascii="Times New Roman" w:hAnsi="Times New Roman" w:eastAsia="宋体" w:cs="Times New Roman"/>
                <w:kern w:val="0"/>
                <w:sz w:val="20"/>
                <w:szCs w:val="21"/>
                <w:lang w:val="en-US" w:eastAsia="zh-CN" w:bidi="ar-SA"/>
              </w:rPr>
            </w:pPr>
            <w:r>
              <w:rPr>
                <w:rFonts w:hint="eastAsia"/>
                <w:lang w:val="en-US" w:eastAsia="zh-CN"/>
              </w:rPr>
              <w:t>2014.09</w:t>
            </w:r>
          </w:p>
        </w:tc>
        <w:tc>
          <w:tcPr>
            <w:tcW w:w="870" w:type="dxa"/>
            <w:tcBorders>
              <w:tl2br w:val="nil"/>
              <w:tr2bl w:val="nil"/>
            </w:tcBorders>
            <w:vAlign w:val="center"/>
          </w:tcPr>
          <w:p>
            <w:pPr>
              <w:pStyle w:val="24"/>
              <w:bidi w:val="0"/>
              <w:rPr>
                <w:rFonts w:hint="default"/>
                <w:lang w:val="en-US" w:eastAsia="zh-CN"/>
              </w:rPr>
            </w:pPr>
            <w:r>
              <w:rPr>
                <w:rFonts w:hint="eastAsia"/>
                <w:lang w:val="en-US" w:eastAsia="zh-CN"/>
              </w:rPr>
              <w:t>12~5</w:t>
            </w:r>
          </w:p>
        </w:tc>
        <w:tc>
          <w:tcPr>
            <w:tcW w:w="1410" w:type="dxa"/>
            <w:tcBorders>
              <w:tl2br w:val="nil"/>
              <w:tr2bl w:val="nil"/>
            </w:tcBorders>
            <w:vAlign w:val="center"/>
          </w:tcPr>
          <w:p>
            <w:pPr>
              <w:pStyle w:val="24"/>
              <w:bidi w:val="0"/>
              <w:rPr>
                <w:rFonts w:hint="eastAsia"/>
                <w:lang w:val="en-US" w:eastAsia="zh-CN"/>
              </w:rPr>
            </w:pPr>
            <w:r>
              <w:rPr>
                <w:rFonts w:hint="eastAsia"/>
                <w:lang w:val="en-US" w:eastAsia="zh-CN"/>
              </w:rPr>
              <w:t>5.63×10</w:t>
            </w:r>
            <w:r>
              <w:rPr>
                <w:rFonts w:hint="eastAsia"/>
                <w:vertAlign w:val="superscript"/>
                <w:lang w:val="en-US" w:eastAsia="zh-CN"/>
              </w:rPr>
              <w:t>4</w:t>
            </w:r>
            <w:r>
              <w:rPr>
                <w:rFonts w:hint="eastAsia"/>
                <w:lang w:val="en-US" w:eastAsia="zh-CN"/>
              </w:rPr>
              <w:t>~</w:t>
            </w:r>
          </w:p>
          <w:p>
            <w:pPr>
              <w:pStyle w:val="24"/>
              <w:bidi w:val="0"/>
              <w:rPr>
                <w:rFonts w:hint="default" w:eastAsia="宋体"/>
                <w:lang w:val="en-US" w:eastAsia="zh-CN"/>
              </w:rPr>
            </w:pPr>
            <w:r>
              <w:rPr>
                <w:rFonts w:hint="eastAsia"/>
                <w:lang w:val="en-US" w:eastAsia="zh-CN"/>
              </w:rPr>
              <w:t>1.14×10</w:t>
            </w:r>
            <w:r>
              <w:rPr>
                <w:rFonts w:hint="eastAsia"/>
                <w:vertAlign w:val="superscript"/>
                <w:lang w:val="en-US" w:eastAsia="zh-CN"/>
              </w:rPr>
              <w:t>5</w:t>
            </w:r>
          </w:p>
        </w:tc>
        <w:tc>
          <w:tcPr>
            <w:tcW w:w="1230" w:type="dxa"/>
            <w:tcBorders>
              <w:tl2br w:val="nil"/>
              <w:tr2bl w:val="nil"/>
            </w:tcBorders>
            <w:vAlign w:val="center"/>
          </w:tcPr>
          <w:p>
            <w:pPr>
              <w:pStyle w:val="24"/>
              <w:bidi w:val="0"/>
              <w:rPr>
                <w:rFonts w:hint="default"/>
                <w:lang w:val="en-US" w:eastAsia="zh-CN"/>
              </w:rPr>
            </w:pPr>
            <w:r>
              <w:rPr>
                <w:rFonts w:hint="eastAsia"/>
                <w:lang w:val="en-US" w:eastAsia="zh-CN"/>
              </w:rPr>
              <w:t>22.1~55.0</w:t>
            </w:r>
          </w:p>
        </w:tc>
        <w:tc>
          <w:tcPr>
            <w:tcW w:w="855" w:type="dxa"/>
            <w:tcBorders>
              <w:tl2br w:val="nil"/>
              <w:tr2bl w:val="nil"/>
            </w:tcBorders>
            <w:vAlign w:val="center"/>
          </w:tcPr>
          <w:p>
            <w:pPr>
              <w:pStyle w:val="24"/>
              <w:bidi w:val="0"/>
              <w:rPr>
                <w:rFonts w:hint="default"/>
                <w:lang w:val="en-US" w:eastAsia="zh-CN"/>
              </w:rPr>
            </w:pPr>
            <w:r>
              <w:rPr>
                <w:rFonts w:hint="eastAsia"/>
                <w:lang w:val="en-US" w:eastAsia="zh-CN"/>
              </w:rPr>
              <w:t>13~35</w:t>
            </w:r>
          </w:p>
        </w:tc>
        <w:tc>
          <w:tcPr>
            <w:tcW w:w="1140" w:type="dxa"/>
            <w:tcBorders>
              <w:tl2br w:val="nil"/>
              <w:tr2bl w:val="nil"/>
            </w:tcBorders>
            <w:vAlign w:val="center"/>
          </w:tcPr>
          <w:p>
            <w:pPr>
              <w:pStyle w:val="24"/>
              <w:bidi w:val="0"/>
              <w:rPr>
                <w:rFonts w:hint="default"/>
                <w:lang w:val="en-US" w:eastAsia="zh-CN"/>
              </w:rPr>
            </w:pPr>
            <w:r>
              <w:rPr>
                <w:rFonts w:hint="eastAsia"/>
                <w:lang w:val="en-US" w:eastAsia="zh-CN"/>
              </w:rPr>
              <w:t>20.7~123.8</w:t>
            </w:r>
          </w:p>
        </w:tc>
        <w:tc>
          <w:tcPr>
            <w:tcW w:w="1275" w:type="dxa"/>
            <w:tcBorders>
              <w:tl2br w:val="nil"/>
              <w:tr2bl w:val="nil"/>
            </w:tcBorders>
            <w:vAlign w:val="center"/>
          </w:tcPr>
          <w:p>
            <w:pPr>
              <w:pStyle w:val="24"/>
              <w:bidi w:val="0"/>
              <w:rPr>
                <w:rFonts w:hint="default"/>
                <w:lang w:val="en-US" w:eastAsia="zh-CN"/>
              </w:rPr>
            </w:pPr>
            <w:r>
              <w:rPr>
                <w:rFonts w:hint="eastAsia"/>
                <w:lang w:val="en-US" w:eastAsia="zh-CN"/>
              </w:rPr>
              <w:t>2.05~7.8</w:t>
            </w:r>
          </w:p>
        </w:tc>
        <w:tc>
          <w:tcPr>
            <w:tcW w:w="838" w:type="dxa"/>
            <w:tcBorders>
              <w:tl2br w:val="nil"/>
              <w:tr2bl w:val="nil"/>
            </w:tcBorders>
            <w:vAlign w:val="center"/>
          </w:tcPr>
          <w:p>
            <w:pPr>
              <w:pStyle w:val="24"/>
              <w:bidi w:val="0"/>
              <w:rPr>
                <w:rFonts w:hint="default"/>
                <w:lang w:val="en-US" w:eastAsia="zh-CN"/>
              </w:rPr>
            </w:pPr>
            <w:r>
              <w:rPr>
                <w:rFonts w:hint="eastAsia"/>
                <w:lang w:val="en-US" w:eastAsia="zh-CN"/>
              </w:rPr>
              <w:t>5~8</w:t>
            </w:r>
          </w:p>
        </w:tc>
        <w:tc>
          <w:tcPr>
            <w:tcW w:w="1193" w:type="dxa"/>
            <w:tcBorders>
              <w:tl2br w:val="nil"/>
              <w:tr2bl w:val="nil"/>
            </w:tcBorders>
            <w:vAlign w:val="center"/>
          </w:tcPr>
          <w:p>
            <w:pPr>
              <w:pStyle w:val="24"/>
              <w:bidi w:val="0"/>
              <w:rPr>
                <w:rFonts w:hint="default"/>
                <w:lang w:val="en-US" w:eastAsia="zh-CN"/>
              </w:rPr>
            </w:pPr>
            <w:r>
              <w:rPr>
                <w:rFonts w:hint="eastAsia"/>
                <w:lang w:val="en-US" w:eastAsia="zh-CN"/>
              </w:rPr>
              <w:t>30~55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tcBorders>
              <w:tl2br w:val="nil"/>
              <w:tr2bl w:val="nil"/>
            </w:tcBorders>
            <w:vAlign w:val="center"/>
          </w:tcPr>
          <w:p>
            <w:pPr>
              <w:pStyle w:val="24"/>
              <w:bidi w:val="0"/>
              <w:rPr>
                <w:rFonts w:hint="default" w:ascii="Times New Roman" w:hAnsi="Times New Roman" w:eastAsia="宋体" w:cs="Times New Roman"/>
                <w:kern w:val="0"/>
                <w:sz w:val="20"/>
                <w:szCs w:val="21"/>
                <w:lang w:val="en-US" w:eastAsia="zh-CN" w:bidi="ar-SA"/>
              </w:rPr>
            </w:pPr>
            <w:r>
              <w:rPr>
                <w:rFonts w:hint="eastAsia"/>
                <w:lang w:val="en-US" w:eastAsia="zh-CN"/>
              </w:rPr>
              <w:t>2015.06</w:t>
            </w:r>
          </w:p>
        </w:tc>
        <w:tc>
          <w:tcPr>
            <w:tcW w:w="870" w:type="dxa"/>
            <w:tcBorders>
              <w:tl2br w:val="nil"/>
              <w:tr2bl w:val="nil"/>
            </w:tcBorders>
            <w:vAlign w:val="center"/>
          </w:tcPr>
          <w:p>
            <w:pPr>
              <w:pStyle w:val="24"/>
              <w:bidi w:val="0"/>
              <w:rPr>
                <w:rFonts w:hint="default"/>
                <w:lang w:val="en-US" w:eastAsia="zh-CN"/>
              </w:rPr>
            </w:pPr>
            <w:r>
              <w:rPr>
                <w:rFonts w:hint="eastAsia"/>
                <w:lang w:val="en-US" w:eastAsia="zh-CN"/>
              </w:rPr>
              <w:t>15~22</w:t>
            </w:r>
          </w:p>
        </w:tc>
        <w:tc>
          <w:tcPr>
            <w:tcW w:w="1410" w:type="dxa"/>
            <w:tcBorders>
              <w:tl2br w:val="nil"/>
              <w:tr2bl w:val="nil"/>
            </w:tcBorders>
            <w:vAlign w:val="center"/>
          </w:tcPr>
          <w:p>
            <w:pPr>
              <w:pStyle w:val="24"/>
              <w:bidi w:val="0"/>
              <w:rPr>
                <w:rFonts w:hint="eastAsia"/>
                <w:lang w:val="en-US" w:eastAsia="zh-CN"/>
              </w:rPr>
            </w:pPr>
            <w:r>
              <w:rPr>
                <w:rFonts w:hint="eastAsia"/>
                <w:lang w:val="en-US" w:eastAsia="zh-CN"/>
              </w:rPr>
              <w:t>6.21×10</w:t>
            </w:r>
            <w:r>
              <w:rPr>
                <w:rFonts w:hint="eastAsia"/>
                <w:vertAlign w:val="superscript"/>
                <w:lang w:val="en-US" w:eastAsia="zh-CN"/>
              </w:rPr>
              <w:t>4</w:t>
            </w:r>
            <w:r>
              <w:rPr>
                <w:rFonts w:hint="eastAsia"/>
                <w:lang w:val="en-US" w:eastAsia="zh-CN"/>
              </w:rPr>
              <w:t>~</w:t>
            </w:r>
          </w:p>
          <w:p>
            <w:pPr>
              <w:pStyle w:val="24"/>
              <w:bidi w:val="0"/>
              <w:rPr>
                <w:rFonts w:hint="eastAsia"/>
                <w:lang w:val="en-US" w:eastAsia="zh-CN"/>
              </w:rPr>
            </w:pPr>
            <w:r>
              <w:rPr>
                <w:rFonts w:hint="eastAsia"/>
                <w:lang w:val="en-US" w:eastAsia="zh-CN"/>
              </w:rPr>
              <w:t>1.16×10</w:t>
            </w:r>
            <w:r>
              <w:rPr>
                <w:rFonts w:hint="eastAsia"/>
                <w:vertAlign w:val="superscript"/>
                <w:lang w:val="en-US" w:eastAsia="zh-CN"/>
              </w:rPr>
              <w:t>5</w:t>
            </w:r>
          </w:p>
        </w:tc>
        <w:tc>
          <w:tcPr>
            <w:tcW w:w="1230" w:type="dxa"/>
            <w:tcBorders>
              <w:tl2br w:val="nil"/>
              <w:tr2bl w:val="nil"/>
            </w:tcBorders>
            <w:vAlign w:val="center"/>
          </w:tcPr>
          <w:p>
            <w:pPr>
              <w:pStyle w:val="24"/>
              <w:bidi w:val="0"/>
              <w:rPr>
                <w:rFonts w:hint="default"/>
                <w:lang w:val="en-US" w:eastAsia="zh-CN"/>
              </w:rPr>
            </w:pPr>
            <w:r>
              <w:rPr>
                <w:rFonts w:hint="eastAsia"/>
                <w:lang w:val="en-US" w:eastAsia="zh-CN"/>
              </w:rPr>
              <w:t>38.9~965.8</w:t>
            </w:r>
          </w:p>
        </w:tc>
        <w:tc>
          <w:tcPr>
            <w:tcW w:w="855" w:type="dxa"/>
            <w:tcBorders>
              <w:tl2br w:val="nil"/>
              <w:tr2bl w:val="nil"/>
            </w:tcBorders>
            <w:vAlign w:val="center"/>
          </w:tcPr>
          <w:p>
            <w:pPr>
              <w:pStyle w:val="24"/>
              <w:bidi w:val="0"/>
              <w:rPr>
                <w:rFonts w:hint="default"/>
                <w:lang w:val="en-US" w:eastAsia="zh-CN"/>
              </w:rPr>
            </w:pPr>
            <w:r>
              <w:rPr>
                <w:rFonts w:hint="eastAsia"/>
                <w:lang w:val="en-US" w:eastAsia="zh-CN"/>
              </w:rPr>
              <w:t>28~49</w:t>
            </w:r>
          </w:p>
        </w:tc>
        <w:tc>
          <w:tcPr>
            <w:tcW w:w="1140" w:type="dxa"/>
            <w:tcBorders>
              <w:tl2br w:val="nil"/>
              <w:tr2bl w:val="nil"/>
            </w:tcBorders>
            <w:vAlign w:val="center"/>
          </w:tcPr>
          <w:p>
            <w:pPr>
              <w:pStyle w:val="24"/>
              <w:bidi w:val="0"/>
              <w:rPr>
                <w:rFonts w:hint="default"/>
                <w:lang w:val="en-US" w:eastAsia="zh-CN"/>
              </w:rPr>
            </w:pPr>
            <w:r>
              <w:rPr>
                <w:rFonts w:hint="eastAsia"/>
                <w:lang w:val="en-US" w:eastAsia="zh-CN"/>
              </w:rPr>
              <w:t>81.1~178.5</w:t>
            </w:r>
          </w:p>
        </w:tc>
        <w:tc>
          <w:tcPr>
            <w:tcW w:w="1275" w:type="dxa"/>
            <w:tcBorders>
              <w:tl2br w:val="nil"/>
              <w:tr2bl w:val="nil"/>
            </w:tcBorders>
            <w:vAlign w:val="center"/>
          </w:tcPr>
          <w:p>
            <w:pPr>
              <w:pStyle w:val="24"/>
              <w:bidi w:val="0"/>
              <w:rPr>
                <w:rFonts w:hint="default"/>
                <w:lang w:val="en-US" w:eastAsia="zh-CN"/>
              </w:rPr>
            </w:pPr>
            <w:r>
              <w:rPr>
                <w:rFonts w:hint="eastAsia"/>
                <w:lang w:val="en-US" w:eastAsia="zh-CN"/>
              </w:rPr>
              <w:t>2.00~117.35</w:t>
            </w:r>
          </w:p>
        </w:tc>
        <w:tc>
          <w:tcPr>
            <w:tcW w:w="838" w:type="dxa"/>
            <w:tcBorders>
              <w:tl2br w:val="nil"/>
              <w:tr2bl w:val="nil"/>
            </w:tcBorders>
            <w:vAlign w:val="center"/>
          </w:tcPr>
          <w:p>
            <w:pPr>
              <w:pStyle w:val="24"/>
              <w:bidi w:val="0"/>
              <w:rPr>
                <w:rFonts w:hint="default"/>
                <w:lang w:val="en-US" w:eastAsia="zh-CN"/>
              </w:rPr>
            </w:pPr>
            <w:r>
              <w:rPr>
                <w:rFonts w:hint="eastAsia"/>
                <w:lang w:val="en-US" w:eastAsia="zh-CN"/>
              </w:rPr>
              <w:t>5~10</w:t>
            </w:r>
          </w:p>
        </w:tc>
        <w:tc>
          <w:tcPr>
            <w:tcW w:w="1193" w:type="dxa"/>
            <w:tcBorders>
              <w:tl2br w:val="nil"/>
              <w:tr2bl w:val="nil"/>
            </w:tcBorders>
            <w:vAlign w:val="center"/>
          </w:tcPr>
          <w:p>
            <w:pPr>
              <w:pStyle w:val="24"/>
              <w:bidi w:val="0"/>
              <w:rPr>
                <w:rFonts w:hint="default"/>
                <w:lang w:val="en-US" w:eastAsia="zh-CN"/>
              </w:rPr>
            </w:pPr>
            <w:r>
              <w:rPr>
                <w:rFonts w:hint="eastAsia"/>
                <w:lang w:val="en-US" w:eastAsia="zh-CN"/>
              </w:rPr>
              <w:t>30~65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37" w:type="dxa"/>
            <w:tcBorders>
              <w:tl2br w:val="nil"/>
              <w:tr2bl w:val="nil"/>
            </w:tcBorders>
            <w:vAlign w:val="center"/>
          </w:tcPr>
          <w:p>
            <w:pPr>
              <w:pStyle w:val="24"/>
              <w:bidi w:val="0"/>
              <w:rPr>
                <w:rFonts w:hint="eastAsia" w:ascii="Times New Roman" w:hAnsi="Times New Roman" w:eastAsia="宋体" w:cs="Times New Roman"/>
                <w:kern w:val="0"/>
                <w:sz w:val="20"/>
                <w:szCs w:val="21"/>
                <w:lang w:val="en-US" w:eastAsia="zh-CN" w:bidi="ar-SA"/>
              </w:rPr>
            </w:pPr>
            <w:r>
              <w:rPr>
                <w:rFonts w:hint="eastAsia"/>
                <w:lang w:val="en-US" w:eastAsia="zh-CN"/>
              </w:rPr>
              <w:t>2023.03</w:t>
            </w:r>
          </w:p>
        </w:tc>
        <w:tc>
          <w:tcPr>
            <w:tcW w:w="870" w:type="dxa"/>
            <w:tcBorders>
              <w:tl2br w:val="nil"/>
              <w:tr2bl w:val="nil"/>
            </w:tcBorders>
            <w:vAlign w:val="center"/>
          </w:tcPr>
          <w:p>
            <w:pPr>
              <w:pStyle w:val="24"/>
              <w:bidi w:val="0"/>
              <w:rPr>
                <w:rFonts w:hint="default"/>
                <w:lang w:val="en-US" w:eastAsia="zh-CN"/>
              </w:rPr>
            </w:pPr>
            <w:r>
              <w:rPr>
                <w:rFonts w:hint="eastAsia"/>
                <w:lang w:val="en-US" w:eastAsia="zh-CN"/>
              </w:rPr>
              <w:t>28~32</w:t>
            </w:r>
          </w:p>
        </w:tc>
        <w:tc>
          <w:tcPr>
            <w:tcW w:w="1410" w:type="dxa"/>
            <w:tcBorders>
              <w:tl2br w:val="nil"/>
              <w:tr2bl w:val="nil"/>
            </w:tcBorders>
            <w:vAlign w:val="center"/>
          </w:tcPr>
          <w:p>
            <w:pPr>
              <w:pStyle w:val="24"/>
              <w:bidi w:val="0"/>
              <w:rPr>
                <w:rFonts w:hint="eastAsia"/>
                <w:lang w:val="en-US" w:eastAsia="zh-CN"/>
              </w:rPr>
            </w:pPr>
            <w:r>
              <w:rPr>
                <w:rFonts w:hint="eastAsia"/>
                <w:lang w:val="en-US" w:eastAsia="zh-CN"/>
              </w:rPr>
              <w:t>6.11×10</w:t>
            </w:r>
            <w:r>
              <w:rPr>
                <w:rFonts w:hint="eastAsia"/>
                <w:vertAlign w:val="superscript"/>
                <w:lang w:val="en-US" w:eastAsia="zh-CN"/>
              </w:rPr>
              <w:t>4</w:t>
            </w:r>
            <w:r>
              <w:rPr>
                <w:rFonts w:hint="eastAsia"/>
                <w:lang w:val="en-US" w:eastAsia="zh-CN"/>
              </w:rPr>
              <w:t>~</w:t>
            </w:r>
          </w:p>
          <w:p>
            <w:pPr>
              <w:pStyle w:val="24"/>
              <w:bidi w:val="0"/>
              <w:rPr>
                <w:rFonts w:hint="default"/>
                <w:lang w:val="en-US" w:eastAsia="zh-CN"/>
              </w:rPr>
            </w:pPr>
            <w:r>
              <w:rPr>
                <w:rFonts w:hint="eastAsia"/>
                <w:lang w:val="en-US" w:eastAsia="zh-CN"/>
              </w:rPr>
              <w:t>3.052×10</w:t>
            </w:r>
            <w:r>
              <w:rPr>
                <w:rFonts w:hint="eastAsia"/>
                <w:vertAlign w:val="superscript"/>
                <w:lang w:val="en-US" w:eastAsia="zh-CN"/>
              </w:rPr>
              <w:t>5</w:t>
            </w:r>
          </w:p>
        </w:tc>
        <w:tc>
          <w:tcPr>
            <w:tcW w:w="1230" w:type="dxa"/>
            <w:tcBorders>
              <w:tl2br w:val="nil"/>
              <w:tr2bl w:val="nil"/>
            </w:tcBorders>
            <w:vAlign w:val="center"/>
          </w:tcPr>
          <w:p>
            <w:pPr>
              <w:pStyle w:val="24"/>
              <w:bidi w:val="0"/>
              <w:rPr>
                <w:rFonts w:hint="default"/>
                <w:lang w:val="en-US" w:eastAsia="zh-CN"/>
              </w:rPr>
            </w:pPr>
            <w:r>
              <w:rPr>
                <w:rFonts w:hint="eastAsia"/>
                <w:lang w:val="en-US" w:eastAsia="zh-CN"/>
              </w:rPr>
              <w:t>8.52~220.21</w:t>
            </w:r>
          </w:p>
        </w:tc>
        <w:tc>
          <w:tcPr>
            <w:tcW w:w="855" w:type="dxa"/>
            <w:tcBorders>
              <w:tl2br w:val="nil"/>
              <w:tr2bl w:val="nil"/>
            </w:tcBorders>
            <w:vAlign w:val="center"/>
          </w:tcPr>
          <w:p>
            <w:pPr>
              <w:pStyle w:val="24"/>
              <w:bidi w:val="0"/>
              <w:rPr>
                <w:rFonts w:hint="default"/>
                <w:lang w:val="en-US" w:eastAsia="zh-CN"/>
              </w:rPr>
            </w:pPr>
            <w:r>
              <w:rPr>
                <w:rFonts w:hint="eastAsia"/>
                <w:lang w:val="en-US" w:eastAsia="zh-CN"/>
              </w:rPr>
              <w:t>11~24</w:t>
            </w:r>
          </w:p>
        </w:tc>
        <w:tc>
          <w:tcPr>
            <w:tcW w:w="1140" w:type="dxa"/>
            <w:tcBorders>
              <w:tl2br w:val="nil"/>
              <w:tr2bl w:val="nil"/>
            </w:tcBorders>
            <w:vAlign w:val="center"/>
          </w:tcPr>
          <w:p>
            <w:pPr>
              <w:pStyle w:val="24"/>
              <w:bidi w:val="0"/>
              <w:rPr>
                <w:rFonts w:hint="default"/>
                <w:lang w:val="en-US" w:eastAsia="zh-CN"/>
              </w:rPr>
            </w:pPr>
            <w:r>
              <w:rPr>
                <w:rFonts w:hint="eastAsia"/>
                <w:lang w:val="en-US" w:eastAsia="zh-CN"/>
              </w:rPr>
              <w:t>9.6~83.1</w:t>
            </w:r>
          </w:p>
        </w:tc>
        <w:tc>
          <w:tcPr>
            <w:tcW w:w="1275" w:type="dxa"/>
            <w:tcBorders>
              <w:tl2br w:val="nil"/>
              <w:tr2bl w:val="nil"/>
            </w:tcBorders>
            <w:vAlign w:val="center"/>
          </w:tcPr>
          <w:p>
            <w:pPr>
              <w:pStyle w:val="24"/>
              <w:bidi w:val="0"/>
              <w:rPr>
                <w:rFonts w:hint="default"/>
                <w:lang w:val="en-US" w:eastAsia="zh-CN"/>
              </w:rPr>
            </w:pPr>
            <w:r>
              <w:rPr>
                <w:rFonts w:hint="eastAsia"/>
                <w:lang w:val="en-US" w:eastAsia="zh-CN"/>
              </w:rPr>
              <w:t>3.24~35.53</w:t>
            </w:r>
          </w:p>
        </w:tc>
        <w:tc>
          <w:tcPr>
            <w:tcW w:w="838" w:type="dxa"/>
            <w:tcBorders>
              <w:tl2br w:val="nil"/>
              <w:tr2bl w:val="nil"/>
            </w:tcBorders>
            <w:vAlign w:val="center"/>
          </w:tcPr>
          <w:p>
            <w:pPr>
              <w:pStyle w:val="24"/>
              <w:bidi w:val="0"/>
              <w:rPr>
                <w:rFonts w:hint="default"/>
                <w:lang w:val="en-US" w:eastAsia="zh-CN"/>
              </w:rPr>
            </w:pPr>
            <w:r>
              <w:rPr>
                <w:rFonts w:hint="eastAsia"/>
                <w:lang w:val="en-US" w:eastAsia="zh-CN"/>
              </w:rPr>
              <w:t>5~15</w:t>
            </w:r>
          </w:p>
        </w:tc>
        <w:tc>
          <w:tcPr>
            <w:tcW w:w="1193" w:type="dxa"/>
            <w:tcBorders>
              <w:tl2br w:val="nil"/>
              <w:tr2bl w:val="nil"/>
            </w:tcBorders>
            <w:vAlign w:val="center"/>
          </w:tcPr>
          <w:p>
            <w:pPr>
              <w:pStyle w:val="24"/>
              <w:bidi w:val="0"/>
              <w:rPr>
                <w:rFonts w:hint="default"/>
                <w:lang w:val="en-US" w:eastAsia="zh-CN"/>
              </w:rPr>
            </w:pPr>
            <w:r>
              <w:rPr>
                <w:rFonts w:hint="eastAsia"/>
                <w:lang w:val="en-US" w:eastAsia="zh-CN"/>
              </w:rPr>
              <w:t>75~245</w:t>
            </w:r>
          </w:p>
        </w:tc>
      </w:tr>
    </w:tbl>
    <w:p>
      <w:pPr>
        <w:pStyle w:val="23"/>
        <w:bidi w:val="0"/>
        <w:jc w:val="both"/>
        <w:outlineLvl w:val="9"/>
        <w:rPr>
          <w:rFonts w:hint="eastAsia"/>
          <w:lang w:val="en-US" w:eastAsia="zh-CN"/>
        </w:rPr>
      </w:pPr>
    </w:p>
    <w:p>
      <w:pPr>
        <w:pStyle w:val="23"/>
        <w:bidi w:val="0"/>
        <w:rPr>
          <w:rFonts w:hint="eastAsia"/>
          <w:lang w:val="en-US" w:eastAsia="zh-CN"/>
        </w:rPr>
        <w:sectPr>
          <w:pgSz w:w="11906" w:h="16838"/>
          <w:pgMar w:top="1417" w:right="1134" w:bottom="1417" w:left="1134" w:header="1417" w:footer="1134" w:gutter="0"/>
          <w:pgBorders>
            <w:top w:val="none" w:sz="0" w:space="0"/>
            <w:left w:val="none" w:sz="0" w:space="0"/>
            <w:bottom w:val="none" w:sz="0" w:space="0"/>
            <w:right w:val="none" w:sz="0" w:space="0"/>
          </w:pgBorders>
          <w:cols w:space="720" w:num="1"/>
          <w:rtlGutter w:val="0"/>
          <w:docGrid w:type="lines" w:linePitch="315" w:charSpace="0"/>
        </w:sectPr>
      </w:pPr>
    </w:p>
    <w:p>
      <w:pPr>
        <w:pStyle w:val="23"/>
        <w:bidi w:val="0"/>
        <w:rPr>
          <w:rFonts w:hint="default"/>
          <w:lang w:val="en-US" w:eastAsia="zh-CN"/>
        </w:rPr>
      </w:pPr>
      <w:r>
        <w:rPr>
          <w:rFonts w:hint="eastAsia"/>
          <w:lang w:val="en-US" w:eastAsia="zh-CN"/>
        </w:rPr>
        <w:t>表9.3.11 项目周边海域生物质量历年监测结果统计一览表  单位：mg/kg</w:t>
      </w:r>
    </w:p>
    <w:tbl>
      <w:tblPr>
        <w:tblStyle w:val="14"/>
        <w:tblW w:w="9281" w:type="dxa"/>
        <w:jc w:val="center"/>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53"/>
        <w:gridCol w:w="855"/>
        <w:gridCol w:w="735"/>
        <w:gridCol w:w="795"/>
        <w:gridCol w:w="795"/>
        <w:gridCol w:w="765"/>
        <w:gridCol w:w="750"/>
        <w:gridCol w:w="975"/>
        <w:gridCol w:w="918"/>
        <w:gridCol w:w="819"/>
        <w:gridCol w:w="821"/>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restart"/>
            <w:tcBorders>
              <w:tl2br w:val="nil"/>
              <w:tr2bl w:val="nil"/>
            </w:tcBorders>
            <w:noWrap w:val="0"/>
            <w:vAlign w:val="center"/>
          </w:tcPr>
          <w:p>
            <w:pPr>
              <w:pStyle w:val="24"/>
              <w:bidi w:val="0"/>
              <w:rPr>
                <w:rFonts w:hint="eastAsia"/>
                <w:lang w:val="en-US" w:eastAsia="zh-CN"/>
              </w:rPr>
            </w:pPr>
            <w:r>
              <w:rPr>
                <w:rFonts w:hint="eastAsia"/>
                <w:lang w:val="en-US" w:eastAsia="zh-CN"/>
              </w:rPr>
              <w:t>监测时间</w:t>
            </w:r>
          </w:p>
        </w:tc>
        <w:tc>
          <w:tcPr>
            <w:tcW w:w="8228" w:type="dxa"/>
            <w:gridSpan w:val="10"/>
            <w:tcBorders>
              <w:tl2br w:val="nil"/>
              <w:tr2bl w:val="nil"/>
            </w:tcBorders>
            <w:noWrap w:val="0"/>
            <w:vAlign w:val="center"/>
          </w:tcPr>
          <w:p>
            <w:pPr>
              <w:pStyle w:val="24"/>
              <w:bidi w:val="0"/>
              <w:rPr>
                <w:rFonts w:hint="eastAsia"/>
                <w:lang w:val="en-US" w:eastAsia="zh-CN"/>
              </w:rPr>
            </w:pPr>
            <w:r>
              <w:rPr>
                <w:rFonts w:hint="eastAsia"/>
                <w:lang w:val="en-US" w:eastAsia="zh-CN"/>
              </w:rPr>
              <w:t>检测项目及检测结果</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continue"/>
            <w:tcBorders>
              <w:tl2br w:val="nil"/>
              <w:tr2bl w:val="nil"/>
            </w:tcBorders>
            <w:noWrap w:val="0"/>
            <w:vAlign w:val="center"/>
          </w:tcPr>
          <w:p>
            <w:pPr>
              <w:pStyle w:val="24"/>
              <w:bidi w:val="0"/>
              <w:rPr>
                <w:rFonts w:hint="eastAsia"/>
                <w:lang w:val="en-US" w:eastAsia="zh-CN"/>
              </w:rPr>
            </w:pPr>
          </w:p>
        </w:tc>
        <w:tc>
          <w:tcPr>
            <w:tcW w:w="855" w:type="dxa"/>
            <w:tcBorders>
              <w:tl2br w:val="nil"/>
              <w:tr2bl w:val="nil"/>
            </w:tcBorders>
            <w:noWrap w:val="0"/>
            <w:vAlign w:val="center"/>
          </w:tcPr>
          <w:p>
            <w:pPr>
              <w:pStyle w:val="24"/>
              <w:bidi w:val="0"/>
              <w:rPr>
                <w:rFonts w:hint="eastAsia"/>
                <w:lang w:val="en-US" w:eastAsia="zh-CN"/>
              </w:rPr>
            </w:pPr>
            <w:r>
              <w:rPr>
                <w:rFonts w:hint="eastAsia"/>
                <w:lang w:val="en-US" w:eastAsia="zh-CN"/>
              </w:rPr>
              <w:t>统计</w:t>
            </w:r>
          </w:p>
          <w:p>
            <w:pPr>
              <w:pStyle w:val="24"/>
              <w:bidi w:val="0"/>
              <w:rPr>
                <w:rFonts w:hint="eastAsia"/>
                <w:lang w:val="en-US" w:eastAsia="zh-CN"/>
              </w:rPr>
            </w:pPr>
            <w:r>
              <w:rPr>
                <w:rFonts w:hint="eastAsia"/>
                <w:lang w:val="en-US" w:eastAsia="zh-CN"/>
              </w:rPr>
              <w:t>特征值</w:t>
            </w:r>
          </w:p>
        </w:tc>
        <w:tc>
          <w:tcPr>
            <w:tcW w:w="735" w:type="dxa"/>
            <w:tcBorders>
              <w:tl2br w:val="nil"/>
              <w:tr2bl w:val="nil"/>
            </w:tcBorders>
            <w:noWrap w:val="0"/>
            <w:vAlign w:val="center"/>
          </w:tcPr>
          <w:p>
            <w:pPr>
              <w:pStyle w:val="24"/>
              <w:bidi w:val="0"/>
              <w:rPr>
                <w:rFonts w:hint="eastAsia"/>
                <w:lang w:val="en-US" w:eastAsia="zh-CN"/>
              </w:rPr>
            </w:pPr>
            <w:r>
              <w:rPr>
                <w:rFonts w:hint="eastAsia"/>
                <w:lang w:val="en-US" w:eastAsia="zh-CN"/>
              </w:rPr>
              <w:t>总汞</w:t>
            </w:r>
          </w:p>
        </w:tc>
        <w:tc>
          <w:tcPr>
            <w:tcW w:w="795" w:type="dxa"/>
            <w:tcBorders>
              <w:tl2br w:val="nil"/>
              <w:tr2bl w:val="nil"/>
            </w:tcBorders>
            <w:noWrap w:val="0"/>
            <w:vAlign w:val="center"/>
          </w:tcPr>
          <w:p>
            <w:pPr>
              <w:pStyle w:val="24"/>
              <w:bidi w:val="0"/>
              <w:rPr>
                <w:rFonts w:hint="eastAsia"/>
                <w:lang w:val="en-US" w:eastAsia="zh-CN"/>
              </w:rPr>
            </w:pPr>
            <w:r>
              <w:rPr>
                <w:rFonts w:hint="eastAsia"/>
                <w:lang w:val="en-US" w:eastAsia="zh-CN"/>
              </w:rPr>
              <w:t>镉</w:t>
            </w:r>
          </w:p>
        </w:tc>
        <w:tc>
          <w:tcPr>
            <w:tcW w:w="795" w:type="dxa"/>
            <w:tcBorders>
              <w:tl2br w:val="nil"/>
              <w:tr2bl w:val="nil"/>
            </w:tcBorders>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铅</w:t>
            </w:r>
          </w:p>
        </w:tc>
        <w:tc>
          <w:tcPr>
            <w:tcW w:w="765" w:type="dxa"/>
            <w:tcBorders>
              <w:tl2br w:val="nil"/>
              <w:tr2bl w:val="nil"/>
            </w:tcBorders>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铬</w:t>
            </w:r>
          </w:p>
        </w:tc>
        <w:tc>
          <w:tcPr>
            <w:tcW w:w="750" w:type="dxa"/>
            <w:tcBorders>
              <w:tl2br w:val="nil"/>
              <w:tr2bl w:val="nil"/>
            </w:tcBorders>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砷</w:t>
            </w:r>
          </w:p>
        </w:tc>
        <w:tc>
          <w:tcPr>
            <w:tcW w:w="975" w:type="dxa"/>
            <w:tcBorders>
              <w:tl2br w:val="nil"/>
              <w:tr2bl w:val="nil"/>
            </w:tcBorders>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铜</w:t>
            </w:r>
          </w:p>
        </w:tc>
        <w:tc>
          <w:tcPr>
            <w:tcW w:w="918" w:type="dxa"/>
            <w:tcBorders>
              <w:tl2br w:val="nil"/>
              <w:tr2bl w:val="nil"/>
            </w:tcBorders>
            <w:noWrap w:val="0"/>
            <w:vAlign w:val="center"/>
          </w:tcPr>
          <w:p>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锌</w:t>
            </w:r>
          </w:p>
        </w:tc>
        <w:tc>
          <w:tcPr>
            <w:tcW w:w="819" w:type="dxa"/>
            <w:tcBorders>
              <w:tl2br w:val="nil"/>
              <w:tr2bl w:val="nil"/>
            </w:tcBorders>
            <w:noWrap w:val="0"/>
            <w:vAlign w:val="center"/>
          </w:tcPr>
          <w:p>
            <w:pPr>
              <w:pStyle w:val="24"/>
              <w:bidi w:val="0"/>
              <w:rPr>
                <w:rFonts w:hint="eastAsia"/>
                <w:lang w:val="en-US" w:eastAsia="zh-CN"/>
              </w:rPr>
            </w:pPr>
            <w:r>
              <w:rPr>
                <w:rFonts w:hint="eastAsia"/>
                <w:lang w:val="en-US" w:eastAsia="zh-CN"/>
              </w:rPr>
              <w:t>石油烃</w:t>
            </w:r>
          </w:p>
        </w:tc>
        <w:tc>
          <w:tcPr>
            <w:tcW w:w="821" w:type="dxa"/>
            <w:tcBorders>
              <w:tl2br w:val="nil"/>
              <w:tr2bl w:val="nil"/>
            </w:tcBorders>
            <w:noWrap w:val="0"/>
            <w:vAlign w:val="center"/>
          </w:tcPr>
          <w:p>
            <w:pPr>
              <w:pStyle w:val="24"/>
              <w:bidi w:val="0"/>
              <w:rPr>
                <w:rFonts w:hint="eastAsia"/>
                <w:lang w:val="en-US" w:eastAsia="zh-CN"/>
              </w:rPr>
            </w:pPr>
            <w:r>
              <w:rPr>
                <w:rFonts w:hint="eastAsia"/>
                <w:lang w:val="en-US" w:eastAsia="zh-CN"/>
              </w:rPr>
              <w:t>苯酚</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restart"/>
            <w:tcBorders>
              <w:tl2br w:val="nil"/>
              <w:tr2bl w:val="nil"/>
            </w:tcBorders>
            <w:noWrap w:val="0"/>
            <w:vAlign w:val="center"/>
          </w:tcPr>
          <w:p>
            <w:pPr>
              <w:pStyle w:val="24"/>
              <w:bidi w:val="0"/>
              <w:rPr>
                <w:rFonts w:hint="default"/>
                <w:lang w:val="en-US" w:eastAsia="zh-CN"/>
              </w:rPr>
            </w:pPr>
            <w:r>
              <w:rPr>
                <w:rFonts w:hint="eastAsia"/>
                <w:lang w:val="en-US" w:eastAsia="zh-CN"/>
              </w:rPr>
              <w:t>2014.11</w:t>
            </w:r>
          </w:p>
        </w:tc>
        <w:tc>
          <w:tcPr>
            <w:tcW w:w="855" w:type="dxa"/>
            <w:tcBorders>
              <w:tl2br w:val="nil"/>
              <w:tr2bl w:val="nil"/>
            </w:tcBorders>
            <w:noWrap w:val="0"/>
            <w:vAlign w:val="center"/>
          </w:tcPr>
          <w:p>
            <w:pPr>
              <w:pStyle w:val="24"/>
              <w:bidi w:val="0"/>
              <w:rPr>
                <w:rFonts w:hint="default"/>
                <w:lang w:val="en-US" w:eastAsia="zh-CN"/>
              </w:rPr>
            </w:pPr>
            <w:r>
              <w:rPr>
                <w:rFonts w:hint="eastAsia"/>
                <w:lang w:val="en-US" w:eastAsia="zh-CN"/>
              </w:rPr>
              <w:t>最小值</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0.01</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0.01</w:t>
            </w:r>
          </w:p>
        </w:tc>
        <w:tc>
          <w:tcPr>
            <w:tcW w:w="795"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0.03</w:t>
            </w:r>
          </w:p>
        </w:tc>
        <w:tc>
          <w:tcPr>
            <w:tcW w:w="765"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0.02</w:t>
            </w:r>
          </w:p>
        </w:tc>
        <w:tc>
          <w:tcPr>
            <w:tcW w:w="750"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0.97</w:t>
            </w:r>
          </w:p>
        </w:tc>
        <w:tc>
          <w:tcPr>
            <w:tcW w:w="975"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0.23</w:t>
            </w:r>
          </w:p>
        </w:tc>
        <w:tc>
          <w:tcPr>
            <w:tcW w:w="918"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3.21</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0.33</w:t>
            </w:r>
          </w:p>
        </w:tc>
        <w:tc>
          <w:tcPr>
            <w:tcW w:w="821" w:type="dxa"/>
            <w:tcBorders>
              <w:tl2br w:val="nil"/>
              <w:tr2bl w:val="nil"/>
            </w:tcBorders>
            <w:noWrap w:val="0"/>
            <w:vAlign w:val="center"/>
          </w:tcPr>
          <w:p>
            <w:pPr>
              <w:pStyle w:val="24"/>
              <w:bidi w:val="0"/>
              <w:rPr>
                <w:rFonts w:hint="default"/>
                <w:lang w:val="en-US" w:eastAsia="zh-CN"/>
              </w:rPr>
            </w:pPr>
            <w:r>
              <w:rPr>
                <w:rFonts w:hint="eastAsia"/>
                <w:lang w:val="en-US" w:eastAsia="zh-CN"/>
              </w:rPr>
              <w:t>0.13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continue"/>
            <w:tcBorders>
              <w:tl2br w:val="nil"/>
              <w:tr2bl w:val="nil"/>
            </w:tcBorders>
            <w:noWrap w:val="0"/>
            <w:vAlign w:val="center"/>
          </w:tcPr>
          <w:p>
            <w:pPr>
              <w:pStyle w:val="24"/>
              <w:bidi w:val="0"/>
              <w:rPr>
                <w:rFonts w:hint="eastAsia"/>
                <w:lang w:val="en-US" w:eastAsia="zh-CN"/>
              </w:rPr>
            </w:pPr>
          </w:p>
        </w:tc>
        <w:tc>
          <w:tcPr>
            <w:tcW w:w="855" w:type="dxa"/>
            <w:tcBorders>
              <w:tl2br w:val="nil"/>
              <w:tr2bl w:val="nil"/>
            </w:tcBorders>
            <w:noWrap w:val="0"/>
            <w:vAlign w:val="center"/>
          </w:tcPr>
          <w:p>
            <w:pPr>
              <w:pStyle w:val="24"/>
              <w:bidi w:val="0"/>
              <w:rPr>
                <w:rFonts w:hint="eastAsia"/>
                <w:lang w:val="en-US" w:eastAsia="zh-CN"/>
              </w:rPr>
            </w:pPr>
            <w:r>
              <w:rPr>
                <w:rFonts w:hint="eastAsia"/>
                <w:lang w:val="en-US" w:eastAsia="zh-CN"/>
              </w:rPr>
              <w:t>最大值</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0.21</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0.86</w:t>
            </w:r>
          </w:p>
        </w:tc>
        <w:tc>
          <w:tcPr>
            <w:tcW w:w="795"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2.19</w:t>
            </w:r>
          </w:p>
        </w:tc>
        <w:tc>
          <w:tcPr>
            <w:tcW w:w="765"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1.86</w:t>
            </w:r>
          </w:p>
        </w:tc>
        <w:tc>
          <w:tcPr>
            <w:tcW w:w="750"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12.98</w:t>
            </w:r>
          </w:p>
        </w:tc>
        <w:tc>
          <w:tcPr>
            <w:tcW w:w="975"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124.47（牡蛎）</w:t>
            </w:r>
          </w:p>
        </w:tc>
        <w:tc>
          <w:tcPr>
            <w:tcW w:w="918" w:type="dxa"/>
            <w:tcBorders>
              <w:tl2br w:val="nil"/>
              <w:tr2bl w:val="nil"/>
            </w:tcBorders>
            <w:noWrap w:val="0"/>
            <w:vAlign w:val="center"/>
          </w:tcPr>
          <w:p>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181.96（牡蛎）</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45.38</w:t>
            </w:r>
          </w:p>
        </w:tc>
        <w:tc>
          <w:tcPr>
            <w:tcW w:w="821" w:type="dxa"/>
            <w:tcBorders>
              <w:tl2br w:val="nil"/>
              <w:tr2bl w:val="nil"/>
            </w:tcBorders>
            <w:noWrap w:val="0"/>
            <w:vAlign w:val="center"/>
          </w:tcPr>
          <w:p>
            <w:pPr>
              <w:pStyle w:val="24"/>
              <w:bidi w:val="0"/>
              <w:rPr>
                <w:rFonts w:hint="default"/>
                <w:lang w:val="en-US" w:eastAsia="zh-CN"/>
              </w:rPr>
            </w:pPr>
            <w:r>
              <w:rPr>
                <w:rFonts w:hint="eastAsia"/>
                <w:lang w:val="en-US" w:eastAsia="zh-CN"/>
              </w:rPr>
              <w:t>0.64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restart"/>
            <w:tcBorders>
              <w:tl2br w:val="nil"/>
              <w:tr2bl w:val="nil"/>
            </w:tcBorders>
            <w:noWrap w:val="0"/>
            <w:vAlign w:val="center"/>
          </w:tcPr>
          <w:p>
            <w:pPr>
              <w:pStyle w:val="24"/>
              <w:bidi w:val="0"/>
              <w:rPr>
                <w:rFonts w:hint="default"/>
                <w:lang w:val="en-US" w:eastAsia="zh-CN"/>
              </w:rPr>
            </w:pPr>
            <w:r>
              <w:rPr>
                <w:rFonts w:hint="eastAsia"/>
                <w:lang w:val="en-US" w:eastAsia="zh-CN"/>
              </w:rPr>
              <w:t>2017.09</w:t>
            </w:r>
          </w:p>
        </w:tc>
        <w:tc>
          <w:tcPr>
            <w:tcW w:w="855" w:type="dxa"/>
            <w:tcBorders>
              <w:tl2br w:val="nil"/>
              <w:tr2bl w:val="nil"/>
            </w:tcBorders>
            <w:noWrap w:val="0"/>
            <w:vAlign w:val="center"/>
          </w:tcPr>
          <w:p>
            <w:pPr>
              <w:pStyle w:val="24"/>
              <w:bidi w:val="0"/>
              <w:rPr>
                <w:rFonts w:hint="eastAsia"/>
                <w:lang w:val="en-US" w:eastAsia="zh-CN"/>
              </w:rPr>
            </w:pPr>
            <w:r>
              <w:rPr>
                <w:rFonts w:hint="eastAsia"/>
                <w:lang w:val="en-US" w:eastAsia="zh-CN"/>
              </w:rPr>
              <w:t>最小值</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0.007</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0.166</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0.05</w:t>
            </w:r>
          </w:p>
        </w:tc>
        <w:tc>
          <w:tcPr>
            <w:tcW w:w="765" w:type="dxa"/>
            <w:tcBorders>
              <w:tl2br w:val="nil"/>
              <w:tr2bl w:val="nil"/>
            </w:tcBorders>
            <w:noWrap w:val="0"/>
            <w:vAlign w:val="center"/>
          </w:tcPr>
          <w:p>
            <w:pPr>
              <w:pStyle w:val="24"/>
              <w:bidi w:val="0"/>
              <w:rPr>
                <w:rFonts w:hint="default"/>
                <w:lang w:val="en-US" w:eastAsia="zh-CN"/>
              </w:rPr>
            </w:pPr>
            <w:r>
              <w:rPr>
                <w:rFonts w:hint="eastAsia"/>
                <w:lang w:val="en-US" w:eastAsia="zh-CN"/>
              </w:rPr>
              <w:t>0.37</w:t>
            </w:r>
          </w:p>
        </w:tc>
        <w:tc>
          <w:tcPr>
            <w:tcW w:w="750" w:type="dxa"/>
            <w:tcBorders>
              <w:tl2br w:val="nil"/>
              <w:tr2bl w:val="nil"/>
            </w:tcBorders>
            <w:noWrap w:val="0"/>
            <w:vAlign w:val="center"/>
          </w:tcPr>
          <w:p>
            <w:pPr>
              <w:pStyle w:val="24"/>
              <w:bidi w:val="0"/>
              <w:rPr>
                <w:rFonts w:hint="default"/>
                <w:lang w:val="en-US" w:eastAsia="zh-CN"/>
              </w:rPr>
            </w:pPr>
            <w:r>
              <w:rPr>
                <w:rFonts w:hint="eastAsia"/>
                <w:lang w:val="en-US" w:eastAsia="zh-CN"/>
              </w:rPr>
              <w:t>1.26</w:t>
            </w:r>
          </w:p>
        </w:tc>
        <w:tc>
          <w:tcPr>
            <w:tcW w:w="975" w:type="dxa"/>
            <w:tcBorders>
              <w:tl2br w:val="nil"/>
              <w:tr2bl w:val="nil"/>
            </w:tcBorders>
            <w:noWrap w:val="0"/>
            <w:vAlign w:val="center"/>
          </w:tcPr>
          <w:p>
            <w:pPr>
              <w:pStyle w:val="24"/>
              <w:bidi w:val="0"/>
              <w:rPr>
                <w:rFonts w:hint="default"/>
                <w:lang w:val="en-US" w:eastAsia="zh-CN"/>
              </w:rPr>
            </w:pPr>
            <w:r>
              <w:rPr>
                <w:rFonts w:hint="eastAsia"/>
                <w:lang w:val="en-US" w:eastAsia="zh-CN"/>
              </w:rPr>
              <w:t>21.58</w:t>
            </w:r>
          </w:p>
        </w:tc>
        <w:tc>
          <w:tcPr>
            <w:tcW w:w="918" w:type="dxa"/>
            <w:tcBorders>
              <w:tl2br w:val="nil"/>
              <w:tr2bl w:val="nil"/>
            </w:tcBorders>
            <w:noWrap w:val="0"/>
            <w:vAlign w:val="center"/>
          </w:tcPr>
          <w:p>
            <w:pPr>
              <w:pStyle w:val="24"/>
              <w:bidi w:val="0"/>
              <w:rPr>
                <w:rFonts w:hint="default"/>
                <w:lang w:val="en-US" w:eastAsia="zh-CN"/>
              </w:rPr>
            </w:pPr>
            <w:r>
              <w:rPr>
                <w:rFonts w:hint="eastAsia"/>
                <w:lang w:val="en-US" w:eastAsia="zh-CN"/>
              </w:rPr>
              <w:t>51.7</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5.50</w:t>
            </w:r>
          </w:p>
        </w:tc>
        <w:tc>
          <w:tcPr>
            <w:tcW w:w="821" w:type="dxa"/>
            <w:tcBorders>
              <w:tl2br w:val="nil"/>
              <w:tr2bl w:val="nil"/>
            </w:tcBorders>
            <w:noWrap w:val="0"/>
            <w:vAlign w:val="center"/>
          </w:tcPr>
          <w:p>
            <w:pPr>
              <w:pStyle w:val="24"/>
              <w:bidi w:val="0"/>
              <w:rPr>
                <w:rFonts w:hint="default"/>
                <w:lang w:val="en-US" w:eastAsia="zh-CN"/>
              </w:rPr>
            </w:pPr>
            <w:r>
              <w:rPr>
                <w:rFonts w:hint="eastAsia"/>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continue"/>
            <w:tcBorders>
              <w:tl2br w:val="nil"/>
              <w:tr2bl w:val="nil"/>
            </w:tcBorders>
            <w:noWrap w:val="0"/>
            <w:vAlign w:val="center"/>
          </w:tcPr>
          <w:p>
            <w:pPr>
              <w:pStyle w:val="24"/>
              <w:bidi w:val="0"/>
              <w:rPr>
                <w:rFonts w:hint="eastAsia"/>
                <w:lang w:val="en-US" w:eastAsia="zh-CN"/>
              </w:rPr>
            </w:pPr>
          </w:p>
        </w:tc>
        <w:tc>
          <w:tcPr>
            <w:tcW w:w="855" w:type="dxa"/>
            <w:tcBorders>
              <w:tl2br w:val="nil"/>
              <w:tr2bl w:val="nil"/>
            </w:tcBorders>
            <w:noWrap w:val="0"/>
            <w:vAlign w:val="center"/>
          </w:tcPr>
          <w:p>
            <w:pPr>
              <w:pStyle w:val="24"/>
              <w:bidi w:val="0"/>
              <w:rPr>
                <w:rFonts w:hint="eastAsia"/>
                <w:lang w:val="en-US" w:eastAsia="zh-CN"/>
              </w:rPr>
            </w:pPr>
            <w:r>
              <w:rPr>
                <w:rFonts w:hint="eastAsia"/>
                <w:lang w:val="en-US" w:eastAsia="zh-CN"/>
              </w:rPr>
              <w:t>最大值</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0.009</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0.180</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0.06</w:t>
            </w:r>
          </w:p>
        </w:tc>
        <w:tc>
          <w:tcPr>
            <w:tcW w:w="765" w:type="dxa"/>
            <w:tcBorders>
              <w:tl2br w:val="nil"/>
              <w:tr2bl w:val="nil"/>
            </w:tcBorders>
            <w:noWrap w:val="0"/>
            <w:vAlign w:val="center"/>
          </w:tcPr>
          <w:p>
            <w:pPr>
              <w:pStyle w:val="24"/>
              <w:bidi w:val="0"/>
              <w:rPr>
                <w:rFonts w:hint="default"/>
                <w:lang w:val="en-US" w:eastAsia="zh-CN"/>
              </w:rPr>
            </w:pPr>
            <w:r>
              <w:rPr>
                <w:rFonts w:hint="eastAsia"/>
                <w:lang w:val="en-US" w:eastAsia="zh-CN"/>
              </w:rPr>
              <w:t>0.38</w:t>
            </w:r>
          </w:p>
        </w:tc>
        <w:tc>
          <w:tcPr>
            <w:tcW w:w="750" w:type="dxa"/>
            <w:tcBorders>
              <w:tl2br w:val="nil"/>
              <w:tr2bl w:val="nil"/>
            </w:tcBorders>
            <w:noWrap w:val="0"/>
            <w:vAlign w:val="center"/>
          </w:tcPr>
          <w:p>
            <w:pPr>
              <w:pStyle w:val="24"/>
              <w:bidi w:val="0"/>
              <w:rPr>
                <w:rFonts w:hint="default"/>
                <w:lang w:val="en-US" w:eastAsia="zh-CN"/>
              </w:rPr>
            </w:pPr>
            <w:r>
              <w:rPr>
                <w:rFonts w:hint="eastAsia"/>
                <w:lang w:val="en-US" w:eastAsia="zh-CN"/>
              </w:rPr>
              <w:t>2.40</w:t>
            </w:r>
          </w:p>
        </w:tc>
        <w:tc>
          <w:tcPr>
            <w:tcW w:w="975" w:type="dxa"/>
            <w:tcBorders>
              <w:tl2br w:val="nil"/>
              <w:tr2bl w:val="nil"/>
            </w:tcBorders>
            <w:noWrap w:val="0"/>
            <w:vAlign w:val="center"/>
          </w:tcPr>
          <w:p>
            <w:pPr>
              <w:pStyle w:val="24"/>
              <w:bidi w:val="0"/>
              <w:rPr>
                <w:rFonts w:hint="default"/>
                <w:lang w:val="en-US" w:eastAsia="zh-CN"/>
              </w:rPr>
            </w:pPr>
            <w:r>
              <w:rPr>
                <w:rFonts w:hint="eastAsia"/>
                <w:lang w:val="en-US" w:eastAsia="zh-CN"/>
              </w:rPr>
              <w:t>24.94</w:t>
            </w:r>
          </w:p>
        </w:tc>
        <w:tc>
          <w:tcPr>
            <w:tcW w:w="918" w:type="dxa"/>
            <w:tcBorders>
              <w:tl2br w:val="nil"/>
              <w:tr2bl w:val="nil"/>
            </w:tcBorders>
            <w:noWrap w:val="0"/>
            <w:vAlign w:val="center"/>
          </w:tcPr>
          <w:p>
            <w:pPr>
              <w:pStyle w:val="24"/>
              <w:bidi w:val="0"/>
              <w:rPr>
                <w:rFonts w:hint="default"/>
                <w:lang w:val="en-US" w:eastAsia="zh-CN"/>
              </w:rPr>
            </w:pPr>
            <w:r>
              <w:rPr>
                <w:rFonts w:hint="eastAsia"/>
                <w:lang w:val="en-US" w:eastAsia="zh-CN"/>
              </w:rPr>
              <w:t>56.9</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12.24</w:t>
            </w:r>
          </w:p>
        </w:tc>
        <w:tc>
          <w:tcPr>
            <w:tcW w:w="821" w:type="dxa"/>
            <w:tcBorders>
              <w:tl2br w:val="nil"/>
              <w:tr2bl w:val="nil"/>
            </w:tcBorders>
            <w:noWrap w:val="0"/>
            <w:vAlign w:val="center"/>
          </w:tcPr>
          <w:p>
            <w:pPr>
              <w:pStyle w:val="24"/>
              <w:bidi w:val="0"/>
              <w:rPr>
                <w:rFonts w:hint="eastAsia"/>
                <w:lang w:val="en-US" w:eastAsia="zh-CN"/>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restart"/>
            <w:tcBorders>
              <w:tl2br w:val="nil"/>
              <w:tr2bl w:val="nil"/>
            </w:tcBorders>
            <w:noWrap w:val="0"/>
            <w:vAlign w:val="center"/>
          </w:tcPr>
          <w:p>
            <w:pPr>
              <w:pStyle w:val="24"/>
              <w:bidi w:val="0"/>
              <w:rPr>
                <w:rFonts w:hint="default"/>
                <w:lang w:val="en-US" w:eastAsia="zh-CN"/>
              </w:rPr>
            </w:pPr>
            <w:r>
              <w:rPr>
                <w:rFonts w:hint="eastAsia"/>
                <w:lang w:val="en-US" w:eastAsia="zh-CN"/>
              </w:rPr>
              <w:t>2018.09</w:t>
            </w:r>
          </w:p>
        </w:tc>
        <w:tc>
          <w:tcPr>
            <w:tcW w:w="855" w:type="dxa"/>
            <w:tcBorders>
              <w:tl2br w:val="nil"/>
              <w:tr2bl w:val="nil"/>
            </w:tcBorders>
            <w:noWrap w:val="0"/>
            <w:vAlign w:val="center"/>
          </w:tcPr>
          <w:p>
            <w:pPr>
              <w:pStyle w:val="24"/>
              <w:bidi w:val="0"/>
              <w:rPr>
                <w:rFonts w:hint="eastAsia"/>
                <w:lang w:val="en-US" w:eastAsia="zh-CN"/>
              </w:rPr>
            </w:pPr>
            <w:r>
              <w:rPr>
                <w:rFonts w:hint="eastAsia"/>
                <w:lang w:val="en-US" w:eastAsia="zh-CN"/>
              </w:rPr>
              <w:t>最小值</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0.019</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0.440</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ND</w:t>
            </w:r>
          </w:p>
        </w:tc>
        <w:tc>
          <w:tcPr>
            <w:tcW w:w="765" w:type="dxa"/>
            <w:tcBorders>
              <w:tl2br w:val="nil"/>
              <w:tr2bl w:val="nil"/>
            </w:tcBorders>
            <w:noWrap w:val="0"/>
            <w:vAlign w:val="center"/>
          </w:tcPr>
          <w:p>
            <w:pPr>
              <w:pStyle w:val="24"/>
              <w:bidi w:val="0"/>
              <w:rPr>
                <w:rFonts w:hint="default"/>
                <w:lang w:val="en-US" w:eastAsia="zh-CN"/>
              </w:rPr>
            </w:pPr>
            <w:r>
              <w:rPr>
                <w:rFonts w:hint="eastAsia"/>
                <w:lang w:val="en-US" w:eastAsia="zh-CN"/>
              </w:rPr>
              <w:t>0.20</w:t>
            </w:r>
          </w:p>
        </w:tc>
        <w:tc>
          <w:tcPr>
            <w:tcW w:w="750" w:type="dxa"/>
            <w:tcBorders>
              <w:tl2br w:val="nil"/>
              <w:tr2bl w:val="nil"/>
            </w:tcBorders>
            <w:noWrap w:val="0"/>
            <w:vAlign w:val="center"/>
          </w:tcPr>
          <w:p>
            <w:pPr>
              <w:pStyle w:val="24"/>
              <w:bidi w:val="0"/>
              <w:rPr>
                <w:rFonts w:hint="default"/>
                <w:lang w:val="en-US" w:eastAsia="zh-CN"/>
              </w:rPr>
            </w:pPr>
            <w:r>
              <w:rPr>
                <w:rFonts w:hint="eastAsia"/>
                <w:lang w:val="en-US" w:eastAsia="zh-CN"/>
              </w:rPr>
              <w:t>0.80</w:t>
            </w:r>
          </w:p>
        </w:tc>
        <w:tc>
          <w:tcPr>
            <w:tcW w:w="975" w:type="dxa"/>
            <w:tcBorders>
              <w:tl2br w:val="nil"/>
              <w:tr2bl w:val="nil"/>
            </w:tcBorders>
            <w:noWrap w:val="0"/>
            <w:vAlign w:val="center"/>
          </w:tcPr>
          <w:p>
            <w:pPr>
              <w:pStyle w:val="24"/>
              <w:bidi w:val="0"/>
              <w:rPr>
                <w:rFonts w:hint="default"/>
                <w:lang w:val="en-US" w:eastAsia="zh-CN"/>
              </w:rPr>
            </w:pPr>
            <w:r>
              <w:rPr>
                <w:rFonts w:hint="eastAsia"/>
                <w:lang w:val="en-US" w:eastAsia="zh-CN"/>
              </w:rPr>
              <w:t>10.19</w:t>
            </w:r>
          </w:p>
        </w:tc>
        <w:tc>
          <w:tcPr>
            <w:tcW w:w="918" w:type="dxa"/>
            <w:tcBorders>
              <w:tl2br w:val="nil"/>
              <w:tr2bl w:val="nil"/>
            </w:tcBorders>
            <w:noWrap w:val="0"/>
            <w:vAlign w:val="center"/>
          </w:tcPr>
          <w:p>
            <w:pPr>
              <w:pStyle w:val="24"/>
              <w:bidi w:val="0"/>
              <w:rPr>
                <w:rFonts w:hint="default"/>
                <w:lang w:val="en-US" w:eastAsia="zh-CN"/>
              </w:rPr>
            </w:pPr>
            <w:r>
              <w:rPr>
                <w:rFonts w:hint="eastAsia"/>
                <w:lang w:val="en-US" w:eastAsia="zh-CN"/>
              </w:rPr>
              <w:t>41.1</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10.84</w:t>
            </w:r>
          </w:p>
        </w:tc>
        <w:tc>
          <w:tcPr>
            <w:tcW w:w="821" w:type="dxa"/>
            <w:tcBorders>
              <w:tl2br w:val="nil"/>
              <w:tr2bl w:val="nil"/>
            </w:tcBorders>
            <w:noWrap w:val="0"/>
            <w:vAlign w:val="center"/>
          </w:tcPr>
          <w:p>
            <w:pPr>
              <w:pStyle w:val="24"/>
              <w:bidi w:val="0"/>
              <w:rPr>
                <w:rFonts w:hint="default"/>
                <w:lang w:val="en-US" w:eastAsia="zh-CN"/>
              </w:rPr>
            </w:pPr>
            <w:r>
              <w:rPr>
                <w:rFonts w:hint="eastAsia"/>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053" w:type="dxa"/>
            <w:vMerge w:val="continue"/>
            <w:tcBorders>
              <w:tl2br w:val="nil"/>
              <w:tr2bl w:val="nil"/>
            </w:tcBorders>
            <w:noWrap w:val="0"/>
            <w:vAlign w:val="center"/>
          </w:tcPr>
          <w:p>
            <w:pPr>
              <w:pStyle w:val="24"/>
              <w:bidi w:val="0"/>
              <w:rPr>
                <w:rFonts w:hint="eastAsia"/>
                <w:lang w:val="en-US" w:eastAsia="zh-CN"/>
              </w:rPr>
            </w:pPr>
          </w:p>
        </w:tc>
        <w:tc>
          <w:tcPr>
            <w:tcW w:w="855" w:type="dxa"/>
            <w:tcBorders>
              <w:tl2br w:val="nil"/>
              <w:tr2bl w:val="nil"/>
            </w:tcBorders>
            <w:noWrap w:val="0"/>
            <w:vAlign w:val="center"/>
          </w:tcPr>
          <w:p>
            <w:pPr>
              <w:pStyle w:val="24"/>
              <w:bidi w:val="0"/>
              <w:rPr>
                <w:rFonts w:hint="eastAsia"/>
                <w:lang w:val="en-US" w:eastAsia="zh-CN"/>
              </w:rPr>
            </w:pPr>
            <w:r>
              <w:rPr>
                <w:rFonts w:hint="eastAsia"/>
                <w:lang w:val="en-US" w:eastAsia="zh-CN"/>
              </w:rPr>
              <w:t>最大值</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0.020</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0.457</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ND</w:t>
            </w:r>
          </w:p>
        </w:tc>
        <w:tc>
          <w:tcPr>
            <w:tcW w:w="765" w:type="dxa"/>
            <w:tcBorders>
              <w:tl2br w:val="nil"/>
              <w:tr2bl w:val="nil"/>
            </w:tcBorders>
            <w:noWrap w:val="0"/>
            <w:vAlign w:val="center"/>
          </w:tcPr>
          <w:p>
            <w:pPr>
              <w:pStyle w:val="24"/>
              <w:bidi w:val="0"/>
              <w:rPr>
                <w:rFonts w:hint="default"/>
                <w:lang w:val="en-US" w:eastAsia="zh-CN"/>
              </w:rPr>
            </w:pPr>
            <w:r>
              <w:rPr>
                <w:rFonts w:hint="eastAsia"/>
                <w:lang w:val="en-US" w:eastAsia="zh-CN"/>
              </w:rPr>
              <w:t>0.26</w:t>
            </w:r>
          </w:p>
        </w:tc>
        <w:tc>
          <w:tcPr>
            <w:tcW w:w="750" w:type="dxa"/>
            <w:tcBorders>
              <w:tl2br w:val="nil"/>
              <w:tr2bl w:val="nil"/>
            </w:tcBorders>
            <w:noWrap w:val="0"/>
            <w:vAlign w:val="center"/>
          </w:tcPr>
          <w:p>
            <w:pPr>
              <w:pStyle w:val="24"/>
              <w:bidi w:val="0"/>
              <w:rPr>
                <w:rFonts w:hint="default"/>
                <w:lang w:val="en-US" w:eastAsia="zh-CN"/>
              </w:rPr>
            </w:pPr>
            <w:r>
              <w:rPr>
                <w:rFonts w:hint="eastAsia"/>
                <w:lang w:val="en-US" w:eastAsia="zh-CN"/>
              </w:rPr>
              <w:t>0.83</w:t>
            </w:r>
          </w:p>
        </w:tc>
        <w:tc>
          <w:tcPr>
            <w:tcW w:w="975" w:type="dxa"/>
            <w:tcBorders>
              <w:tl2br w:val="nil"/>
              <w:tr2bl w:val="nil"/>
            </w:tcBorders>
            <w:noWrap w:val="0"/>
            <w:vAlign w:val="center"/>
          </w:tcPr>
          <w:p>
            <w:pPr>
              <w:pStyle w:val="24"/>
              <w:bidi w:val="0"/>
              <w:rPr>
                <w:rFonts w:hint="default"/>
                <w:lang w:val="en-US" w:eastAsia="zh-CN"/>
              </w:rPr>
            </w:pPr>
            <w:r>
              <w:rPr>
                <w:rFonts w:hint="eastAsia"/>
                <w:lang w:val="en-US" w:eastAsia="zh-CN"/>
              </w:rPr>
              <w:t>12.21</w:t>
            </w:r>
          </w:p>
        </w:tc>
        <w:tc>
          <w:tcPr>
            <w:tcW w:w="918" w:type="dxa"/>
            <w:tcBorders>
              <w:tl2br w:val="nil"/>
              <w:tr2bl w:val="nil"/>
            </w:tcBorders>
            <w:noWrap w:val="0"/>
            <w:vAlign w:val="center"/>
          </w:tcPr>
          <w:p>
            <w:pPr>
              <w:pStyle w:val="24"/>
              <w:bidi w:val="0"/>
              <w:rPr>
                <w:rFonts w:hint="default"/>
                <w:lang w:val="en-US" w:eastAsia="zh-CN"/>
              </w:rPr>
            </w:pPr>
            <w:r>
              <w:rPr>
                <w:rFonts w:hint="eastAsia"/>
                <w:lang w:val="en-US" w:eastAsia="zh-CN"/>
              </w:rPr>
              <w:t>46.5</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11.90</w:t>
            </w:r>
          </w:p>
        </w:tc>
        <w:tc>
          <w:tcPr>
            <w:tcW w:w="821" w:type="dxa"/>
            <w:tcBorders>
              <w:tl2br w:val="nil"/>
              <w:tr2bl w:val="nil"/>
            </w:tcBorders>
            <w:noWrap w:val="0"/>
            <w:vAlign w:val="center"/>
          </w:tcPr>
          <w:p>
            <w:pPr>
              <w:pStyle w:val="24"/>
              <w:bidi w:val="0"/>
              <w:rPr>
                <w:rFonts w:hint="eastAsia"/>
                <w:lang w:val="en-US" w:eastAsia="zh-CN"/>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524" w:hRule="atLeast"/>
          <w:jc w:val="center"/>
        </w:trPr>
        <w:tc>
          <w:tcPr>
            <w:tcW w:w="1053" w:type="dxa"/>
            <w:tcBorders>
              <w:tl2br w:val="nil"/>
              <w:tr2bl w:val="nil"/>
            </w:tcBorders>
            <w:noWrap w:val="0"/>
            <w:vAlign w:val="center"/>
          </w:tcPr>
          <w:p>
            <w:pPr>
              <w:pStyle w:val="24"/>
              <w:bidi w:val="0"/>
              <w:rPr>
                <w:rFonts w:hint="default"/>
                <w:lang w:val="en-US" w:eastAsia="zh-CN"/>
              </w:rPr>
            </w:pPr>
            <w:r>
              <w:rPr>
                <w:rFonts w:hint="eastAsia"/>
                <w:lang w:val="en-US" w:eastAsia="zh-CN"/>
              </w:rPr>
              <w:t>2023.03</w:t>
            </w:r>
          </w:p>
        </w:tc>
        <w:tc>
          <w:tcPr>
            <w:tcW w:w="855" w:type="dxa"/>
            <w:tcBorders>
              <w:tl2br w:val="nil"/>
              <w:tr2bl w:val="nil"/>
            </w:tcBorders>
            <w:noWrap w:val="0"/>
            <w:vAlign w:val="center"/>
          </w:tcPr>
          <w:p>
            <w:pPr>
              <w:pStyle w:val="24"/>
              <w:bidi w:val="0"/>
              <w:rPr>
                <w:rFonts w:hint="eastAsia"/>
                <w:lang w:val="en-US" w:eastAsia="zh-CN"/>
              </w:rPr>
            </w:pPr>
            <w:r>
              <w:rPr>
                <w:rFonts w:hint="eastAsia"/>
                <w:lang w:val="en-US" w:eastAsia="zh-CN"/>
              </w:rPr>
              <w:t>-</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0.019</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0.558</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0.14</w:t>
            </w:r>
          </w:p>
        </w:tc>
        <w:tc>
          <w:tcPr>
            <w:tcW w:w="765" w:type="dxa"/>
            <w:tcBorders>
              <w:tl2br w:val="nil"/>
              <w:tr2bl w:val="nil"/>
            </w:tcBorders>
            <w:noWrap w:val="0"/>
            <w:vAlign w:val="center"/>
          </w:tcPr>
          <w:p>
            <w:pPr>
              <w:pStyle w:val="24"/>
              <w:bidi w:val="0"/>
              <w:rPr>
                <w:rFonts w:hint="default"/>
                <w:lang w:val="en-US" w:eastAsia="zh-CN"/>
              </w:rPr>
            </w:pPr>
            <w:r>
              <w:rPr>
                <w:rFonts w:hint="eastAsia"/>
                <w:lang w:val="en-US" w:eastAsia="zh-CN"/>
              </w:rPr>
              <w:t>0.17</w:t>
            </w:r>
          </w:p>
        </w:tc>
        <w:tc>
          <w:tcPr>
            <w:tcW w:w="750" w:type="dxa"/>
            <w:tcBorders>
              <w:tl2br w:val="nil"/>
              <w:tr2bl w:val="nil"/>
            </w:tcBorders>
            <w:noWrap w:val="0"/>
            <w:vAlign w:val="center"/>
          </w:tcPr>
          <w:p>
            <w:pPr>
              <w:pStyle w:val="24"/>
              <w:bidi w:val="0"/>
              <w:rPr>
                <w:rFonts w:hint="default"/>
                <w:lang w:val="en-US" w:eastAsia="zh-CN"/>
              </w:rPr>
            </w:pPr>
            <w:r>
              <w:rPr>
                <w:rFonts w:hint="eastAsia"/>
                <w:lang w:val="en-US" w:eastAsia="zh-CN"/>
              </w:rPr>
              <w:t>ND</w:t>
            </w:r>
          </w:p>
        </w:tc>
        <w:tc>
          <w:tcPr>
            <w:tcW w:w="975" w:type="dxa"/>
            <w:tcBorders>
              <w:tl2br w:val="nil"/>
              <w:tr2bl w:val="nil"/>
            </w:tcBorders>
            <w:noWrap w:val="0"/>
            <w:vAlign w:val="center"/>
          </w:tcPr>
          <w:p>
            <w:pPr>
              <w:pStyle w:val="24"/>
              <w:bidi w:val="0"/>
              <w:rPr>
                <w:rFonts w:hint="eastAsia"/>
                <w:lang w:val="en-US" w:eastAsia="zh-CN"/>
              </w:rPr>
            </w:pPr>
            <w:r>
              <w:rPr>
                <w:rFonts w:hint="eastAsia"/>
                <w:lang w:val="en-US" w:eastAsia="zh-CN"/>
              </w:rPr>
              <w:t>98.7</w:t>
            </w:r>
          </w:p>
          <w:p>
            <w:pPr>
              <w:pStyle w:val="24"/>
              <w:bidi w:val="0"/>
              <w:rPr>
                <w:rFonts w:hint="default"/>
                <w:lang w:val="en-US" w:eastAsia="zh-CN"/>
              </w:rPr>
            </w:pPr>
            <w:r>
              <w:rPr>
                <w:rFonts w:hint="eastAsia"/>
                <w:lang w:val="en-US" w:eastAsia="zh-CN"/>
              </w:rPr>
              <w:t>（牡蛎）</w:t>
            </w:r>
          </w:p>
        </w:tc>
        <w:tc>
          <w:tcPr>
            <w:tcW w:w="918" w:type="dxa"/>
            <w:tcBorders>
              <w:tl2br w:val="nil"/>
              <w:tr2bl w:val="nil"/>
            </w:tcBorders>
            <w:noWrap w:val="0"/>
            <w:vAlign w:val="center"/>
          </w:tcPr>
          <w:p>
            <w:pPr>
              <w:pStyle w:val="24"/>
              <w:bidi w:val="0"/>
              <w:rPr>
                <w:rFonts w:hint="eastAsia"/>
                <w:lang w:val="en-US" w:eastAsia="zh-CN"/>
              </w:rPr>
            </w:pPr>
            <w:r>
              <w:rPr>
                <w:rFonts w:hint="eastAsia"/>
                <w:lang w:val="en-US" w:eastAsia="zh-CN"/>
              </w:rPr>
              <w:t>182</w:t>
            </w:r>
          </w:p>
          <w:p>
            <w:pPr>
              <w:pStyle w:val="24"/>
              <w:bidi w:val="0"/>
              <w:rPr>
                <w:rFonts w:hint="default"/>
                <w:lang w:val="en-US" w:eastAsia="zh-CN"/>
              </w:rPr>
            </w:pPr>
            <w:r>
              <w:rPr>
                <w:rFonts w:hint="eastAsia"/>
                <w:lang w:val="en-US" w:eastAsia="zh-CN"/>
              </w:rPr>
              <w:t>（牡蛎）</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13.0</w:t>
            </w:r>
          </w:p>
        </w:tc>
        <w:tc>
          <w:tcPr>
            <w:tcW w:w="821" w:type="dxa"/>
            <w:tcBorders>
              <w:tl2br w:val="nil"/>
              <w:tr2bl w:val="nil"/>
            </w:tcBorders>
            <w:noWrap w:val="0"/>
            <w:vAlign w:val="center"/>
          </w:tcPr>
          <w:p>
            <w:pPr>
              <w:pStyle w:val="24"/>
              <w:bidi w:val="0"/>
              <w:rPr>
                <w:rFonts w:hint="default"/>
                <w:lang w:val="en-US" w:eastAsia="zh-CN"/>
              </w:rPr>
            </w:pPr>
            <w:r>
              <w:rPr>
                <w:rFonts w:hint="eastAsia"/>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908" w:type="dxa"/>
            <w:gridSpan w:val="2"/>
            <w:tcBorders>
              <w:tl2br w:val="nil"/>
              <w:tr2bl w:val="nil"/>
            </w:tcBorders>
            <w:noWrap w:val="0"/>
            <w:vAlign w:val="center"/>
          </w:tcPr>
          <w:p>
            <w:pPr>
              <w:pStyle w:val="24"/>
              <w:bidi w:val="0"/>
              <w:rPr>
                <w:rFonts w:hint="eastAsia"/>
                <w:lang w:val="en-US" w:eastAsia="zh-CN"/>
              </w:rPr>
            </w:pPr>
            <w:r>
              <w:rPr>
                <w:rFonts w:hint="eastAsia"/>
                <w:lang w:val="en-US" w:eastAsia="zh-CN"/>
              </w:rPr>
              <w:t>《海洋生物质量》（GB 18421-2001）第二类标准</w:t>
            </w:r>
          </w:p>
        </w:tc>
        <w:tc>
          <w:tcPr>
            <w:tcW w:w="735" w:type="dxa"/>
            <w:tcBorders>
              <w:tl2br w:val="nil"/>
              <w:tr2bl w:val="nil"/>
            </w:tcBorders>
            <w:noWrap w:val="0"/>
            <w:vAlign w:val="center"/>
          </w:tcPr>
          <w:p>
            <w:pPr>
              <w:pStyle w:val="24"/>
              <w:bidi w:val="0"/>
              <w:rPr>
                <w:rFonts w:hint="default"/>
                <w:lang w:val="en-US" w:eastAsia="zh-CN"/>
              </w:rPr>
            </w:pPr>
            <w:r>
              <w:rPr>
                <w:rFonts w:hint="eastAsia"/>
                <w:lang w:val="en-US" w:eastAsia="zh-CN"/>
              </w:rPr>
              <w:t>0.10</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2.0</w:t>
            </w:r>
          </w:p>
        </w:tc>
        <w:tc>
          <w:tcPr>
            <w:tcW w:w="795" w:type="dxa"/>
            <w:tcBorders>
              <w:tl2br w:val="nil"/>
              <w:tr2bl w:val="nil"/>
            </w:tcBorders>
            <w:noWrap w:val="0"/>
            <w:vAlign w:val="center"/>
          </w:tcPr>
          <w:p>
            <w:pPr>
              <w:pStyle w:val="24"/>
              <w:bidi w:val="0"/>
              <w:rPr>
                <w:rFonts w:hint="default"/>
                <w:lang w:val="en-US" w:eastAsia="zh-CN"/>
              </w:rPr>
            </w:pPr>
            <w:r>
              <w:rPr>
                <w:rFonts w:hint="eastAsia"/>
                <w:lang w:val="en-US" w:eastAsia="zh-CN"/>
              </w:rPr>
              <w:t>2.0</w:t>
            </w:r>
          </w:p>
        </w:tc>
        <w:tc>
          <w:tcPr>
            <w:tcW w:w="765" w:type="dxa"/>
            <w:tcBorders>
              <w:tl2br w:val="nil"/>
              <w:tr2bl w:val="nil"/>
            </w:tcBorders>
            <w:noWrap w:val="0"/>
            <w:vAlign w:val="center"/>
          </w:tcPr>
          <w:p>
            <w:pPr>
              <w:pStyle w:val="24"/>
              <w:bidi w:val="0"/>
              <w:rPr>
                <w:rFonts w:hint="default"/>
                <w:lang w:val="en-US" w:eastAsia="zh-CN"/>
              </w:rPr>
            </w:pPr>
            <w:r>
              <w:rPr>
                <w:rFonts w:hint="eastAsia"/>
                <w:lang w:val="en-US" w:eastAsia="zh-CN"/>
              </w:rPr>
              <w:t>2.0</w:t>
            </w:r>
          </w:p>
        </w:tc>
        <w:tc>
          <w:tcPr>
            <w:tcW w:w="750" w:type="dxa"/>
            <w:tcBorders>
              <w:tl2br w:val="nil"/>
              <w:tr2bl w:val="nil"/>
            </w:tcBorders>
            <w:noWrap w:val="0"/>
            <w:vAlign w:val="center"/>
          </w:tcPr>
          <w:p>
            <w:pPr>
              <w:pStyle w:val="24"/>
              <w:bidi w:val="0"/>
              <w:rPr>
                <w:rFonts w:hint="default"/>
                <w:lang w:val="en-US" w:eastAsia="zh-CN"/>
              </w:rPr>
            </w:pPr>
            <w:r>
              <w:rPr>
                <w:rFonts w:hint="eastAsia"/>
                <w:lang w:val="en-US" w:eastAsia="zh-CN"/>
              </w:rPr>
              <w:t>5.0</w:t>
            </w:r>
          </w:p>
        </w:tc>
        <w:tc>
          <w:tcPr>
            <w:tcW w:w="975" w:type="dxa"/>
            <w:tcBorders>
              <w:tl2br w:val="nil"/>
              <w:tr2bl w:val="nil"/>
            </w:tcBorders>
            <w:noWrap w:val="0"/>
            <w:vAlign w:val="center"/>
          </w:tcPr>
          <w:p>
            <w:pPr>
              <w:pStyle w:val="24"/>
              <w:bidi w:val="0"/>
              <w:rPr>
                <w:rFonts w:hint="default"/>
                <w:lang w:val="en-US" w:eastAsia="zh-CN"/>
              </w:rPr>
            </w:pPr>
            <w:r>
              <w:rPr>
                <w:rFonts w:hint="eastAsia"/>
                <w:lang w:val="en-US" w:eastAsia="zh-CN"/>
              </w:rPr>
              <w:t>25</w:t>
            </w:r>
          </w:p>
        </w:tc>
        <w:tc>
          <w:tcPr>
            <w:tcW w:w="918" w:type="dxa"/>
            <w:tcBorders>
              <w:tl2br w:val="nil"/>
              <w:tr2bl w:val="nil"/>
            </w:tcBorders>
            <w:noWrap w:val="0"/>
            <w:vAlign w:val="center"/>
          </w:tcPr>
          <w:p>
            <w:pPr>
              <w:pStyle w:val="24"/>
              <w:bidi w:val="0"/>
              <w:rPr>
                <w:rFonts w:hint="default"/>
                <w:lang w:val="en-US" w:eastAsia="zh-CN"/>
              </w:rPr>
            </w:pPr>
            <w:r>
              <w:rPr>
                <w:rFonts w:hint="eastAsia"/>
                <w:lang w:val="en-US" w:eastAsia="zh-CN"/>
              </w:rPr>
              <w:t>50</w:t>
            </w:r>
          </w:p>
        </w:tc>
        <w:tc>
          <w:tcPr>
            <w:tcW w:w="819" w:type="dxa"/>
            <w:tcBorders>
              <w:tl2br w:val="nil"/>
              <w:tr2bl w:val="nil"/>
            </w:tcBorders>
            <w:noWrap w:val="0"/>
            <w:vAlign w:val="center"/>
          </w:tcPr>
          <w:p>
            <w:pPr>
              <w:pStyle w:val="24"/>
              <w:bidi w:val="0"/>
              <w:rPr>
                <w:rFonts w:hint="default"/>
                <w:lang w:val="en-US" w:eastAsia="zh-CN"/>
              </w:rPr>
            </w:pPr>
            <w:r>
              <w:rPr>
                <w:rFonts w:hint="eastAsia"/>
                <w:lang w:val="en-US" w:eastAsia="zh-CN"/>
              </w:rPr>
              <w:t>50</w:t>
            </w:r>
          </w:p>
        </w:tc>
        <w:tc>
          <w:tcPr>
            <w:tcW w:w="821" w:type="dxa"/>
            <w:tcBorders>
              <w:tl2br w:val="nil"/>
              <w:tr2bl w:val="nil"/>
            </w:tcBorders>
            <w:noWrap w:val="0"/>
            <w:vAlign w:val="center"/>
          </w:tcPr>
          <w:p>
            <w:pPr>
              <w:pStyle w:val="24"/>
              <w:bidi w:val="0"/>
              <w:rPr>
                <w:rFonts w:hint="default"/>
                <w:lang w:val="en-US" w:eastAsia="zh-CN"/>
              </w:rPr>
            </w:pPr>
            <w:r>
              <w:rPr>
                <w:rFonts w:hint="eastAsia"/>
                <w:lang w:val="en-US" w:eastAsia="zh-CN"/>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40" w:hRule="atLeast"/>
          <w:jc w:val="center"/>
        </w:trPr>
        <w:tc>
          <w:tcPr>
            <w:tcW w:w="1908" w:type="dxa"/>
            <w:gridSpan w:val="2"/>
            <w:tcBorders>
              <w:tl2br w:val="nil"/>
              <w:tr2bl w:val="nil"/>
            </w:tcBorders>
            <w:noWrap w:val="0"/>
            <w:vAlign w:val="center"/>
          </w:tcPr>
          <w:p>
            <w:pPr>
              <w:pStyle w:val="24"/>
              <w:bidi w:val="0"/>
              <w:rPr>
                <w:rFonts w:hint="default"/>
                <w:lang w:val="en-US" w:eastAsia="zh-CN"/>
              </w:rPr>
            </w:pPr>
            <w:r>
              <w:rPr>
                <w:rFonts w:hint="eastAsia"/>
                <w:lang w:val="en-US" w:eastAsia="zh-CN"/>
              </w:rPr>
              <w:t>备注</w:t>
            </w:r>
          </w:p>
        </w:tc>
        <w:tc>
          <w:tcPr>
            <w:tcW w:w="7373" w:type="dxa"/>
            <w:gridSpan w:val="9"/>
            <w:tcBorders>
              <w:tl2br w:val="nil"/>
              <w:tr2bl w:val="nil"/>
            </w:tcBorders>
            <w:noWrap w:val="0"/>
            <w:vAlign w:val="center"/>
          </w:tcPr>
          <w:p>
            <w:pPr>
              <w:pStyle w:val="24"/>
              <w:bidi w:val="0"/>
              <w:rPr>
                <w:rFonts w:hint="default"/>
                <w:lang w:val="en-US" w:eastAsia="zh-CN"/>
              </w:rPr>
            </w:pPr>
            <w:r>
              <w:rPr>
                <w:rFonts w:hint="default"/>
                <w:lang w:val="en-US" w:eastAsia="zh-CN"/>
              </w:rPr>
              <w:t>“</w:t>
            </w:r>
            <w:r>
              <w:rPr>
                <w:rFonts w:hint="eastAsia"/>
                <w:lang w:val="en-US" w:eastAsia="zh-CN"/>
              </w:rPr>
              <w:t>/</w:t>
            </w:r>
            <w:r>
              <w:rPr>
                <w:rFonts w:hint="default"/>
                <w:lang w:val="en-US" w:eastAsia="zh-CN"/>
              </w:rPr>
              <w:t>”</w:t>
            </w:r>
            <w:r>
              <w:rPr>
                <w:rFonts w:hint="eastAsia"/>
                <w:lang w:val="en-US" w:eastAsia="zh-CN"/>
              </w:rPr>
              <w:t>表示未进行该项目监测；“ND”表示未检出。</w:t>
            </w:r>
          </w:p>
        </w:tc>
      </w:tr>
    </w:tbl>
    <w:p>
      <w:pPr>
        <w:pStyle w:val="23"/>
        <w:bidi w:val="0"/>
        <w:jc w:val="both"/>
        <w:outlineLvl w:val="9"/>
        <w:rPr>
          <w:rFonts w:hint="eastAsia"/>
          <w:lang w:val="en-US" w:eastAsia="zh-CN"/>
        </w:rPr>
      </w:pPr>
    </w:p>
    <w:p>
      <w:pPr>
        <w:pStyle w:val="23"/>
        <w:bidi w:val="0"/>
        <w:jc w:val="both"/>
        <w:outlineLvl w:val="9"/>
        <w:rPr>
          <w:rFonts w:hint="default"/>
          <w:lang w:val="en-US" w:eastAsia="zh-CN"/>
        </w:rPr>
        <w:sectPr>
          <w:pgSz w:w="11906" w:h="16838"/>
          <w:pgMar w:top="1417" w:right="1417" w:bottom="1417" w:left="1417" w:header="1417" w:footer="1134" w:gutter="0"/>
          <w:pgBorders>
            <w:top w:val="none" w:sz="0" w:space="0"/>
            <w:left w:val="none" w:sz="0" w:space="0"/>
            <w:bottom w:val="none" w:sz="0" w:space="0"/>
            <w:right w:val="none" w:sz="0" w:space="0"/>
          </w:pgBorders>
          <w:cols w:space="720" w:num="1"/>
          <w:rtlGutter w:val="0"/>
          <w:docGrid w:type="lines" w:linePitch="315" w:charSpace="0"/>
        </w:sectPr>
      </w:pPr>
    </w:p>
    <w:p>
      <w:pPr>
        <w:pStyle w:val="21"/>
        <w:numPr>
          <w:ilvl w:val="0"/>
          <w:numId w:val="0"/>
        </w:numPr>
        <w:tabs>
          <w:tab w:val="clear" w:pos="425"/>
        </w:tabs>
        <w:spacing w:before="93" w:beforeLines="30" w:after="124" w:afterLines="40"/>
      </w:pPr>
      <w:bookmarkStart w:id="184" w:name="_Toc31447"/>
      <w:r>
        <w:t>10. 环境管理检查</w:t>
      </w:r>
      <w:bookmarkEnd w:id="184"/>
    </w:p>
    <w:p>
      <w:pPr>
        <w:pStyle w:val="17"/>
      </w:pPr>
      <w:bookmarkStart w:id="185" w:name="_Toc7839"/>
      <w:bookmarkStart w:id="186" w:name="_Toc73906446"/>
      <w:bookmarkStart w:id="187" w:name="_Toc2240"/>
      <w:r>
        <w:t>10.1 环境影响报告书批复落实情况</w:t>
      </w:r>
      <w:bookmarkEnd w:id="185"/>
      <w:bookmarkEnd w:id="186"/>
      <w:bookmarkEnd w:id="187"/>
    </w:p>
    <w:p>
      <w:pPr>
        <w:pStyle w:val="19"/>
        <w:ind w:firstLine="480"/>
      </w:pPr>
      <w:r>
        <w:t>验收监测期间，对项目落实环评批复情况进行了核查，结果见表10.1.1。</w:t>
      </w:r>
    </w:p>
    <w:p>
      <w:pPr>
        <w:pStyle w:val="17"/>
      </w:pPr>
      <w:bookmarkStart w:id="188" w:name="_Toc30287"/>
      <w:bookmarkStart w:id="189" w:name="_Toc26703_WPSOffice_Level1"/>
      <w:bookmarkStart w:id="190" w:name="_Toc26199524"/>
      <w:r>
        <w:t>10.2 环境保护</w:t>
      </w:r>
      <w:r>
        <w:rPr>
          <w:rFonts w:hint="eastAsia"/>
          <w:lang w:eastAsia="zh-Hans"/>
        </w:rPr>
        <w:t>“</w:t>
      </w:r>
      <w:r>
        <w:t>三同时</w:t>
      </w:r>
      <w:r>
        <w:rPr>
          <w:rFonts w:hint="eastAsia"/>
          <w:lang w:eastAsia="zh-Hans"/>
        </w:rPr>
        <w:t>”</w:t>
      </w:r>
      <w:r>
        <w:t>制度执行情况</w:t>
      </w:r>
      <w:bookmarkEnd w:id="188"/>
      <w:bookmarkEnd w:id="189"/>
      <w:bookmarkEnd w:id="190"/>
    </w:p>
    <w:p>
      <w:pPr>
        <w:pStyle w:val="19"/>
        <w:ind w:firstLine="480"/>
      </w:pPr>
      <w:r>
        <w:t>本项目于20</w:t>
      </w:r>
      <w:r>
        <w:rPr>
          <w:rFonts w:hint="eastAsia"/>
          <w:lang w:val="en-US" w:eastAsia="zh-CN"/>
        </w:rPr>
        <w:t>22</w:t>
      </w:r>
      <w:r>
        <w:t>年</w:t>
      </w:r>
      <w:r>
        <w:rPr>
          <w:rFonts w:hint="eastAsia"/>
          <w:lang w:val="en-US" w:eastAsia="zh-CN"/>
        </w:rPr>
        <w:t>7</w:t>
      </w:r>
      <w:r>
        <w:t>月</w:t>
      </w:r>
      <w:r>
        <w:rPr>
          <w:rFonts w:hint="eastAsia"/>
          <w:lang w:val="en-US" w:eastAsia="zh-CN"/>
        </w:rPr>
        <w:t>6</w:t>
      </w:r>
      <w:r>
        <w:t>日取得《</w:t>
      </w:r>
      <w:r>
        <w:rPr>
          <w:rFonts w:hint="eastAsia"/>
          <w:lang w:val="en-US" w:eastAsia="zh-CN"/>
        </w:rPr>
        <w:t>泉州市生态环境局关于</w:t>
      </w:r>
      <w:r>
        <w:t>&lt;</w:t>
      </w:r>
      <w:r>
        <w:rPr>
          <w:rFonts w:hint="eastAsia"/>
          <w:lang w:eastAsia="zh-CN"/>
        </w:rPr>
        <w:t>湄洲湾港斗尾港区斗尾作业区</w:t>
      </w:r>
      <w:r>
        <w:rPr>
          <w:rFonts w:hint="eastAsia"/>
          <w:lang w:val="en-US" w:eastAsia="zh-CN"/>
        </w:rPr>
        <w:t>7#泊位及港丰石化仓储项目货种调整改扩建工程环境影响报告书</w:t>
      </w:r>
      <w:r>
        <w:t>&gt;</w:t>
      </w:r>
      <w:r>
        <w:rPr>
          <w:lang w:val="en-US"/>
        </w:rPr>
        <w:t>的批复意见</w:t>
      </w:r>
      <w:r>
        <w:t>》（</w:t>
      </w:r>
      <w:r>
        <w:rPr>
          <w:rFonts w:hint="eastAsia"/>
          <w:lang w:eastAsia="zh-CN"/>
        </w:rPr>
        <w:t>泉惠环评</w:t>
      </w:r>
      <w:r>
        <w:t>〔20</w:t>
      </w:r>
      <w:r>
        <w:rPr>
          <w:rFonts w:hint="eastAsia"/>
          <w:lang w:val="en-US" w:eastAsia="zh-CN"/>
        </w:rPr>
        <w:t>22</w:t>
      </w:r>
      <w:r>
        <w:t>〕</w:t>
      </w:r>
      <w:r>
        <w:rPr>
          <w:rFonts w:hint="eastAsia"/>
          <w:lang w:eastAsia="zh-CN"/>
        </w:rPr>
        <w:t>书</w:t>
      </w:r>
      <w:r>
        <w:rPr>
          <w:rFonts w:hint="eastAsia"/>
          <w:lang w:val="en-US" w:eastAsia="zh-CN"/>
        </w:rPr>
        <w:t>2</w:t>
      </w:r>
      <w:r>
        <w:t>号）。项目执行了环境保护</w:t>
      </w:r>
      <w:r>
        <w:rPr>
          <w:rFonts w:hint="eastAsia"/>
          <w:lang w:eastAsia="zh-Hans"/>
        </w:rPr>
        <w:t>“</w:t>
      </w:r>
      <w:r>
        <w:t>三同时</w:t>
      </w:r>
      <w:r>
        <w:rPr>
          <w:rFonts w:hint="eastAsia"/>
          <w:lang w:eastAsia="zh-Hans"/>
        </w:rPr>
        <w:t>”</w:t>
      </w:r>
      <w:r>
        <w:t>制度，环保设施与主体工程同时设计、同时施工、同时建成投入使用。</w:t>
      </w:r>
    </w:p>
    <w:p>
      <w:pPr>
        <w:pStyle w:val="19"/>
        <w:ind w:left="0" w:leftChars="0" w:firstLine="0" w:firstLineChars="0"/>
      </w:pPr>
    </w:p>
    <w:p>
      <w:pPr>
        <w:pStyle w:val="23"/>
        <w:jc w:val="both"/>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bidi w:val="0"/>
      </w:pPr>
      <w:r>
        <w:t>表10.1.1 项目环评批复要求落实情况表</w:t>
      </w:r>
    </w:p>
    <w:tbl>
      <w:tblPr>
        <w:tblStyle w:val="14"/>
        <w:tblW w:w="1398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802"/>
        <w:gridCol w:w="5866"/>
        <w:gridCol w:w="5866"/>
        <w:gridCol w:w="144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25" w:hRule="atLeast"/>
          <w:tblHeader/>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序号</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环评批复内容</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落实情况</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与批复相符性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rPr>
        <w:tc>
          <w:tcPr>
            <w:tcW w:w="13980" w:type="dxa"/>
            <w:gridSpan w:val="4"/>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center"/>
              <w:textAlignment w:val="auto"/>
            </w:pPr>
            <w:r>
              <w:rPr>
                <w:rFonts w:hint="eastAsia"/>
                <w:lang w:eastAsia="zh-CN"/>
              </w:rPr>
              <w:t>《湄洲湾港斗尾港区斗尾作业区7#泊位及港丰石化仓储项目货种调整改扩建工程环境影响报告书》批复意见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660"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1</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项目船舶洗舱水、仓储区洗罐废水和废气净化装置</w:t>
            </w:r>
            <w:r>
              <w:rPr>
                <w:rFonts w:hint="eastAsia"/>
                <w:lang w:val="en-US" w:eastAsia="zh-CN"/>
              </w:rPr>
              <w:t>2的废气洗涤废水等废水经收集，依托现有的废水处理设施处理达到《石油化学工业污染物排放标准》（GB31571-2015）表1（直接排放标准）和表3废水中有机特征污染物排放限值后由前方码头与栈桥结合处的临时排污口深水排放。远期废水经预处理达《石油化学工业污染物排放标准》（GB31571-2015）表1（间接排放标准）和表3废水中有机特征污染物排放限值后纳入规划区污水处理厂处理。</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项目船舶洗舱水、仓储区洗罐废水和废气净化装置</w:t>
            </w:r>
            <w:r>
              <w:rPr>
                <w:rFonts w:hint="eastAsia"/>
                <w:lang w:val="en-US" w:eastAsia="zh-CN"/>
              </w:rPr>
              <w:t>2的废气洗涤废水等废水经收集，依托现有的废水处理设施处理。根据监测报告，废水总排口各项指标达到《石油化学工业污染物排放标准》（GB31571-2015）表1（直接排放标准）和表3废水中有机特征污染物排放限值后由前方码头与栈桥结合处的临时排污口深水排放。</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831"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2</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default"/>
                <w:lang w:val="en-US" w:eastAsia="zh-CN"/>
              </w:rPr>
            </w:pPr>
            <w:r>
              <w:rPr>
                <w:rFonts w:hint="eastAsia"/>
                <w:lang w:eastAsia="zh-CN"/>
              </w:rPr>
              <w:t>项目应采用先进和减少挥发的装置设施，严格遵守装卸和储运操作规程，做好清洁生产，防止跑、冒、滴、漏产生。本项目货种调整后油气回收装置废气排放执行《储油库大气污染物排放标准》（</w:t>
            </w:r>
            <w:r>
              <w:rPr>
                <w:rFonts w:hint="eastAsia"/>
                <w:lang w:val="en-US" w:eastAsia="zh-CN"/>
              </w:rPr>
              <w:t>GB20950-2020</w:t>
            </w:r>
            <w:r>
              <w:rPr>
                <w:rFonts w:hint="eastAsia"/>
                <w:lang w:eastAsia="zh-CN"/>
              </w:rPr>
              <w:t>）表</w:t>
            </w:r>
            <w:r>
              <w:rPr>
                <w:rFonts w:hint="eastAsia"/>
                <w:lang w:val="en-US" w:eastAsia="zh-CN"/>
              </w:rPr>
              <w:t>1规定要求，其他货种废气净化设施废气排放参考执行《挥发性有机物无组织排放控制标准》（GB37822-2019）中储罐及装载特别控制要求。</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eastAsia="zh-CN"/>
              </w:rPr>
              <w:t>污水处理站和危废间废气经处理达到《恶臭污染物排放标准》（</w:t>
            </w:r>
            <w:r>
              <w:rPr>
                <w:rFonts w:hint="eastAsia"/>
                <w:lang w:val="en-US" w:eastAsia="zh-CN"/>
              </w:rPr>
              <w:t>GB14554-1993</w:t>
            </w:r>
            <w:r>
              <w:rPr>
                <w:rFonts w:hint="eastAsia"/>
                <w:lang w:eastAsia="zh-CN"/>
              </w:rPr>
              <w:t>）表</w:t>
            </w:r>
            <w:r>
              <w:rPr>
                <w:rFonts w:hint="eastAsia"/>
                <w:lang w:val="en-US" w:eastAsia="zh-CN"/>
              </w:rPr>
              <w:t>2标准及《石油化学工业污染物排放标准》（GB31571-2015）表4标准后通过15m高排气筒排放。</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燃油锅炉废气应采用“低氮燃烧”方式，外排污染物应经处理达到《锅炉大气污染物排放标准》（GB13271-2014）中表2燃油锅炉排放标准后通过8m高排气筒排放。</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VOCs物料的设备与管线组件的密封点，应开展泄露检测与修复工作。落实设备与管线组件的定期巡查制度，及时发现泄露问题及时维护保养。</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苯、甲苯、二甲苯、非甲烷总烃厂界无组织排放执行《石油化学工业污染物排放标准》（GB31571-2015）中表7标准限值，氨、硫化氢、臭气浓度厂界无组织排放执行《恶臭污染物排放标准》（GB14554-1993）中表1的二级排放标准。</w:t>
            </w:r>
          </w:p>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val="en-US" w:eastAsia="zh-CN"/>
              </w:rPr>
              <w:t>货种调整后项目的大气环境防护距离为后方库区边界外延100m、码头装卸区边界外延50m范围，防护距离内不得新建居住区、学校、医院等大气环境敏感目标。</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eastAsia="zh-CN"/>
              </w:rPr>
            </w:pPr>
            <w:r>
              <w:rPr>
                <w:rFonts w:hint="eastAsia"/>
                <w:lang w:eastAsia="zh-CN"/>
              </w:rPr>
              <w:t>（1）储罐大小呼吸废气：固定顶罐和内浮顶储罐都设置氮气密封保护系统，罐顶设氮封阀（自力式调节阀）和带接管的呼吸阀，可自动补气和密闭回收罐内排出的有机废气去废气处理装置处理。</w:t>
            </w:r>
            <w:r>
              <w:rPr>
                <w:rFonts w:hint="eastAsia"/>
                <w:lang w:eastAsia="zh-CN"/>
              </w:rPr>
              <w:br w:type="textWrapping"/>
            </w:r>
            <w:r>
              <w:rPr>
                <w:rFonts w:hint="eastAsia"/>
                <w:lang w:eastAsia="zh-CN"/>
              </w:rPr>
              <w:t>（2）装车（含桶装）废气系统：装车鹤管选用撬装式密闭装车鹤管成套设备，并带有气相回收管；装桶过程采用闭装充装管道并带有气相回收管。气相回收有机气体去废气处理装置处理。</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eastAsia="zh-CN"/>
              </w:rPr>
              <w:t>根据监测报告，本项目货种调整后油气回收装置废气排放符合《储油库大气污染物排放标准》（</w:t>
            </w:r>
            <w:r>
              <w:rPr>
                <w:rFonts w:hint="eastAsia"/>
                <w:lang w:val="en-US" w:eastAsia="zh-CN"/>
              </w:rPr>
              <w:t>GB20950-2020</w:t>
            </w:r>
            <w:r>
              <w:rPr>
                <w:rFonts w:hint="eastAsia"/>
                <w:lang w:eastAsia="zh-CN"/>
              </w:rPr>
              <w:t>）表</w:t>
            </w:r>
            <w:r>
              <w:rPr>
                <w:rFonts w:hint="eastAsia"/>
                <w:lang w:val="en-US" w:eastAsia="zh-CN"/>
              </w:rPr>
              <w:t>1规定要求，其他货种废气净化设施废气排放符合《挥发性有机物无组织排放控制标准》（GB37822-2019）中储罐及装载特别控制要求。</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eastAsia="zh-CN"/>
              </w:rPr>
              <w:t>污水处理站和危废间废气经处理达到《恶臭污染物排放标准》（</w:t>
            </w:r>
            <w:r>
              <w:rPr>
                <w:rFonts w:hint="eastAsia"/>
                <w:lang w:val="en-US" w:eastAsia="zh-CN"/>
              </w:rPr>
              <w:t>GB14554-1993</w:t>
            </w:r>
            <w:r>
              <w:rPr>
                <w:rFonts w:hint="eastAsia"/>
                <w:lang w:eastAsia="zh-CN"/>
              </w:rPr>
              <w:t>）表</w:t>
            </w:r>
            <w:r>
              <w:rPr>
                <w:rFonts w:hint="eastAsia"/>
                <w:lang w:val="en-US" w:eastAsia="zh-CN"/>
              </w:rPr>
              <w:t>2标准及《石油化学工业污染物排放标准》（GB31571-2015）表4标准后通过15m高排气筒排放。</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与福建绿佳检测技术有限公司签订LDAR检测服务，并于2022年9月开展泄漏检测与修复工作（LDAR）。落实了设备与管线组件的定期巡查制度，及时发现泄露问题及时维护保养。</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苯、甲苯、二甲苯、非甲烷总烃厂界无组织排放执行《石油化学工业污染物排放标准》（GB31571-2015）中表7标准限值，氨、硫化氢、臭气浓度厂界无组织排放执行《恶臭污染物排放标准》（GB14554-1993）中表1的二级排放标准。</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经现场核查，防护距离内未建设有居住区、学校、医院等大气环境敏感目标。</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95"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3</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优化厂区布局，加强设备的定期检修和维护，采用有效的减振、隔声等措施，保证厂界噪声达标排放。项目厂界噪声执行《工业企业厂界环境噪声排放标准》（</w:t>
            </w:r>
            <w:r>
              <w:rPr>
                <w:rFonts w:hint="eastAsia"/>
                <w:lang w:val="en-US" w:eastAsia="zh-CN"/>
              </w:rPr>
              <w:t>GB12348-2008</w:t>
            </w:r>
            <w:r>
              <w:rPr>
                <w:rFonts w:hint="eastAsia"/>
                <w:lang w:eastAsia="zh-CN"/>
              </w:rPr>
              <w:t>）</w:t>
            </w:r>
            <w:r>
              <w:rPr>
                <w:rFonts w:hint="eastAsia"/>
                <w:lang w:val="en-US" w:eastAsia="zh-CN"/>
              </w:rPr>
              <w:t>3类标准。</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val="en-GB" w:eastAsia="zh-CN"/>
              </w:rPr>
              <w:t>项目厂区布局合理，装卸泵、污水泵、空压站等噪声源设置在远离敏感目标的位置，并采取</w:t>
            </w:r>
            <w:r>
              <w:rPr>
                <w:lang w:val="en-GB"/>
              </w:rPr>
              <w:t>隔声减震，四周设置绿化等措施降低噪声，</w:t>
            </w:r>
            <w:r>
              <w:rPr>
                <w:rFonts w:hint="eastAsia"/>
                <w:lang w:val="en-GB" w:eastAsia="zh-CN"/>
              </w:rPr>
              <w:t>根据监测报告，厂界噪声</w:t>
            </w:r>
            <w:r>
              <w:rPr>
                <w:lang w:val="en-GB"/>
              </w:rPr>
              <w:t>达到《工业企业厂界环境噪声排放标准》</w:t>
            </w:r>
            <w:r>
              <w:t>(</w:t>
            </w:r>
            <w:r>
              <w:rPr>
                <w:lang w:val="en-GB"/>
              </w:rPr>
              <w:t>GB12348-2008</w:t>
            </w:r>
            <w:r>
              <w:t>)</w:t>
            </w:r>
            <w:r>
              <w:rPr>
                <w:lang w:val="en-GB"/>
              </w:rPr>
              <w:t>中3类标准要求。</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1080"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4</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严禁固体废弃物排入海域。按“减量化、资源化、无害化”原则落实各类固体废物的收集、处置和综合利用措施。项目危险废物应参照执行《危险废物贮存污染控制标准》（</w:t>
            </w:r>
            <w:r>
              <w:rPr>
                <w:rFonts w:hint="eastAsia"/>
                <w:lang w:val="en-US" w:eastAsia="zh-CN"/>
              </w:rPr>
              <w:t>GB18597-2001</w:t>
            </w:r>
            <w:r>
              <w:rPr>
                <w:rFonts w:hint="eastAsia"/>
                <w:lang w:eastAsia="zh-CN"/>
              </w:rPr>
              <w:t>）及</w:t>
            </w:r>
            <w:r>
              <w:rPr>
                <w:rFonts w:hint="eastAsia"/>
                <w:lang w:val="en-US" w:eastAsia="zh-CN"/>
              </w:rPr>
              <w:t>2013年修改单中相关要求，按规范设置贮存场所并送交有资质单位处置。生活垃圾等固体废物应定点收集，并交由环卫部门统一清运处置。</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t>固体废物均按</w:t>
            </w:r>
            <w:r>
              <w:rPr>
                <w:rFonts w:hint="eastAsia"/>
                <w:lang w:eastAsia="zh-Hans"/>
              </w:rPr>
              <w:t>“</w:t>
            </w:r>
            <w:r>
              <w:t>减量化、资源化、无害化</w:t>
            </w:r>
            <w:r>
              <w:rPr>
                <w:rFonts w:hint="eastAsia"/>
                <w:lang w:eastAsia="zh-Hans"/>
              </w:rPr>
              <w:t>”</w:t>
            </w:r>
            <w:r>
              <w:t>原则分类收集、处置。生活垃圾由环卫部门清运处置，危险废物按照规范暂存于危废间。一般工业固废和危险废物均委托福建兴业东江环保科技有限公司处置，该企业已于2020年10月获得福建省生态环境厅颁发的《危险废物经营许可证》，同意核准经营的废物类别包括HW06、HW08、HW35、HW49等本项目涉及的危险废物。</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1740"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5</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按照清洁生产要求，采用先进的生产装置、设备和生产工艺。加强管理，完善环境管理制度，强化风险防范意识；加强船舶安全航行管理，杜绝船舶污染事故发生。完善应急设施建设，配备必要的应急设备，提高应急反应和处理能力。按规定制定突发环境事件应急预案并定期演练，加强安全管理，做好风险防范措施，适时修订完善应急预案。</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eastAsia="宋体"/>
                <w:lang w:eastAsia="zh-CN"/>
              </w:rPr>
            </w:pPr>
            <w:r>
              <w:rPr>
                <w:rFonts w:hint="eastAsia"/>
                <w:lang w:eastAsia="zh-CN"/>
              </w:rPr>
              <w:t>项目落实了清洁生产要求，采用先进的生产装置、设备和生产工艺。加强管理，完善环境管理制度，强化风险防范意识；加强船舶安全航行管理，杜绝船舶污染事故发生。</w:t>
            </w:r>
            <w:r>
              <w:rPr>
                <w:rFonts w:hint="eastAsia"/>
                <w:lang w:val="en-US" w:eastAsia="zh-CN"/>
              </w:rPr>
              <w:t>港丰公司</w:t>
            </w:r>
            <w:r>
              <w:rPr>
                <w:rFonts w:hint="eastAsia"/>
                <w:lang w:eastAsia="zh-CN"/>
              </w:rPr>
              <w:t>已成立应急指挥中心，建立应急组织机构，对突发环境事件的预警和处置等进行统一的指挥协调。配备了应急物资，按规定编制</w:t>
            </w:r>
            <w:r>
              <w:rPr>
                <w:rFonts w:hint="eastAsia"/>
                <w:lang w:val="en-US" w:eastAsia="zh-CN"/>
              </w:rPr>
              <w:t>并适时修订</w:t>
            </w:r>
            <w:r>
              <w:rPr>
                <w:rFonts w:hint="eastAsia"/>
                <w:lang w:eastAsia="zh-CN"/>
              </w:rPr>
              <w:t>《福建港丰能源有限公司突发环境事件应急预案》（备案编号：350521-2022-003-H），并定期演练。</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36"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6</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以新带老，完善现有工程环保措施。完善环境监测计划，配备必要的检测仪器和设备，按报告书提出的要求，开展环境监测工作。</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eastAsia="宋体"/>
                <w:lang w:eastAsia="zh-CN"/>
              </w:rPr>
            </w:pPr>
            <w:r>
              <w:rPr>
                <w:rFonts w:hint="eastAsia"/>
                <w:lang w:eastAsia="zh-CN"/>
              </w:rPr>
              <w:t>已对现有工程环保措施进行完善，如部分储罐按要求增设内浮盘、保温、伴热等措施，</w:t>
            </w:r>
            <w:r>
              <w:rPr>
                <w:rFonts w:hint="eastAsia"/>
              </w:rPr>
              <w:t>在油气回收装置1和废气净化装置2之间增加联通管线，使油品废气和非水溶性化工品废气通过联通阀门切换可分别进入油气回收装置1和废气净化装置2进行处理。</w:t>
            </w:r>
            <w:r>
              <w:rPr>
                <w:rFonts w:hint="eastAsia"/>
                <w:lang w:eastAsia="zh-CN"/>
              </w:rPr>
              <w:t>并</w:t>
            </w:r>
            <w:r>
              <w:rPr>
                <w:rFonts w:hint="eastAsia"/>
              </w:rPr>
              <w:t>与福建绿佳检测</w:t>
            </w:r>
            <w:r>
              <w:rPr>
                <w:rFonts w:hint="eastAsia"/>
                <w:lang w:val="en-US" w:eastAsia="zh-Hans"/>
              </w:rPr>
              <w:t>技术</w:t>
            </w:r>
            <w:r>
              <w:rPr>
                <w:rFonts w:hint="eastAsia"/>
              </w:rPr>
              <w:t>有限公司</w:t>
            </w:r>
            <w:r>
              <w:rPr>
                <w:rFonts w:hint="eastAsia"/>
                <w:lang w:eastAsia="zh-CN"/>
              </w:rPr>
              <w:t>签订委托协议，开展日常环境监测工作。</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735"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t>7</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项目不新增废水、废气排放量。项目实施后，污染物排放总量控制在原环评批复范围内。</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eastAsia="zh-CN"/>
              </w:rPr>
              <w:t>项目未新增废水、废气排放量。污染物排放总量在原环评批复范围内。</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pPr>
            <w:r>
              <w:rPr>
                <w:rFonts w:hint="eastAsia"/>
                <w:lang w:val="en-US" w:eastAsia="zh-Hans"/>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735" w:hRule="atLeast"/>
        </w:trPr>
        <w:tc>
          <w:tcPr>
            <w:tcW w:w="802"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eastAsia="宋体"/>
                <w:lang w:val="en-US" w:eastAsia="zh-CN"/>
              </w:rPr>
            </w:pPr>
            <w:r>
              <w:rPr>
                <w:rFonts w:hint="eastAsia"/>
                <w:lang w:val="en-US" w:eastAsia="zh-CN"/>
              </w:rPr>
              <w:t>8</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eastAsia="zh-CN"/>
              </w:rPr>
            </w:pPr>
            <w:r>
              <w:rPr>
                <w:rFonts w:hint="eastAsia"/>
                <w:lang w:eastAsia="zh-CN"/>
              </w:rPr>
              <w:t>你公司应根据报告书提出的环保对策措施和批复要求，做好各项环境风险防范和污染防治工作，严格执行配套建设的环保设施与主体工程同时设计、同时施工、同时投产使用的环保“三同时”制度。</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1. 项目竣工后，你公司应按照国务院环境保护行政主管部门规定的标准和程序，对项目开展竣工环保验收。验收过程不得弄虚作假，并依法向社会公开验收报告。</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2. 你公司应于投产前依法申领排污许可证，按证排污。</w:t>
            </w:r>
          </w:p>
          <w:p>
            <w:pPr>
              <w:pStyle w:val="24"/>
              <w:keepNext w:val="0"/>
              <w:keepLines w:val="0"/>
              <w:pageBreakBefore w:val="0"/>
              <w:widowControl w:val="0"/>
              <w:kinsoku/>
              <w:wordWrap/>
              <w:overflowPunct/>
              <w:topLinePunct w:val="0"/>
              <w:autoSpaceDE/>
              <w:autoSpaceDN/>
              <w:bidi w:val="0"/>
              <w:adjustRightInd w:val="0"/>
              <w:snapToGrid w:val="0"/>
              <w:jc w:val="left"/>
              <w:textAlignment w:val="auto"/>
            </w:pPr>
            <w:r>
              <w:rPr>
                <w:rFonts w:hint="eastAsia"/>
                <w:lang w:val="en-US" w:eastAsia="zh-CN"/>
              </w:rPr>
              <w:t>3. 项目的环境影响报告书经批准后，若项目的性质、规模、地点、采用的工艺或者防治污染、防治生态破坏的措施发生重大变动的，应当重新报批建设项目的环境影响评价文件。</w:t>
            </w:r>
          </w:p>
        </w:tc>
        <w:tc>
          <w:tcPr>
            <w:tcW w:w="586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jc w:val="left"/>
              <w:textAlignment w:val="auto"/>
            </w:pPr>
            <w:r>
              <w:t>项目执行了环境保护</w:t>
            </w:r>
            <w:r>
              <w:rPr>
                <w:rFonts w:hint="eastAsia"/>
                <w:lang w:eastAsia="zh-Hans"/>
              </w:rPr>
              <w:t>“</w:t>
            </w:r>
            <w:r>
              <w:t>三同时</w:t>
            </w:r>
            <w:r>
              <w:rPr>
                <w:rFonts w:hint="eastAsia"/>
                <w:lang w:eastAsia="zh-Hans"/>
              </w:rPr>
              <w:t>”</w:t>
            </w:r>
            <w:r>
              <w:t>制度，环保设施与主体工程同时设计、同时施工、同时建成投入使用。</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eastAsia"/>
                <w:lang w:val="en-US" w:eastAsia="zh-CN"/>
              </w:rPr>
            </w:pPr>
            <w:r>
              <w:rPr>
                <w:rFonts w:hint="eastAsia"/>
                <w:lang w:val="en-US" w:eastAsia="zh-CN"/>
              </w:rPr>
              <w:t>1. 项目已按要求开展竣工环保验收工作，待验收工作完成后，将在网络向社会公开验收报告。</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default"/>
                <w:lang w:val="en-US" w:eastAsia="zh-CN"/>
              </w:rPr>
            </w:pPr>
            <w:r>
              <w:rPr>
                <w:rFonts w:hint="eastAsia"/>
                <w:lang w:val="en-US" w:eastAsia="zh-CN"/>
              </w:rPr>
              <w:t>2. 已依法重新申领排污许可证（排污许可证编号：</w:t>
            </w:r>
            <w:r>
              <w:rPr>
                <w:rFonts w:hint="eastAsia"/>
                <w:sz w:val="18"/>
                <w:szCs w:val="20"/>
                <w:lang w:val="en-US" w:eastAsia="zh-CN"/>
              </w:rPr>
              <w:t>91350521579269307X001V</w:t>
            </w:r>
            <w:r>
              <w:rPr>
                <w:rFonts w:hint="eastAsia"/>
                <w:lang w:val="en-US" w:eastAsia="zh-CN"/>
              </w:rPr>
              <w:t>）。</w:t>
            </w:r>
          </w:p>
          <w:p>
            <w:pPr>
              <w:pStyle w:val="24"/>
              <w:keepNext w:val="0"/>
              <w:keepLines w:val="0"/>
              <w:pageBreakBefore w:val="0"/>
              <w:widowControl w:val="0"/>
              <w:kinsoku/>
              <w:wordWrap/>
              <w:overflowPunct/>
              <w:topLinePunct w:val="0"/>
              <w:autoSpaceDE/>
              <w:autoSpaceDN/>
              <w:bidi w:val="0"/>
              <w:adjustRightInd w:val="0"/>
              <w:snapToGrid w:val="0"/>
              <w:jc w:val="left"/>
              <w:textAlignment w:val="auto"/>
              <w:rPr>
                <w:rFonts w:hint="default"/>
                <w:lang w:val="en-US" w:eastAsia="zh-CN"/>
              </w:rPr>
            </w:pPr>
            <w:r>
              <w:rPr>
                <w:rFonts w:hint="eastAsia"/>
                <w:lang w:val="en-US" w:eastAsia="zh-CN"/>
              </w:rPr>
              <w:t>3. 项目变动内容不属于重大变动，纳入本次竣工环保验收。</w:t>
            </w:r>
          </w:p>
        </w:tc>
        <w:tc>
          <w:tcPr>
            <w:tcW w:w="144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textAlignment w:val="auto"/>
              <w:rPr>
                <w:rFonts w:hint="eastAsia" w:eastAsia="宋体"/>
                <w:lang w:val="en-US" w:eastAsia="zh-CN"/>
              </w:rPr>
            </w:pPr>
            <w:r>
              <w:rPr>
                <w:rFonts w:hint="eastAsia"/>
                <w:lang w:val="en-US" w:eastAsia="zh-CN"/>
              </w:rPr>
              <w:t>符合</w:t>
            </w:r>
          </w:p>
        </w:tc>
      </w:tr>
    </w:tbl>
    <w:p>
      <w:pPr>
        <w:pStyle w:val="19"/>
        <w:ind w:firstLine="48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7"/>
        <w:spacing w:before="93" w:beforeLines="30"/>
      </w:pPr>
      <w:bookmarkStart w:id="191" w:name="_Toc19987"/>
      <w:bookmarkStart w:id="192" w:name="_Toc26199525"/>
      <w:bookmarkStart w:id="193" w:name="_Toc30333_WPSOffice_Level1"/>
      <w:bookmarkStart w:id="194" w:name="_Toc26199526"/>
      <w:bookmarkStart w:id="195" w:name="_Toc27690_WPSOffice_Level1"/>
      <w:r>
        <w:t>10.3 排污许可证申领情况</w:t>
      </w:r>
      <w:bookmarkEnd w:id="191"/>
      <w:bookmarkEnd w:id="192"/>
      <w:bookmarkEnd w:id="193"/>
    </w:p>
    <w:p>
      <w:pPr>
        <w:pStyle w:val="19"/>
        <w:bidi w:val="0"/>
      </w:pPr>
      <w:r>
        <w:rPr>
          <w:lang w:val="en-US"/>
        </w:rPr>
        <w:t>建设单位</w:t>
      </w:r>
      <w:r>
        <w:t>于20</w:t>
      </w:r>
      <w:r>
        <w:rPr>
          <w:lang w:val="en-US"/>
        </w:rPr>
        <w:t>2</w:t>
      </w:r>
      <w:r>
        <w:rPr>
          <w:rFonts w:hint="eastAsia"/>
          <w:lang w:val="en-US" w:eastAsia="zh-CN"/>
        </w:rPr>
        <w:t>2</w:t>
      </w:r>
      <w:r>
        <w:t>年</w:t>
      </w:r>
      <w:r>
        <w:rPr>
          <w:rFonts w:hint="eastAsia"/>
          <w:lang w:val="en-US" w:eastAsia="zh-CN"/>
        </w:rPr>
        <w:t>11</w:t>
      </w:r>
      <w:r>
        <w:t>月1</w:t>
      </w:r>
      <w:r>
        <w:rPr>
          <w:rFonts w:hint="eastAsia"/>
          <w:lang w:val="en-US" w:eastAsia="zh-CN"/>
        </w:rPr>
        <w:t>4</w:t>
      </w:r>
      <w:r>
        <w:t>日</w:t>
      </w:r>
      <w:r>
        <w:rPr>
          <w:lang w:val="en-US"/>
        </w:rPr>
        <w:t>依法</w:t>
      </w:r>
      <w:bookmarkStart w:id="196" w:name="_Hlk25097340"/>
      <w:r>
        <w:rPr>
          <w:rFonts w:hint="eastAsia"/>
          <w:lang w:eastAsia="zh-CN"/>
        </w:rPr>
        <w:t>申请</w:t>
      </w:r>
      <w:r>
        <w:t>排污许可证，排污许可证编号为：91350521579269307X001V。</w:t>
      </w:r>
      <w:bookmarkEnd w:id="196"/>
    </w:p>
    <w:p>
      <w:pPr>
        <w:pStyle w:val="17"/>
        <w:spacing w:before="93" w:beforeLines="30"/>
      </w:pPr>
      <w:bookmarkStart w:id="197" w:name="_Toc29307"/>
      <w:r>
        <w:t>10.</w:t>
      </w:r>
      <w:r>
        <w:rPr>
          <w:rFonts w:hint="eastAsia"/>
          <w:lang w:val="en-US" w:eastAsia="zh-CN"/>
        </w:rPr>
        <w:t xml:space="preserve">4 </w:t>
      </w:r>
      <w:r>
        <w:t>环境保护机构设置</w:t>
      </w:r>
      <w:bookmarkEnd w:id="194"/>
      <w:bookmarkEnd w:id="195"/>
      <w:bookmarkEnd w:id="197"/>
    </w:p>
    <w:p>
      <w:pPr>
        <w:pStyle w:val="18"/>
      </w:pPr>
      <w:r>
        <w:t>10.</w:t>
      </w:r>
      <w:r>
        <w:rPr>
          <w:rFonts w:hint="eastAsia"/>
          <w:lang w:val="en-US" w:eastAsia="zh-CN"/>
        </w:rPr>
        <w:t>4</w:t>
      </w:r>
      <w:r>
        <w:t>.1</w:t>
      </w:r>
      <w:r>
        <w:rPr>
          <w:rFonts w:hint="eastAsia"/>
          <w:lang w:val="en-US" w:eastAsia="zh-CN"/>
        </w:rPr>
        <w:t xml:space="preserve"> </w:t>
      </w:r>
      <w:r>
        <w:t>环境管理规章制度</w:t>
      </w:r>
    </w:p>
    <w:p>
      <w:pPr>
        <w:pStyle w:val="19"/>
        <w:ind w:firstLine="480"/>
      </w:pPr>
      <w:r>
        <w:rPr>
          <w:lang w:val="en-US"/>
        </w:rPr>
        <w:t>港丰能源有限公司</w:t>
      </w:r>
      <w:r>
        <w:t>为贯彻落实环境保护的法律法规，加强环保生产管理，落实环保生产相关规章制度，成立了</w:t>
      </w:r>
      <w:r>
        <w:rPr>
          <w:rFonts w:hint="eastAsia"/>
          <w:lang w:val="en-US" w:eastAsia="zh-CN"/>
        </w:rPr>
        <w:t>HSE部门</w:t>
      </w:r>
      <w:r>
        <w:t>。配备专职环境管理人员，负责企业环境保护监督管理、环境保护监测、日常监督、应急管理、风险管理、以及协调和解决与环保部门、周围公众关系的环境管理工作。同时，陆续编制并发布了9</w:t>
      </w:r>
      <w:r>
        <w:rPr>
          <w:lang w:val="en-US"/>
        </w:rPr>
        <w:t>项</w:t>
      </w:r>
      <w:r>
        <w:t>环保管理规章制度，</w:t>
      </w:r>
      <w:r>
        <w:rPr>
          <w:lang w:val="en-US"/>
        </w:rPr>
        <w:t>如表</w:t>
      </w:r>
      <w:r>
        <w:t>10</w:t>
      </w:r>
      <w:r>
        <w:rPr>
          <w:lang w:val="en-US"/>
        </w:rPr>
        <w:t>.</w:t>
      </w:r>
      <w:r>
        <w:rPr>
          <w:rFonts w:hint="eastAsia"/>
          <w:lang w:val="en-US" w:eastAsia="zh-CN"/>
        </w:rPr>
        <w:t>4</w:t>
      </w:r>
      <w:r>
        <w:rPr>
          <w:lang w:val="en-US"/>
        </w:rPr>
        <w:t>.</w:t>
      </w:r>
      <w:r>
        <w:t>1</w:t>
      </w:r>
      <w:r>
        <w:rPr>
          <w:lang w:val="en-US"/>
        </w:rPr>
        <w:t>所示</w:t>
      </w:r>
      <w:r>
        <w:t>。</w:t>
      </w:r>
    </w:p>
    <w:p>
      <w:pPr>
        <w:pStyle w:val="23"/>
        <w:spacing w:before="60" w:after="60"/>
        <w:rPr>
          <w:lang w:val="en-GB"/>
        </w:rPr>
      </w:pPr>
      <w:r>
        <w:rPr>
          <w:lang w:val="en-GB"/>
        </w:rPr>
        <w:t>表10.</w:t>
      </w:r>
      <w:r>
        <w:rPr>
          <w:rFonts w:hint="eastAsia"/>
          <w:lang w:val="en-US" w:eastAsia="zh-CN"/>
        </w:rPr>
        <w:t>4</w:t>
      </w:r>
      <w:r>
        <w:t xml:space="preserve">.1 </w:t>
      </w:r>
      <w:r>
        <w:rPr>
          <w:lang w:val="en-GB"/>
        </w:rPr>
        <w:t>制度文件一览表</w:t>
      </w:r>
    </w:p>
    <w:tbl>
      <w:tblPr>
        <w:tblStyle w:val="14"/>
        <w:tblW w:w="843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2"/>
        <w:gridCol w:w="626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序号</w:t>
            </w:r>
          </w:p>
        </w:tc>
        <w:tc>
          <w:tcPr>
            <w:tcW w:w="6267" w:type="dxa"/>
            <w:shd w:val="clear" w:color="auto" w:fill="auto"/>
            <w:vAlign w:val="center"/>
          </w:tcPr>
          <w:p>
            <w:pPr>
              <w:pStyle w:val="24"/>
            </w:pPr>
            <w:r>
              <w:t>制度文件名称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1</w:t>
            </w:r>
          </w:p>
        </w:tc>
        <w:tc>
          <w:tcPr>
            <w:tcW w:w="6267" w:type="dxa"/>
            <w:shd w:val="clear" w:color="auto" w:fill="auto"/>
            <w:vAlign w:val="center"/>
          </w:tcPr>
          <w:p>
            <w:pPr>
              <w:pStyle w:val="24"/>
            </w:pPr>
            <w:r>
              <w:t>环境保护管理制度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2</w:t>
            </w:r>
          </w:p>
        </w:tc>
        <w:tc>
          <w:tcPr>
            <w:tcW w:w="6267" w:type="dxa"/>
            <w:shd w:val="clear" w:color="auto" w:fill="auto"/>
            <w:vAlign w:val="center"/>
          </w:tcPr>
          <w:p>
            <w:pPr>
              <w:pStyle w:val="24"/>
            </w:pPr>
            <w:r>
              <w:t>危险废弃物管理规定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3</w:t>
            </w:r>
          </w:p>
        </w:tc>
        <w:tc>
          <w:tcPr>
            <w:tcW w:w="6267" w:type="dxa"/>
            <w:shd w:val="clear" w:color="auto" w:fill="auto"/>
            <w:vAlign w:val="center"/>
          </w:tcPr>
          <w:p>
            <w:pPr>
              <w:pStyle w:val="24"/>
            </w:pPr>
            <w:r>
              <w:t>污水处理站和废物间废气处理装置操作规程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4</w:t>
            </w:r>
          </w:p>
        </w:tc>
        <w:tc>
          <w:tcPr>
            <w:tcW w:w="6267" w:type="dxa"/>
            <w:shd w:val="clear" w:color="auto" w:fill="auto"/>
            <w:vAlign w:val="center"/>
          </w:tcPr>
          <w:p>
            <w:pPr>
              <w:pStyle w:val="24"/>
            </w:pPr>
            <w:r>
              <w:t>桶装、车台废气（非水溶性）处理装置操作规程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5</w:t>
            </w:r>
          </w:p>
        </w:tc>
        <w:tc>
          <w:tcPr>
            <w:tcW w:w="6267" w:type="dxa"/>
            <w:shd w:val="clear" w:color="auto" w:fill="auto"/>
            <w:vAlign w:val="center"/>
          </w:tcPr>
          <w:p>
            <w:pPr>
              <w:pStyle w:val="24"/>
            </w:pPr>
            <w:r>
              <w:t>车台（水溶性）废气处理装置操作规程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6</w:t>
            </w:r>
          </w:p>
        </w:tc>
        <w:tc>
          <w:tcPr>
            <w:tcW w:w="6267" w:type="dxa"/>
            <w:shd w:val="clear" w:color="auto" w:fill="auto"/>
            <w:vAlign w:val="center"/>
          </w:tcPr>
          <w:p>
            <w:pPr>
              <w:pStyle w:val="24"/>
            </w:pPr>
            <w:r>
              <w:t>库区防污染管理制度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7</w:t>
            </w:r>
          </w:p>
        </w:tc>
        <w:tc>
          <w:tcPr>
            <w:tcW w:w="6267" w:type="dxa"/>
            <w:shd w:val="clear" w:color="auto" w:fill="auto"/>
            <w:vAlign w:val="center"/>
          </w:tcPr>
          <w:p>
            <w:pPr>
              <w:pStyle w:val="24"/>
            </w:pPr>
            <w:r>
              <w:t>污水处理设施操作规程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172" w:type="dxa"/>
            <w:shd w:val="clear" w:color="auto" w:fill="auto"/>
            <w:vAlign w:val="center"/>
          </w:tcPr>
          <w:p>
            <w:pPr>
              <w:pStyle w:val="24"/>
            </w:pPr>
            <w:r>
              <w:t>8</w:t>
            </w:r>
          </w:p>
        </w:tc>
        <w:tc>
          <w:tcPr>
            <w:tcW w:w="6267" w:type="dxa"/>
            <w:shd w:val="clear" w:color="auto" w:fill="auto"/>
            <w:vAlign w:val="center"/>
          </w:tcPr>
          <w:p>
            <w:pPr>
              <w:pStyle w:val="24"/>
            </w:pPr>
            <w:r>
              <w:t>危险废物污染防治责任制度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2172" w:type="dxa"/>
            <w:shd w:val="clear" w:color="auto" w:fill="auto"/>
            <w:vAlign w:val="center"/>
          </w:tcPr>
          <w:p>
            <w:pPr>
              <w:pStyle w:val="24"/>
            </w:pPr>
            <w:r>
              <w:t>9</w:t>
            </w:r>
          </w:p>
        </w:tc>
        <w:tc>
          <w:tcPr>
            <w:tcW w:w="6267" w:type="dxa"/>
            <w:shd w:val="clear" w:color="auto" w:fill="auto"/>
            <w:vAlign w:val="center"/>
          </w:tcPr>
          <w:p>
            <w:pPr>
              <w:pStyle w:val="24"/>
            </w:pPr>
            <w:r>
              <w:t>固体废弃物处理规定</w:t>
            </w:r>
          </w:p>
        </w:tc>
      </w:tr>
    </w:tbl>
    <w:p>
      <w:pPr>
        <w:pStyle w:val="18"/>
        <w:keepNext w:val="0"/>
        <w:keepLines w:val="0"/>
        <w:pageBreakBefore w:val="0"/>
        <w:widowControl w:val="0"/>
        <w:kinsoku/>
        <w:wordWrap/>
        <w:overflowPunct/>
        <w:topLinePunct w:val="0"/>
        <w:autoSpaceDE/>
        <w:autoSpaceDN/>
        <w:bidi w:val="0"/>
        <w:adjustRightInd/>
        <w:snapToGrid/>
        <w:spacing w:before="157" w:beforeLines="50"/>
        <w:textAlignment w:val="auto"/>
      </w:pPr>
      <w:r>
        <w:t>10.</w:t>
      </w:r>
      <w:r>
        <w:rPr>
          <w:rFonts w:hint="eastAsia"/>
          <w:lang w:val="en-US" w:eastAsia="zh-CN"/>
        </w:rPr>
        <w:t>4</w:t>
      </w:r>
      <w:r>
        <w:t>.2 环境保护机构人员岗位职责</w:t>
      </w:r>
    </w:p>
    <w:p>
      <w:pPr>
        <w:pStyle w:val="19"/>
        <w:ind w:firstLine="480"/>
      </w:pPr>
      <w:r>
        <w:t>按照公司的管理要求，负责公司环境保护管理的</w:t>
      </w:r>
      <w:r>
        <w:rPr>
          <w:rFonts w:hint="eastAsia"/>
          <w:lang w:val="en-US" w:eastAsia="zh-CN"/>
        </w:rPr>
        <w:t>HSE部门</w:t>
      </w:r>
      <w:r>
        <w:rPr>
          <w:lang w:val="en-US"/>
        </w:rPr>
        <w:t>工作职责如下</w:t>
      </w:r>
      <w:r>
        <w:t>：</w:t>
      </w:r>
    </w:p>
    <w:p>
      <w:pPr>
        <w:pStyle w:val="19"/>
        <w:ind w:firstLine="480"/>
      </w:pPr>
      <w:r>
        <w:t>（1）主持公司危险废污染防治日常工作。建立管理网络、档案、台帐，完善保护管理体系，监督各生产单位的污染物防治情况。</w:t>
      </w:r>
    </w:p>
    <w:p>
      <w:pPr>
        <w:pStyle w:val="19"/>
        <w:ind w:firstLine="480"/>
      </w:pPr>
      <w:r>
        <w:t>（2）完善环境监测体系，监测和抽查全公司各类污染物排放情况。</w:t>
      </w:r>
    </w:p>
    <w:p>
      <w:pPr>
        <w:pStyle w:val="19"/>
        <w:ind w:firstLine="480"/>
      </w:pPr>
      <w:r>
        <w:t>（3）参加建设项目环境影响报告书（表）的会审，监督建设项目环境保护</w:t>
      </w:r>
      <w:r>
        <w:rPr>
          <w:rFonts w:hint="eastAsia"/>
          <w:lang w:eastAsia="zh-Hans"/>
        </w:rPr>
        <w:t>“</w:t>
      </w:r>
      <w:r>
        <w:t>三同时</w:t>
      </w:r>
      <w:r>
        <w:rPr>
          <w:rFonts w:hint="eastAsia"/>
          <w:lang w:eastAsia="zh-Hans"/>
        </w:rPr>
        <w:t>”</w:t>
      </w:r>
      <w:r>
        <w:t>执行情况，负责新、改、扩建项目试生产报审工作。</w:t>
      </w:r>
    </w:p>
    <w:p>
      <w:pPr>
        <w:pStyle w:val="19"/>
        <w:ind w:firstLine="480"/>
      </w:pPr>
      <w:r>
        <w:t>（4）按</w:t>
      </w:r>
      <w:r>
        <w:rPr>
          <w:rFonts w:hint="eastAsia"/>
          <w:lang w:eastAsia="zh-Hans"/>
        </w:rPr>
        <w:t>“</w:t>
      </w:r>
      <w:r>
        <w:t>事故四不放过</w:t>
      </w:r>
      <w:r>
        <w:rPr>
          <w:rFonts w:hint="eastAsia"/>
          <w:lang w:eastAsia="zh-Hans"/>
        </w:rPr>
        <w:t>”</w:t>
      </w:r>
      <w:r>
        <w:t>原则，组织污染事故调查和分析。</w:t>
      </w:r>
    </w:p>
    <w:p>
      <w:pPr>
        <w:pStyle w:val="19"/>
        <w:ind w:firstLine="480"/>
      </w:pPr>
      <w:r>
        <w:t>（5）编制环境保护考核指标，及时考核。</w:t>
      </w:r>
    </w:p>
    <w:p>
      <w:pPr>
        <w:pStyle w:val="19"/>
        <w:ind w:firstLine="480"/>
      </w:pPr>
      <w:r>
        <w:t>（6）组织贯彻和实施国家环境保护环保法律、法规及上级部门环境保护文件、条例和决议，不断提高职工的环境保护意识，促进环境保护与生产建设同步发展。</w:t>
      </w:r>
    </w:p>
    <w:p>
      <w:pPr>
        <w:pStyle w:val="19"/>
        <w:ind w:firstLine="480"/>
      </w:pPr>
      <w:r>
        <w:t>（7）负责制订公司危险废物污染环境事故应急预案，并实施演练；制订危险废物管理规定。</w:t>
      </w:r>
    </w:p>
    <w:p>
      <w:pPr>
        <w:pStyle w:val="19"/>
        <w:ind w:firstLine="480"/>
      </w:pPr>
      <w:r>
        <w:t>（8）组织从事危险废物工作人员的业务及相关法律、法规、规章及制度的培训。</w:t>
      </w:r>
    </w:p>
    <w:p>
      <w:pPr>
        <w:pStyle w:val="19"/>
        <w:ind w:firstLine="480"/>
      </w:pPr>
      <w:r>
        <w:t>（9）固体废物（含危废）按国家相关规定进行转移或综合利用。</w:t>
      </w:r>
    </w:p>
    <w:p>
      <w:pPr>
        <w:pStyle w:val="19"/>
        <w:ind w:firstLine="480"/>
      </w:pPr>
      <w:r>
        <w:t>（10）</w:t>
      </w:r>
      <w:r>
        <w:rPr>
          <w:lang w:val="en-US"/>
        </w:rPr>
        <w:t>负责危险废弃物车辆进出入管理与登记工作</w:t>
      </w:r>
      <w:r>
        <w:t>，</w:t>
      </w:r>
      <w:r>
        <w:rPr>
          <w:lang w:val="en-US"/>
        </w:rPr>
        <w:t>使其符合环保及相关要求</w:t>
      </w:r>
      <w:r>
        <w:t>。</w:t>
      </w:r>
    </w:p>
    <w:p>
      <w:pPr>
        <w:pStyle w:val="19"/>
        <w:ind w:firstLine="480"/>
      </w:pPr>
      <w:r>
        <w:t>（11）</w:t>
      </w:r>
      <w:r>
        <w:rPr>
          <w:lang w:val="en-US"/>
        </w:rPr>
        <w:t>在事故救援过程中</w:t>
      </w:r>
      <w:r>
        <w:t>，</w:t>
      </w:r>
      <w:r>
        <w:rPr>
          <w:lang w:val="en-US"/>
        </w:rPr>
        <w:t>负责现场保护</w:t>
      </w:r>
      <w:r>
        <w:t>、</w:t>
      </w:r>
      <w:r>
        <w:rPr>
          <w:lang w:val="en-US"/>
        </w:rPr>
        <w:t>车辆管理和人员的疏散工作</w:t>
      </w:r>
      <w:r>
        <w:t>。</w:t>
      </w:r>
    </w:p>
    <w:p>
      <w:pPr>
        <w:pStyle w:val="19"/>
        <w:ind w:firstLine="480"/>
      </w:pPr>
      <w:r>
        <w:t>（12）</w:t>
      </w:r>
      <w:r>
        <w:rPr>
          <w:lang w:val="en-US"/>
        </w:rPr>
        <w:t>严格执行危险废物污染防治责任制</w:t>
      </w:r>
      <w:r>
        <w:t>、</w:t>
      </w:r>
      <w:r>
        <w:rPr>
          <w:lang w:val="en-US"/>
        </w:rPr>
        <w:t>危废管理制度</w:t>
      </w:r>
      <w:r>
        <w:t>。</w:t>
      </w:r>
    </w:p>
    <w:p>
      <w:pPr>
        <w:pStyle w:val="19"/>
        <w:ind w:firstLine="480"/>
      </w:pPr>
      <w:r>
        <w:t>（13）合理转移危险废物，按转移联单制度进行，保管好转移联单，并报环保部备案。</w:t>
      </w:r>
    </w:p>
    <w:p>
      <w:pPr>
        <w:pStyle w:val="17"/>
      </w:pPr>
      <w:bookmarkStart w:id="198" w:name="_Toc27034"/>
      <w:bookmarkStart w:id="199" w:name="_Toc27070_WPSOffice_Level1"/>
      <w:r>
        <w:t>10.</w:t>
      </w:r>
      <w:r>
        <w:rPr>
          <w:rFonts w:hint="eastAsia"/>
          <w:lang w:val="en-US" w:eastAsia="zh-CN"/>
        </w:rPr>
        <w:t xml:space="preserve">5 </w:t>
      </w:r>
      <w:r>
        <w:t>环境保护设施建成及运行记录</w:t>
      </w:r>
      <w:bookmarkEnd w:id="198"/>
      <w:bookmarkEnd w:id="199"/>
    </w:p>
    <w:p>
      <w:pPr>
        <w:pStyle w:val="19"/>
        <w:ind w:firstLine="480"/>
      </w:pPr>
      <w:r>
        <w:t>（1）工程监理</w:t>
      </w:r>
    </w:p>
    <w:p>
      <w:pPr>
        <w:pStyle w:val="19"/>
        <w:ind w:firstLine="480"/>
      </w:pPr>
      <w:r>
        <w:t>《</w:t>
      </w:r>
      <w:r>
        <w:rPr>
          <w:lang w:val="en-US"/>
        </w:rPr>
        <w:t>湄洲湾港斗尾港区斗尾作业区港丰石化仓储项目</w:t>
      </w:r>
      <w:r>
        <w:t>》工程建设监理委托福建</w:t>
      </w:r>
      <w:r>
        <w:rPr>
          <w:lang w:val="en-US"/>
        </w:rPr>
        <w:t>省实华建设监理有限责任公司</w:t>
      </w:r>
      <w:r>
        <w:t>。</w:t>
      </w:r>
    </w:p>
    <w:p>
      <w:pPr>
        <w:pStyle w:val="19"/>
        <w:ind w:firstLine="480"/>
      </w:pPr>
      <w:r>
        <w:t>（2）环境保护设施施工建设过程中的设计、施工、工程竣工验收等记录及相关技术图件资料均存档管理。</w:t>
      </w:r>
    </w:p>
    <w:p>
      <w:pPr>
        <w:pStyle w:val="19"/>
        <w:ind w:firstLine="480"/>
      </w:pPr>
      <w:r>
        <w:t>（3）环保设施运行过程中的参数及环保监测数据、分析数据系统均有记录。</w:t>
      </w:r>
    </w:p>
    <w:p>
      <w:pPr>
        <w:pStyle w:val="19"/>
        <w:ind w:firstLine="480"/>
      </w:pPr>
      <w:r>
        <w:t>（4）环保设施运行交接班均保留记录。</w:t>
      </w:r>
    </w:p>
    <w:p>
      <w:pPr>
        <w:pStyle w:val="19"/>
        <w:ind w:firstLine="480"/>
      </w:pPr>
      <w:r>
        <w:t>（5）突发环境事件应急预案及备案资料均存档管理。</w:t>
      </w:r>
    </w:p>
    <w:p>
      <w:pPr>
        <w:pStyle w:val="17"/>
      </w:pPr>
      <w:bookmarkStart w:id="200" w:name="_Toc22108_WPSOffice_Level1"/>
      <w:bookmarkStart w:id="201" w:name="_Toc24809"/>
      <w:r>
        <w:t>10.</w:t>
      </w:r>
      <w:r>
        <w:rPr>
          <w:rFonts w:hint="eastAsia"/>
          <w:lang w:val="en-US" w:eastAsia="zh-CN"/>
        </w:rPr>
        <w:t xml:space="preserve">6 </w:t>
      </w:r>
      <w:r>
        <w:t>环境监测计划和日常监测</w:t>
      </w:r>
      <w:bookmarkEnd w:id="200"/>
      <w:bookmarkEnd w:id="201"/>
    </w:p>
    <w:p>
      <w:pPr>
        <w:pStyle w:val="19"/>
        <w:ind w:firstLine="480"/>
      </w:pPr>
      <w:r>
        <w:t>本项目设置独立的化验分析室，负责全厂的检验工作，化验分析室配备必要</w:t>
      </w:r>
      <w:r>
        <w:rPr>
          <w:rFonts w:hint="eastAsia"/>
          <w:lang w:eastAsia="zh-CN"/>
        </w:rPr>
        <w:t>检测</w:t>
      </w:r>
      <w:r>
        <w:t>仪器。</w:t>
      </w:r>
    </w:p>
    <w:p>
      <w:pPr>
        <w:pStyle w:val="19"/>
        <w:ind w:firstLine="480"/>
      </w:pPr>
      <w:r>
        <w:rPr>
          <w:rFonts w:hint="eastAsia"/>
          <w:lang w:val="en-US" w:eastAsia="zh-CN"/>
        </w:rPr>
        <w:t>港丰</w:t>
      </w:r>
      <w:r>
        <w:rPr>
          <w:rFonts w:hint="eastAsia"/>
          <w:lang w:val="en-US" w:eastAsia="zh-Hans"/>
        </w:rPr>
        <w:t>公司</w:t>
      </w:r>
      <w:r>
        <w:rPr>
          <w:rFonts w:hint="eastAsia"/>
          <w:lang w:val="en-US" w:eastAsia="zh-CN"/>
        </w:rPr>
        <w:t>HSE部门</w:t>
      </w:r>
      <w:r>
        <w:t>联系、组织本企业污染源进行定期、定点、定项的监测，对超标项积极提出技术治理和整改措施，防止污染事故。对在线监控设施进行维护，确保在线监测数据准确性。</w:t>
      </w:r>
      <w:r>
        <w:rPr>
          <w:rFonts w:hint="eastAsia"/>
          <w:lang w:val="en-US" w:eastAsia="zh-CN"/>
        </w:rPr>
        <w:t>港丰</w:t>
      </w:r>
      <w:r>
        <w:rPr>
          <w:rFonts w:hint="eastAsia"/>
          <w:lang w:val="en-US" w:eastAsia="zh-Hans"/>
        </w:rPr>
        <w:t>公司已编制</w:t>
      </w:r>
      <w:r>
        <w:rPr>
          <w:rFonts w:hint="default"/>
          <w:lang w:eastAsia="zh-Hans"/>
        </w:rPr>
        <w:t>《</w:t>
      </w:r>
      <w:r>
        <w:rPr>
          <w:rFonts w:hint="eastAsia"/>
          <w:lang w:val="en-US" w:eastAsia="zh-Hans"/>
        </w:rPr>
        <w:t>自行监测方案</w:t>
      </w:r>
      <w:r>
        <w:rPr>
          <w:rFonts w:hint="default"/>
          <w:lang w:eastAsia="zh-Hans"/>
        </w:rPr>
        <w:t>》，</w:t>
      </w:r>
      <w:r>
        <w:t>日常监测计划见表10.</w:t>
      </w:r>
      <w:r>
        <w:rPr>
          <w:rFonts w:hint="eastAsia"/>
          <w:lang w:val="en-US" w:eastAsia="zh-CN"/>
        </w:rPr>
        <w:t>6</w:t>
      </w:r>
      <w:r>
        <w:rPr>
          <w:lang w:val="en-US"/>
        </w:rPr>
        <w:t>.</w:t>
      </w:r>
      <w:r>
        <w:t>1。</w:t>
      </w:r>
    </w:p>
    <w:p>
      <w:pPr>
        <w:pStyle w:val="19"/>
        <w:ind w:firstLine="48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3"/>
        <w:bidi w:val="0"/>
      </w:pPr>
      <w:r>
        <w:t>表10.</w:t>
      </w:r>
      <w:r>
        <w:rPr>
          <w:rFonts w:hint="eastAsia"/>
          <w:lang w:val="en-US" w:eastAsia="zh-CN"/>
        </w:rPr>
        <w:t>6</w:t>
      </w:r>
      <w:r>
        <w:t>.1 本项目日常监测计划表</w:t>
      </w:r>
    </w:p>
    <w:tbl>
      <w:tblPr>
        <w:tblStyle w:val="14"/>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5"/>
        <w:gridCol w:w="505"/>
        <w:gridCol w:w="1423"/>
        <w:gridCol w:w="1916"/>
        <w:gridCol w:w="1707"/>
        <w:gridCol w:w="1343"/>
        <w:gridCol w:w="3826"/>
        <w:gridCol w:w="2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505" w:type="dxa"/>
            <w:tcBorders>
              <w:top w:val="single" w:color="auto" w:sz="12" w:space="0"/>
              <w:left w:val="nil"/>
              <w:bottom w:val="single" w:color="auto" w:sz="4" w:space="0"/>
              <w:right w:val="single" w:color="auto" w:sz="4" w:space="0"/>
            </w:tcBorders>
            <w:noWrap/>
            <w:vAlign w:val="center"/>
          </w:tcPr>
          <w:p>
            <w:pPr>
              <w:pStyle w:val="24"/>
              <w:bidi w:val="0"/>
            </w:pPr>
            <w:bookmarkStart w:id="202" w:name="_Toc26199529"/>
            <w:bookmarkStart w:id="203" w:name="_Toc19875_WPSOffice_Level1"/>
            <w:r>
              <w:rPr>
                <w:rFonts w:hint="eastAsia"/>
              </w:rPr>
              <w:t>序号</w:t>
            </w:r>
          </w:p>
        </w:tc>
        <w:tc>
          <w:tcPr>
            <w:tcW w:w="505" w:type="dxa"/>
            <w:tcBorders>
              <w:top w:val="single" w:color="auto" w:sz="12" w:space="0"/>
              <w:left w:val="single" w:color="auto" w:sz="4" w:space="0"/>
              <w:bottom w:val="single" w:color="auto" w:sz="4" w:space="0"/>
              <w:right w:val="single" w:color="auto" w:sz="4" w:space="0"/>
            </w:tcBorders>
            <w:noWrap/>
            <w:vAlign w:val="center"/>
          </w:tcPr>
          <w:p>
            <w:pPr>
              <w:pStyle w:val="24"/>
              <w:bidi w:val="0"/>
            </w:pPr>
            <w:r>
              <w:rPr>
                <w:rFonts w:hint="eastAsia"/>
              </w:rPr>
              <w:t>类型</w:t>
            </w:r>
          </w:p>
        </w:tc>
        <w:tc>
          <w:tcPr>
            <w:tcW w:w="3339" w:type="dxa"/>
            <w:gridSpan w:val="2"/>
            <w:tcBorders>
              <w:top w:val="single" w:color="auto" w:sz="12" w:space="0"/>
              <w:left w:val="single" w:color="auto" w:sz="4" w:space="0"/>
              <w:bottom w:val="single" w:color="auto" w:sz="4" w:space="0"/>
              <w:right w:val="single" w:color="auto" w:sz="4" w:space="0"/>
            </w:tcBorders>
            <w:noWrap/>
            <w:vAlign w:val="center"/>
          </w:tcPr>
          <w:p>
            <w:pPr>
              <w:pStyle w:val="24"/>
              <w:bidi w:val="0"/>
            </w:pPr>
            <w:r>
              <w:rPr>
                <w:rFonts w:hint="eastAsia"/>
              </w:rPr>
              <w:t>监测点名称</w:t>
            </w:r>
          </w:p>
        </w:tc>
        <w:tc>
          <w:tcPr>
            <w:tcW w:w="1707" w:type="dxa"/>
            <w:tcBorders>
              <w:top w:val="single" w:color="auto" w:sz="12" w:space="0"/>
              <w:left w:val="single" w:color="auto" w:sz="4" w:space="0"/>
              <w:bottom w:val="single" w:color="auto" w:sz="4" w:space="0"/>
              <w:right w:val="single" w:color="auto" w:sz="4" w:space="0"/>
            </w:tcBorders>
            <w:noWrap/>
            <w:vAlign w:val="center"/>
          </w:tcPr>
          <w:p>
            <w:pPr>
              <w:pStyle w:val="24"/>
              <w:bidi w:val="0"/>
            </w:pPr>
            <w:r>
              <w:rPr>
                <w:rFonts w:hint="eastAsia"/>
              </w:rPr>
              <w:t>监测指标</w:t>
            </w:r>
          </w:p>
        </w:tc>
        <w:tc>
          <w:tcPr>
            <w:tcW w:w="1343" w:type="dxa"/>
            <w:tcBorders>
              <w:top w:val="single" w:color="auto" w:sz="12" w:space="0"/>
              <w:left w:val="single" w:color="auto" w:sz="4" w:space="0"/>
              <w:bottom w:val="single" w:color="auto" w:sz="4" w:space="0"/>
              <w:right w:val="single" w:color="auto" w:sz="4" w:space="0"/>
            </w:tcBorders>
            <w:noWrap/>
            <w:vAlign w:val="center"/>
          </w:tcPr>
          <w:p>
            <w:pPr>
              <w:pStyle w:val="24"/>
              <w:bidi w:val="0"/>
            </w:pPr>
            <w:r>
              <w:rPr>
                <w:rFonts w:hint="eastAsia"/>
              </w:rPr>
              <w:t>监测方式</w:t>
            </w:r>
          </w:p>
        </w:tc>
        <w:tc>
          <w:tcPr>
            <w:tcW w:w="3826" w:type="dxa"/>
            <w:tcBorders>
              <w:top w:val="single" w:color="auto" w:sz="12" w:space="0"/>
              <w:left w:val="single" w:color="auto" w:sz="4" w:space="0"/>
              <w:bottom w:val="single" w:color="auto" w:sz="4" w:space="0"/>
              <w:right w:val="single" w:color="auto" w:sz="4" w:space="0"/>
            </w:tcBorders>
            <w:noWrap/>
            <w:vAlign w:val="center"/>
          </w:tcPr>
          <w:p>
            <w:pPr>
              <w:pStyle w:val="24"/>
              <w:bidi w:val="0"/>
            </w:pPr>
            <w:r>
              <w:rPr>
                <w:rFonts w:hint="eastAsia"/>
              </w:rPr>
              <w:t>监测分析方法</w:t>
            </w:r>
          </w:p>
        </w:tc>
        <w:tc>
          <w:tcPr>
            <w:tcW w:w="2949" w:type="dxa"/>
            <w:tcBorders>
              <w:top w:val="single" w:color="auto" w:sz="12" w:space="0"/>
              <w:left w:val="single" w:color="auto" w:sz="4" w:space="0"/>
              <w:bottom w:val="single" w:color="auto" w:sz="4" w:space="0"/>
              <w:right w:val="nil"/>
            </w:tcBorders>
            <w:noWrap/>
            <w:vAlign w:val="center"/>
          </w:tcPr>
          <w:p>
            <w:pPr>
              <w:pStyle w:val="24"/>
              <w:bidi w:val="0"/>
            </w:pPr>
            <w:r>
              <w:rPr>
                <w:rFonts w:hint="eastAsia"/>
              </w:rPr>
              <w:t>采样方法及监测频次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restart"/>
            <w:tcBorders>
              <w:top w:val="single" w:color="auto" w:sz="4" w:space="0"/>
              <w:left w:val="nil"/>
              <w:bottom w:val="single" w:color="auto" w:sz="4" w:space="0"/>
              <w:right w:val="single" w:color="auto" w:sz="4" w:space="0"/>
            </w:tcBorders>
            <w:noWrap/>
            <w:vAlign w:val="center"/>
          </w:tcPr>
          <w:p>
            <w:pPr>
              <w:pStyle w:val="24"/>
              <w:bidi w:val="0"/>
            </w:pPr>
            <w:r>
              <w:t>1</w:t>
            </w:r>
          </w:p>
        </w:tc>
        <w:tc>
          <w:tcPr>
            <w:tcW w:w="505" w:type="dxa"/>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废气</w:t>
            </w:r>
          </w:p>
        </w:tc>
        <w:tc>
          <w:tcPr>
            <w:tcW w:w="3339" w:type="dxa"/>
            <w:gridSpan w:val="2"/>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有机废气排气筒(D</w:t>
            </w:r>
            <w:r>
              <w:t>A001</w:t>
            </w:r>
            <w:r>
              <w:rPr>
                <w:rFonts w:hint="eastAsia"/>
              </w:rPr>
              <w:t>)</w:t>
            </w:r>
          </w:p>
          <w:p>
            <w:pPr>
              <w:pStyle w:val="24"/>
              <w:bidi w:val="0"/>
            </w:pPr>
            <w:r>
              <w:t>(</w:t>
            </w:r>
            <w:r>
              <w:rPr>
                <w:rFonts w:hint="eastAsia"/>
              </w:rPr>
              <w:t>油气回收装置1</w:t>
            </w:r>
            <w:r>
              <w:t>)</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挥发性有机物</w:t>
            </w:r>
          </w:p>
          <w:p>
            <w:pPr>
              <w:pStyle w:val="24"/>
              <w:bidi w:val="0"/>
            </w:pPr>
            <w:r>
              <w:rPr>
                <w:rFonts w:hint="eastAsia"/>
                <w:lang w:eastAsia="zh-CN"/>
              </w:rPr>
              <w:t>（非甲烷总烃）</w:t>
            </w:r>
          </w:p>
        </w:tc>
        <w:tc>
          <w:tcPr>
            <w:tcW w:w="1343" w:type="dxa"/>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委托监测</w:t>
            </w: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《固定污染源废气</w:t>
            </w:r>
            <w:r>
              <w:t xml:space="preserve"> </w:t>
            </w:r>
            <w:r>
              <w:rPr>
                <w:rFonts w:hint="eastAsia"/>
              </w:rPr>
              <w:t>总烃、甲烷和非甲烷总烃的测定</w:t>
            </w:r>
            <w:r>
              <w:t xml:space="preserve"> </w:t>
            </w:r>
            <w:r>
              <w:rPr>
                <w:rFonts w:hint="eastAsia"/>
              </w:rPr>
              <w:t>气相色谱法》(</w:t>
            </w:r>
            <w:r>
              <w:t>HJ 38-2017</w:t>
            </w:r>
            <w:r>
              <w:rPr>
                <w:rFonts w:hint="eastAsia"/>
              </w:rPr>
              <w:t>)</w:t>
            </w:r>
          </w:p>
        </w:tc>
        <w:tc>
          <w:tcPr>
            <w:tcW w:w="2949" w:type="dxa"/>
            <w:vMerge w:val="restart"/>
            <w:tcBorders>
              <w:top w:val="single" w:color="auto" w:sz="4" w:space="0"/>
              <w:left w:val="single" w:color="auto" w:sz="4" w:space="0"/>
              <w:bottom w:val="single" w:color="auto" w:sz="4" w:space="0"/>
              <w:right w:val="nil"/>
            </w:tcBorders>
            <w:noWrap/>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有机废气排气筒(D</w:t>
            </w:r>
            <w:r>
              <w:t>A002</w:t>
            </w:r>
            <w:r>
              <w:rPr>
                <w:rFonts w:hint="eastAsia"/>
              </w:rPr>
              <w:t>)</w:t>
            </w:r>
          </w:p>
          <w:p>
            <w:pPr>
              <w:pStyle w:val="24"/>
              <w:bidi w:val="0"/>
            </w:pPr>
            <w:r>
              <w:t>(</w:t>
            </w:r>
            <w:r>
              <w:rPr>
                <w:rFonts w:hint="eastAsia"/>
              </w:rPr>
              <w:t>水喷淋设施</w:t>
            </w:r>
            <w:r>
              <w:t>)</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挥发性有机物</w:t>
            </w:r>
          </w:p>
          <w:p>
            <w:pPr>
              <w:pStyle w:val="24"/>
              <w:bidi w:val="0"/>
            </w:pPr>
            <w:r>
              <w:t>(</w:t>
            </w:r>
            <w:r>
              <w:rPr>
                <w:rFonts w:hint="eastAsia"/>
              </w:rPr>
              <w:t>非甲烷总烃</w:t>
            </w:r>
            <w:r>
              <w:t>)</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《固定污染源废气</w:t>
            </w:r>
            <w:r>
              <w:t xml:space="preserve"> </w:t>
            </w:r>
            <w:r>
              <w:rPr>
                <w:rFonts w:hint="eastAsia"/>
              </w:rPr>
              <w:t>总烃、甲烷和非甲烷总烃的测定</w:t>
            </w:r>
            <w:r>
              <w:t xml:space="preserve"> </w:t>
            </w:r>
            <w:r>
              <w:rPr>
                <w:rFonts w:hint="eastAsia"/>
              </w:rPr>
              <w:t>气相色谱法》(</w:t>
            </w:r>
            <w:r>
              <w:t>HJ 38-2017</w:t>
            </w:r>
            <w:r>
              <w:rPr>
                <w:rFonts w:hint="eastAsia"/>
              </w:rPr>
              <w:t>)</w:t>
            </w:r>
          </w:p>
        </w:tc>
        <w:tc>
          <w:tcPr>
            <w:tcW w:w="2949" w:type="dxa"/>
            <w:vMerge w:val="continue"/>
            <w:tcBorders>
              <w:top w:val="single" w:color="auto" w:sz="4" w:space="0"/>
              <w:left w:val="single" w:color="auto" w:sz="4" w:space="0"/>
              <w:bottom w:val="single" w:color="auto" w:sz="4" w:space="0"/>
              <w:right w:val="nil"/>
            </w:tcBorders>
            <w:noWrap w:val="0"/>
            <w:vAlign w:val="center"/>
          </w:tcPr>
          <w:p>
            <w:pPr>
              <w:pStyle w:val="24"/>
              <w:bidi w:val="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有机废气排气筒(D</w:t>
            </w:r>
            <w:r>
              <w:t>A003</w:t>
            </w:r>
            <w:r>
              <w:rPr>
                <w:rFonts w:hint="eastAsia"/>
              </w:rPr>
              <w:t>)</w:t>
            </w:r>
          </w:p>
          <w:p>
            <w:pPr>
              <w:pStyle w:val="24"/>
              <w:bidi w:val="0"/>
              <w:rPr>
                <w:rFonts w:hint="eastAsia"/>
              </w:rPr>
            </w:pPr>
            <w:r>
              <w:t>(</w:t>
            </w:r>
            <w:r>
              <w:rPr>
                <w:rFonts w:hint="eastAsia"/>
              </w:rPr>
              <w:t>碱液喷淋+活性炭设施</w:t>
            </w:r>
            <w:r>
              <w:t>)</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挥发性有机物</w:t>
            </w:r>
          </w:p>
          <w:p>
            <w:pPr>
              <w:pStyle w:val="24"/>
              <w:bidi w:val="0"/>
              <w:rPr>
                <w:rFonts w:hint="eastAsia"/>
              </w:rPr>
            </w:pPr>
            <w:r>
              <w:t>(</w:t>
            </w:r>
            <w:r>
              <w:rPr>
                <w:rFonts w:hint="eastAsia"/>
              </w:rPr>
              <w:t>非甲烷总烃</w:t>
            </w:r>
            <w:r>
              <w:t>)</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rPr>
                <w:rFonts w:hint="eastAsia"/>
              </w:rPr>
            </w:pPr>
            <w:r>
              <w:rPr>
                <w:rFonts w:hint="eastAsia"/>
              </w:rPr>
              <w:t>《固定污染源废气</w:t>
            </w:r>
            <w:r>
              <w:t xml:space="preserve"> </w:t>
            </w:r>
            <w:r>
              <w:rPr>
                <w:rFonts w:hint="eastAsia"/>
              </w:rPr>
              <w:t>总烃、甲烷和非甲烷总烃的测定</w:t>
            </w:r>
            <w:r>
              <w:t xml:space="preserve"> </w:t>
            </w:r>
            <w:r>
              <w:rPr>
                <w:rFonts w:hint="eastAsia"/>
              </w:rPr>
              <w:t>气相色谱法》(</w:t>
            </w:r>
            <w:r>
              <w:t>HJ 38-2017</w:t>
            </w:r>
            <w:r>
              <w:rPr>
                <w:rFonts w:hint="eastAsia"/>
              </w:rPr>
              <w:t>)</w:t>
            </w:r>
          </w:p>
        </w:tc>
        <w:tc>
          <w:tcPr>
            <w:tcW w:w="2949" w:type="dxa"/>
            <w:tcBorders>
              <w:top w:val="single" w:color="auto" w:sz="4" w:space="0"/>
              <w:left w:val="single" w:color="auto" w:sz="4" w:space="0"/>
              <w:bottom w:val="single" w:color="auto" w:sz="4" w:space="0"/>
              <w:right w:val="nil"/>
            </w:tcBorders>
            <w:noWrap w:val="0"/>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季度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有机废气排气筒(D</w:t>
            </w:r>
            <w:r>
              <w:t>A004</w:t>
            </w:r>
            <w:r>
              <w:rPr>
                <w:rFonts w:hint="eastAsia"/>
              </w:rPr>
              <w:t>)</w:t>
            </w:r>
          </w:p>
          <w:p>
            <w:pPr>
              <w:pStyle w:val="24"/>
              <w:bidi w:val="0"/>
            </w:pPr>
            <w:r>
              <w:t>(</w:t>
            </w:r>
            <w:r>
              <w:rPr>
                <w:rFonts w:hint="eastAsia"/>
              </w:rPr>
              <w:t>废气净化装置2</w:t>
            </w:r>
            <w:r>
              <w:t>)</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挥发性有机物</w:t>
            </w:r>
          </w:p>
          <w:p>
            <w:pPr>
              <w:pStyle w:val="24"/>
              <w:bidi w:val="0"/>
            </w:pPr>
            <w:r>
              <w:t>(</w:t>
            </w:r>
            <w:r>
              <w:rPr>
                <w:rFonts w:hint="eastAsia"/>
              </w:rPr>
              <w:t>非甲烷总烃</w:t>
            </w:r>
            <w:r>
              <w:t>)</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《固定污染源废气</w:t>
            </w:r>
            <w:r>
              <w:t xml:space="preserve"> </w:t>
            </w:r>
            <w:r>
              <w:rPr>
                <w:rFonts w:hint="eastAsia"/>
              </w:rPr>
              <w:t>总烃、甲烷和非甲烷总烃的测定</w:t>
            </w:r>
            <w:r>
              <w:t xml:space="preserve"> </w:t>
            </w:r>
            <w:r>
              <w:rPr>
                <w:rFonts w:hint="eastAsia"/>
              </w:rPr>
              <w:t>气相色谱法》(</w:t>
            </w:r>
            <w:r>
              <w:t>HJ 38-2017</w:t>
            </w:r>
            <w:r>
              <w:rPr>
                <w:rFonts w:hint="eastAsia"/>
              </w:rPr>
              <w:t>)</w:t>
            </w:r>
          </w:p>
        </w:tc>
        <w:tc>
          <w:tcPr>
            <w:tcW w:w="2949" w:type="dxa"/>
            <w:tcBorders>
              <w:top w:val="single" w:color="auto" w:sz="4" w:space="0"/>
              <w:left w:val="single" w:color="auto" w:sz="4" w:space="0"/>
              <w:bottom w:val="single" w:color="auto" w:sz="4" w:space="0"/>
              <w:right w:val="nil"/>
            </w:tcBorders>
            <w:noWrap/>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厂界(上风向参照点○1#、下风向监控点○2#</w:t>
            </w:r>
            <w:r>
              <w:rPr>
                <w:rFonts w:hint="eastAsia"/>
                <w:lang w:val="en-US" w:eastAsia="zh-CN"/>
              </w:rPr>
              <w:t>~</w:t>
            </w:r>
            <w:r>
              <w:rPr>
                <w:rFonts w:hint="eastAsia"/>
              </w:rPr>
              <w:t>○4#)</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挥发性有机物</w:t>
            </w:r>
          </w:p>
          <w:p>
            <w:pPr>
              <w:pStyle w:val="24"/>
              <w:bidi w:val="0"/>
            </w:pPr>
            <w:r>
              <w:t>(</w:t>
            </w:r>
            <w:r>
              <w:rPr>
                <w:rFonts w:hint="eastAsia"/>
              </w:rPr>
              <w:t>非甲烷总烃</w:t>
            </w:r>
            <w:r>
              <w:t>)</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《固定污染源废气</w:t>
            </w:r>
            <w:r>
              <w:t xml:space="preserve"> </w:t>
            </w:r>
            <w:r>
              <w:rPr>
                <w:rFonts w:hint="eastAsia"/>
              </w:rPr>
              <w:t>总烃、甲烷和非甲烷总烃的测定</w:t>
            </w:r>
            <w:r>
              <w:t xml:space="preserve"> </w:t>
            </w:r>
            <w:r>
              <w:rPr>
                <w:rFonts w:hint="eastAsia"/>
              </w:rPr>
              <w:t>气相色谱法》(</w:t>
            </w:r>
            <w:r>
              <w:t>HJ 38-2017</w:t>
            </w:r>
            <w:r>
              <w:rPr>
                <w:rFonts w:hint="eastAsia"/>
              </w:rPr>
              <w:t>)</w:t>
            </w:r>
          </w:p>
        </w:tc>
        <w:tc>
          <w:tcPr>
            <w:tcW w:w="2949" w:type="dxa"/>
            <w:tcBorders>
              <w:top w:val="single" w:color="auto" w:sz="4" w:space="0"/>
              <w:left w:val="single" w:color="auto" w:sz="4" w:space="0"/>
              <w:bottom w:val="single" w:color="auto" w:sz="4" w:space="0"/>
              <w:right w:val="nil"/>
            </w:tcBorders>
            <w:noWrap/>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8"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423" w:type="dxa"/>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挥发性有机物设备与管线组件密封点</w:t>
            </w:r>
          </w:p>
        </w:tc>
        <w:tc>
          <w:tcPr>
            <w:tcW w:w="1916" w:type="dxa"/>
            <w:tcBorders>
              <w:top w:val="single" w:color="auto" w:sz="4" w:space="0"/>
              <w:left w:val="single" w:color="auto" w:sz="4" w:space="0"/>
              <w:bottom w:val="single" w:color="auto" w:sz="4" w:space="0"/>
              <w:right w:val="single" w:color="auto" w:sz="4" w:space="0"/>
            </w:tcBorders>
            <w:noWrap w:val="0"/>
            <w:vAlign w:val="center"/>
          </w:tcPr>
          <w:p>
            <w:pPr>
              <w:pStyle w:val="24"/>
              <w:bidi w:val="0"/>
            </w:pPr>
            <w:r>
              <w:rPr>
                <w:rFonts w:hint="eastAsia"/>
              </w:rPr>
              <w:t>监测点位为：法兰及其他连接件、其他密封设备。</w:t>
            </w:r>
          </w:p>
        </w:tc>
        <w:tc>
          <w:tcPr>
            <w:tcW w:w="1707" w:type="dxa"/>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挥发性有机物</w:t>
            </w:r>
          </w:p>
          <w:p>
            <w:pPr>
              <w:pStyle w:val="24"/>
              <w:bidi w:val="0"/>
            </w:pPr>
            <w:r>
              <w:t>(</w:t>
            </w:r>
            <w:r>
              <w:rPr>
                <w:rFonts w:hint="eastAsia"/>
              </w:rPr>
              <w:t>非甲烷总烃</w:t>
            </w:r>
            <w:r>
              <w:t>)</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《固定污染源废气</w:t>
            </w:r>
            <w:r>
              <w:t xml:space="preserve"> </w:t>
            </w:r>
            <w:r>
              <w:rPr>
                <w:rFonts w:hint="eastAsia"/>
              </w:rPr>
              <w:t>总烃、甲烷和非甲烷总烃的测定</w:t>
            </w:r>
            <w:r>
              <w:t xml:space="preserve"> </w:t>
            </w:r>
            <w:r>
              <w:rPr>
                <w:rFonts w:hint="eastAsia"/>
              </w:rPr>
              <w:t>气相色谱法》(</w:t>
            </w:r>
            <w:r>
              <w:t>HJ 38-2017</w:t>
            </w:r>
            <w:r>
              <w:rPr>
                <w:rFonts w:hint="eastAsia"/>
              </w:rPr>
              <w:t>)</w:t>
            </w:r>
          </w:p>
        </w:tc>
        <w:tc>
          <w:tcPr>
            <w:tcW w:w="2949" w:type="dxa"/>
            <w:tcBorders>
              <w:top w:val="single" w:color="auto" w:sz="4" w:space="0"/>
              <w:left w:val="single" w:color="auto" w:sz="4" w:space="0"/>
              <w:bottom w:val="single" w:color="auto" w:sz="4" w:space="0"/>
              <w:right w:val="nil"/>
            </w:tcBorders>
            <w:noWrap/>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8"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42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916" w:type="dxa"/>
            <w:tcBorders>
              <w:top w:val="single" w:color="auto" w:sz="4" w:space="0"/>
              <w:left w:val="single" w:color="auto" w:sz="4" w:space="0"/>
              <w:bottom w:val="single" w:color="auto" w:sz="4" w:space="0"/>
              <w:right w:val="single" w:color="auto" w:sz="4" w:space="0"/>
            </w:tcBorders>
            <w:noWrap w:val="0"/>
            <w:vAlign w:val="center"/>
          </w:tcPr>
          <w:p>
            <w:pPr>
              <w:pStyle w:val="24"/>
              <w:bidi w:val="0"/>
            </w:pPr>
            <w:r>
              <w:rPr>
                <w:rFonts w:hint="eastAsia"/>
              </w:rPr>
              <w:t>监测点位为：泵、压缩机、搅拌器</w:t>
            </w:r>
            <w:r>
              <w:t>(</w:t>
            </w:r>
            <w:r>
              <w:rPr>
                <w:rFonts w:hint="eastAsia"/>
              </w:rPr>
              <w:t>机</w:t>
            </w:r>
            <w:r>
              <w:t>)</w:t>
            </w:r>
            <w:r>
              <w:rPr>
                <w:rFonts w:hint="eastAsia"/>
              </w:rPr>
              <w:t>、阀门、开口阀或开口管线、泄压设备、取样连接器。</w:t>
            </w:r>
          </w:p>
        </w:tc>
        <w:tc>
          <w:tcPr>
            <w:tcW w:w="1707"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2949" w:type="dxa"/>
            <w:tcBorders>
              <w:top w:val="single" w:color="auto" w:sz="4" w:space="0"/>
              <w:left w:val="single" w:color="auto" w:sz="4" w:space="0"/>
              <w:bottom w:val="single" w:color="auto" w:sz="4" w:space="0"/>
              <w:right w:val="nil"/>
            </w:tcBorders>
            <w:noWrap/>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汽油油气收集系统泄漏点</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油气体积分数</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《储油库大气污染物排放标准》</w:t>
            </w:r>
          </w:p>
          <w:p>
            <w:pPr>
              <w:pStyle w:val="24"/>
              <w:bidi w:val="0"/>
            </w:pPr>
            <w:r>
              <w:rPr>
                <w:rFonts w:hint="eastAsia"/>
                <w:lang w:eastAsia="zh-CN"/>
              </w:rPr>
              <w:t>（GB20950-2020）</w:t>
            </w:r>
          </w:p>
        </w:tc>
        <w:tc>
          <w:tcPr>
            <w:tcW w:w="2949" w:type="dxa"/>
            <w:tcBorders>
              <w:top w:val="single" w:color="auto" w:sz="4" w:space="0"/>
              <w:left w:val="single" w:color="auto" w:sz="4" w:space="0"/>
              <w:bottom w:val="single" w:color="auto" w:sz="4" w:space="0"/>
              <w:right w:val="nil"/>
            </w:tcBorders>
            <w:noWrap/>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半年</w:t>
            </w:r>
          </w:p>
          <w:p>
            <w:pPr>
              <w:pStyle w:val="24"/>
              <w:bidi w:val="0"/>
            </w:pPr>
            <w:r>
              <w:rPr>
                <w:rFonts w:hint="eastAsia"/>
              </w:rPr>
              <w:t>汽油油气收集系统泄漏点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汽油油罐车底部发油结束断开快接头泄漏点</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汽油泄漏量</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《储油库大气污染物排放标准》</w:t>
            </w:r>
          </w:p>
          <w:p>
            <w:pPr>
              <w:pStyle w:val="24"/>
              <w:bidi w:val="0"/>
            </w:pPr>
            <w:r>
              <w:rPr>
                <w:rFonts w:hint="eastAsia"/>
                <w:lang w:eastAsia="zh-CN"/>
              </w:rPr>
              <w:t>（GB20950-2020）</w:t>
            </w:r>
          </w:p>
        </w:tc>
        <w:tc>
          <w:tcPr>
            <w:tcW w:w="2949" w:type="dxa"/>
            <w:tcBorders>
              <w:top w:val="single" w:color="auto" w:sz="4" w:space="0"/>
              <w:left w:val="single" w:color="auto" w:sz="4" w:space="0"/>
              <w:bottom w:val="single" w:color="auto" w:sz="4" w:space="0"/>
              <w:right w:val="nil"/>
            </w:tcBorders>
            <w:noWrap/>
            <w:vAlign w:val="center"/>
          </w:tcPr>
          <w:p>
            <w:pPr>
              <w:pStyle w:val="24"/>
              <w:bidi w:val="0"/>
            </w:pPr>
            <w:r>
              <w:rPr>
                <w:rFonts w:hint="eastAsia"/>
              </w:rPr>
              <w:t>非连续采样，至少</w:t>
            </w:r>
            <w:r>
              <w:t>3</w:t>
            </w:r>
            <w:r>
              <w:rPr>
                <w:rFonts w:hint="eastAsia"/>
              </w:rPr>
              <w:t>次</w:t>
            </w:r>
          </w:p>
          <w:p>
            <w:pPr>
              <w:pStyle w:val="24"/>
              <w:bidi w:val="0"/>
            </w:pPr>
            <w:r>
              <w:t>1</w:t>
            </w:r>
            <w:r>
              <w:rPr>
                <w:rFonts w:hint="eastAsia"/>
              </w:rPr>
              <w:t>次</w:t>
            </w:r>
            <w:r>
              <w:t>/</w:t>
            </w:r>
            <w:r>
              <w:rPr>
                <w:rFonts w:hint="eastAsia"/>
              </w:rPr>
              <w:t>半年</w:t>
            </w:r>
          </w:p>
          <w:p>
            <w:pPr>
              <w:pStyle w:val="24"/>
              <w:bidi w:val="0"/>
            </w:pPr>
            <w:r>
              <w:rPr>
                <w:rFonts w:hint="eastAsia"/>
              </w:rPr>
              <w:t>底部装油结束并断开快接头时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restart"/>
            <w:tcBorders>
              <w:top w:val="single" w:color="auto" w:sz="4" w:space="0"/>
              <w:left w:val="nil"/>
              <w:bottom w:val="single" w:color="auto" w:sz="4" w:space="0"/>
              <w:right w:val="single" w:color="auto" w:sz="4" w:space="0"/>
            </w:tcBorders>
            <w:noWrap/>
            <w:vAlign w:val="center"/>
          </w:tcPr>
          <w:p>
            <w:pPr>
              <w:pStyle w:val="24"/>
              <w:bidi w:val="0"/>
            </w:pPr>
            <w:r>
              <w:t>2</w:t>
            </w:r>
          </w:p>
        </w:tc>
        <w:tc>
          <w:tcPr>
            <w:tcW w:w="505" w:type="dxa"/>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废水</w:t>
            </w:r>
          </w:p>
        </w:tc>
        <w:tc>
          <w:tcPr>
            <w:tcW w:w="3339" w:type="dxa"/>
            <w:gridSpan w:val="2"/>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生产废水排放口</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t>pH</w:t>
            </w:r>
          </w:p>
        </w:tc>
        <w:tc>
          <w:tcPr>
            <w:tcW w:w="1343" w:type="dxa"/>
            <w:vMerge w:val="restart"/>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委托监测</w:t>
            </w: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水质</w:t>
            </w:r>
            <w:r>
              <w:t xml:space="preserve"> pH</w:t>
            </w:r>
            <w:r>
              <w:rPr>
                <w:rFonts w:hint="eastAsia"/>
              </w:rPr>
              <w:t>值的测定玻璃电极法</w:t>
            </w:r>
            <w:r>
              <w:rPr>
                <w:rFonts w:hint="eastAsia"/>
                <w:lang w:eastAsia="zh-CN"/>
              </w:rPr>
              <w:t>（GB6920-1986）</w:t>
            </w:r>
          </w:p>
        </w:tc>
        <w:tc>
          <w:tcPr>
            <w:tcW w:w="2949" w:type="dxa"/>
            <w:vMerge w:val="restart"/>
            <w:tcBorders>
              <w:top w:val="single" w:color="auto" w:sz="4" w:space="0"/>
              <w:left w:val="single" w:color="auto" w:sz="4" w:space="0"/>
              <w:bottom w:val="single" w:color="auto" w:sz="4" w:space="0"/>
              <w:right w:val="nil"/>
            </w:tcBorders>
            <w:noWrap/>
            <w:vAlign w:val="center"/>
          </w:tcPr>
          <w:p>
            <w:pPr>
              <w:pStyle w:val="24"/>
              <w:bidi w:val="0"/>
            </w:pPr>
            <w:r>
              <w:rPr>
                <w:rFonts w:hint="eastAsia"/>
              </w:rPr>
              <w:t>瞬时采样，至少</w:t>
            </w:r>
            <w:r>
              <w:t>3</w:t>
            </w:r>
            <w:r>
              <w:rPr>
                <w:rFonts w:hint="eastAsia"/>
              </w:rPr>
              <w:t>个混合样</w:t>
            </w:r>
          </w:p>
          <w:p>
            <w:pPr>
              <w:pStyle w:val="24"/>
              <w:bidi w:val="0"/>
            </w:pPr>
            <w:r>
              <w:t>1</w:t>
            </w:r>
            <w:r>
              <w:rPr>
                <w:rFonts w:hint="eastAsia"/>
              </w:rPr>
              <w:t>次</w:t>
            </w:r>
            <w:r>
              <w:t>/</w:t>
            </w:r>
            <w:r>
              <w:rPr>
                <w:rFonts w:hint="eastAsia"/>
              </w:rPr>
              <w:t>季度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悬浮物</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水质</w:t>
            </w:r>
            <w:r>
              <w:t xml:space="preserve"> </w:t>
            </w:r>
            <w:r>
              <w:rPr>
                <w:rFonts w:hint="eastAsia"/>
              </w:rPr>
              <w:t>悬浮物的测定</w:t>
            </w:r>
            <w:r>
              <w:t xml:space="preserve"> </w:t>
            </w:r>
            <w:r>
              <w:rPr>
                <w:rFonts w:hint="eastAsia"/>
              </w:rPr>
              <w:t>重量法</w:t>
            </w:r>
            <w:r>
              <w:t xml:space="preserve"> </w:t>
            </w:r>
          </w:p>
          <w:p>
            <w:pPr>
              <w:pStyle w:val="24"/>
              <w:bidi w:val="0"/>
            </w:pPr>
            <w:r>
              <w:rPr>
                <w:rFonts w:hint="eastAsia"/>
                <w:lang w:eastAsia="zh-CN"/>
              </w:rPr>
              <w:t>（GB 11901-1989）</w:t>
            </w:r>
          </w:p>
        </w:tc>
        <w:tc>
          <w:tcPr>
            <w:tcW w:w="2949" w:type="dxa"/>
            <w:vMerge w:val="continue"/>
            <w:tcBorders>
              <w:top w:val="single" w:color="auto" w:sz="4" w:space="0"/>
              <w:left w:val="single" w:color="auto" w:sz="4" w:space="0"/>
              <w:bottom w:val="single" w:color="auto" w:sz="4" w:space="0"/>
              <w:right w:val="nil"/>
            </w:tcBorders>
            <w:noWrap w:val="0"/>
            <w:vAlign w:val="center"/>
          </w:tcPr>
          <w:p>
            <w:pPr>
              <w:pStyle w:val="24"/>
              <w:bidi w:val="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石油类</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水质</w:t>
            </w:r>
            <w:r>
              <w:t xml:space="preserve"> </w:t>
            </w:r>
            <w:r>
              <w:rPr>
                <w:rFonts w:hint="eastAsia"/>
              </w:rPr>
              <w:t>石油类和动植物油类的测定</w:t>
            </w:r>
            <w:r>
              <w:t xml:space="preserve"> </w:t>
            </w:r>
            <w:r>
              <w:rPr>
                <w:rFonts w:hint="eastAsia"/>
              </w:rPr>
              <w:t>红外分光光度法</w:t>
            </w:r>
          </w:p>
          <w:p>
            <w:pPr>
              <w:pStyle w:val="24"/>
              <w:bidi w:val="0"/>
            </w:pPr>
            <w:r>
              <w:rPr>
                <w:rFonts w:hint="eastAsia"/>
                <w:lang w:eastAsia="zh-CN"/>
              </w:rPr>
              <w:t>（HJ637-2018）</w:t>
            </w:r>
          </w:p>
        </w:tc>
        <w:tc>
          <w:tcPr>
            <w:tcW w:w="2949" w:type="dxa"/>
            <w:vMerge w:val="continue"/>
            <w:tcBorders>
              <w:top w:val="single" w:color="auto" w:sz="4" w:space="0"/>
              <w:left w:val="single" w:color="auto" w:sz="4" w:space="0"/>
              <w:bottom w:val="single" w:color="auto" w:sz="4" w:space="0"/>
              <w:right w:val="nil"/>
            </w:tcBorders>
            <w:noWrap w:val="0"/>
            <w:vAlign w:val="center"/>
          </w:tcPr>
          <w:p>
            <w:pPr>
              <w:pStyle w:val="24"/>
              <w:bidi w:val="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化学需氧量</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rPr>
                <w:rFonts w:hint="eastAsia"/>
              </w:rPr>
            </w:pPr>
            <w:r>
              <w:rPr>
                <w:rFonts w:hint="eastAsia"/>
              </w:rPr>
              <w:t>水质</w:t>
            </w:r>
            <w:r>
              <w:t xml:space="preserve"> </w:t>
            </w:r>
            <w:r>
              <w:rPr>
                <w:rFonts w:hint="eastAsia"/>
              </w:rPr>
              <w:t>化学需氧量的测定重铬酸盐法</w:t>
            </w:r>
          </w:p>
          <w:p>
            <w:pPr>
              <w:pStyle w:val="24"/>
              <w:bidi w:val="0"/>
            </w:pPr>
            <w:r>
              <w:rPr>
                <w:rFonts w:hint="eastAsia"/>
                <w:lang w:eastAsia="zh-CN"/>
              </w:rPr>
              <w:t>（HJ 828-2017）</w:t>
            </w:r>
          </w:p>
        </w:tc>
        <w:tc>
          <w:tcPr>
            <w:tcW w:w="2949" w:type="dxa"/>
            <w:vMerge w:val="restart"/>
            <w:tcBorders>
              <w:top w:val="single" w:color="auto" w:sz="4" w:space="0"/>
              <w:left w:val="single" w:color="auto" w:sz="4" w:space="0"/>
              <w:bottom w:val="single" w:color="auto" w:sz="4" w:space="0"/>
              <w:right w:val="nil"/>
            </w:tcBorders>
            <w:noWrap w:val="0"/>
            <w:vAlign w:val="center"/>
          </w:tcPr>
          <w:p>
            <w:pPr>
              <w:pStyle w:val="24"/>
              <w:bidi w:val="0"/>
            </w:pPr>
            <w:r>
              <w:rPr>
                <w:rFonts w:hint="eastAsia"/>
              </w:rPr>
              <w:t>瞬时采样</w:t>
            </w:r>
            <w:r>
              <w:t xml:space="preserve"> </w:t>
            </w:r>
            <w:r>
              <w:rPr>
                <w:rFonts w:hint="eastAsia"/>
              </w:rPr>
              <w:t>至少</w:t>
            </w:r>
            <w:r>
              <w:t>3</w:t>
            </w:r>
            <w:r>
              <w:rPr>
                <w:rFonts w:hint="eastAsia"/>
              </w:rPr>
              <w:t>个混合样</w:t>
            </w:r>
          </w:p>
          <w:p>
            <w:pPr>
              <w:pStyle w:val="24"/>
              <w:bidi w:val="0"/>
            </w:pPr>
            <w:r>
              <w:t>1</w:t>
            </w:r>
            <w:r>
              <w:rPr>
                <w:rFonts w:hint="eastAsia"/>
              </w:rPr>
              <w:t>次</w:t>
            </w:r>
            <w:r>
              <w:t>/</w:t>
            </w:r>
            <w:r>
              <w:rPr>
                <w:rFonts w:hint="eastAsia"/>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氨氮</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rPr>
                <w:rFonts w:hint="eastAsia" w:eastAsia="宋体"/>
                <w:lang w:eastAsia="zh-CN"/>
              </w:rPr>
            </w:pPr>
            <w:r>
              <w:rPr>
                <w:rFonts w:hint="eastAsia"/>
              </w:rPr>
              <w:t>水质</w:t>
            </w:r>
            <w:r>
              <w:t xml:space="preserve"> </w:t>
            </w:r>
            <w:r>
              <w:rPr>
                <w:rFonts w:hint="eastAsia"/>
              </w:rPr>
              <w:t>氨氮的测定</w:t>
            </w:r>
            <w:r>
              <w:t xml:space="preserve"> </w:t>
            </w:r>
            <w:r>
              <w:rPr>
                <w:rFonts w:hint="eastAsia"/>
              </w:rPr>
              <w:t>纳氏试剂分光光度法</w:t>
            </w:r>
            <w:r>
              <w:t xml:space="preserve"> </w:t>
            </w:r>
            <w:r>
              <w:rPr>
                <w:rFonts w:hint="eastAsia"/>
                <w:lang w:eastAsia="zh-CN"/>
              </w:rPr>
              <w:t>（HJ 535-2009）</w:t>
            </w:r>
          </w:p>
        </w:tc>
        <w:tc>
          <w:tcPr>
            <w:tcW w:w="2949" w:type="dxa"/>
            <w:vMerge w:val="continue"/>
            <w:tcBorders>
              <w:top w:val="single" w:color="auto" w:sz="4" w:space="0"/>
              <w:left w:val="single" w:color="auto" w:sz="4" w:space="0"/>
              <w:bottom w:val="single" w:color="auto" w:sz="4" w:space="0"/>
              <w:right w:val="nil"/>
            </w:tcBorders>
            <w:noWrap w:val="0"/>
            <w:vAlign w:val="center"/>
          </w:tcPr>
          <w:p>
            <w:pPr>
              <w:pStyle w:val="24"/>
              <w:bidi w:val="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总有机碳</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水质</w:t>
            </w:r>
            <w:r>
              <w:t xml:space="preserve"> </w:t>
            </w:r>
            <w:r>
              <w:rPr>
                <w:rFonts w:hint="eastAsia"/>
              </w:rPr>
              <w:t>总有机碳的测定</w:t>
            </w:r>
            <w:r>
              <w:t xml:space="preserve"> </w:t>
            </w:r>
            <w:r>
              <w:rPr>
                <w:rFonts w:hint="eastAsia"/>
              </w:rPr>
              <w:t>燃烧氧化</w:t>
            </w:r>
            <w:r>
              <w:t>-</w:t>
            </w:r>
            <w:r>
              <w:rPr>
                <w:rFonts w:hint="eastAsia"/>
              </w:rPr>
              <w:t>非分散红外吸收法</w:t>
            </w:r>
          </w:p>
          <w:p>
            <w:pPr>
              <w:pStyle w:val="24"/>
              <w:bidi w:val="0"/>
              <w:rPr>
                <w:rFonts w:hint="eastAsia" w:eastAsia="宋体"/>
                <w:lang w:eastAsia="zh-CN"/>
              </w:rPr>
            </w:pPr>
            <w:r>
              <w:rPr>
                <w:rFonts w:hint="eastAsia"/>
                <w:lang w:eastAsia="zh-CN"/>
              </w:rPr>
              <w:t>（HJ501-2009）</w:t>
            </w:r>
          </w:p>
        </w:tc>
        <w:tc>
          <w:tcPr>
            <w:tcW w:w="2949" w:type="dxa"/>
            <w:tcBorders>
              <w:top w:val="single" w:color="auto" w:sz="4" w:space="0"/>
              <w:left w:val="single" w:color="auto" w:sz="4" w:space="0"/>
              <w:bottom w:val="single" w:color="auto" w:sz="4" w:space="0"/>
              <w:right w:val="nil"/>
            </w:tcBorders>
            <w:noWrap w:val="0"/>
            <w:vAlign w:val="center"/>
          </w:tcPr>
          <w:p>
            <w:pPr>
              <w:pStyle w:val="24"/>
              <w:bidi w:val="0"/>
            </w:pPr>
            <w:r>
              <w:rPr>
                <w:rFonts w:hint="eastAsia"/>
              </w:rPr>
              <w:t>瞬时采样</w:t>
            </w:r>
            <w:r>
              <w:t xml:space="preserve"> </w:t>
            </w:r>
            <w:r>
              <w:rPr>
                <w:rFonts w:hint="eastAsia"/>
              </w:rPr>
              <w:t>至少</w:t>
            </w:r>
            <w:r>
              <w:t>3</w:t>
            </w:r>
            <w:r>
              <w:rPr>
                <w:rFonts w:hint="eastAsia"/>
              </w:rPr>
              <w:t>个混合样</w:t>
            </w:r>
          </w:p>
          <w:p>
            <w:pPr>
              <w:pStyle w:val="24"/>
              <w:bidi w:val="0"/>
            </w:pPr>
            <w:r>
              <w:t>1</w:t>
            </w:r>
            <w:r>
              <w:rPr>
                <w:rFonts w:hint="eastAsia"/>
              </w:rPr>
              <w:t>次</w:t>
            </w:r>
            <w:r>
              <w:t>/</w:t>
            </w:r>
            <w:r>
              <w:rPr>
                <w:rFonts w:hint="eastAsia"/>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restart"/>
            <w:tcBorders>
              <w:top w:val="single" w:color="auto" w:sz="4" w:space="0"/>
              <w:left w:val="single" w:color="auto" w:sz="4" w:space="0"/>
              <w:bottom w:val="single" w:color="auto" w:sz="4" w:space="0"/>
              <w:right w:val="single" w:color="auto" w:sz="4" w:space="0"/>
            </w:tcBorders>
            <w:noWrap w:val="0"/>
            <w:vAlign w:val="center"/>
          </w:tcPr>
          <w:p>
            <w:pPr>
              <w:pStyle w:val="24"/>
              <w:bidi w:val="0"/>
            </w:pPr>
            <w:r>
              <w:rPr>
                <w:rFonts w:hint="eastAsia"/>
              </w:rPr>
              <w:t>雨水排放口</w:t>
            </w: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化学需要量</w:t>
            </w:r>
          </w:p>
        </w:tc>
        <w:tc>
          <w:tcPr>
            <w:tcW w:w="1343" w:type="dxa"/>
            <w:vMerge w:val="restart"/>
            <w:tcBorders>
              <w:top w:val="single" w:color="auto" w:sz="4" w:space="0"/>
              <w:left w:val="single" w:color="auto" w:sz="4" w:space="0"/>
              <w:bottom w:val="single" w:color="auto" w:sz="4" w:space="0"/>
              <w:right w:val="single" w:color="auto" w:sz="4" w:space="0"/>
            </w:tcBorders>
            <w:noWrap w:val="0"/>
            <w:vAlign w:val="center"/>
          </w:tcPr>
          <w:p>
            <w:pPr>
              <w:pStyle w:val="24"/>
              <w:bidi w:val="0"/>
            </w:pPr>
            <w:r>
              <w:rPr>
                <w:rFonts w:hint="eastAsia"/>
              </w:rPr>
              <w:t>委托监测</w:t>
            </w: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rPr>
                <w:rFonts w:hint="eastAsia"/>
              </w:rPr>
            </w:pPr>
            <w:r>
              <w:rPr>
                <w:rFonts w:hint="eastAsia"/>
              </w:rPr>
              <w:t>水质</w:t>
            </w:r>
            <w:r>
              <w:t xml:space="preserve"> </w:t>
            </w:r>
            <w:r>
              <w:rPr>
                <w:rFonts w:hint="eastAsia"/>
              </w:rPr>
              <w:t>化学需氧量的测定重铬酸盐法</w:t>
            </w:r>
          </w:p>
          <w:p>
            <w:pPr>
              <w:pStyle w:val="24"/>
              <w:bidi w:val="0"/>
              <w:rPr>
                <w:rFonts w:hint="eastAsia" w:eastAsia="宋体"/>
                <w:lang w:eastAsia="zh-CN"/>
              </w:rPr>
            </w:pPr>
            <w:r>
              <w:rPr>
                <w:rFonts w:hint="eastAsia"/>
                <w:lang w:eastAsia="zh-CN"/>
              </w:rPr>
              <w:t>（HJ</w:t>
            </w:r>
            <w:r>
              <w:rPr>
                <w:rFonts w:hint="eastAsia"/>
                <w:lang w:val="en-US" w:eastAsia="zh-CN"/>
              </w:rPr>
              <w:t xml:space="preserve"> </w:t>
            </w:r>
            <w:r>
              <w:rPr>
                <w:rFonts w:hint="eastAsia"/>
                <w:lang w:eastAsia="zh-CN"/>
              </w:rPr>
              <w:t>828-2017）</w:t>
            </w:r>
          </w:p>
        </w:tc>
        <w:tc>
          <w:tcPr>
            <w:tcW w:w="2949" w:type="dxa"/>
            <w:vMerge w:val="restart"/>
            <w:tcBorders>
              <w:top w:val="single" w:color="auto" w:sz="4" w:space="0"/>
              <w:left w:val="single" w:color="auto" w:sz="4" w:space="0"/>
              <w:bottom w:val="single" w:color="auto" w:sz="4" w:space="0"/>
              <w:right w:val="nil"/>
            </w:tcBorders>
            <w:noWrap w:val="0"/>
            <w:vAlign w:val="center"/>
          </w:tcPr>
          <w:p>
            <w:pPr>
              <w:pStyle w:val="24"/>
              <w:bidi w:val="0"/>
            </w:pPr>
            <w:r>
              <w:rPr>
                <w:rFonts w:hint="eastAsia"/>
              </w:rPr>
              <w:t>排水期间按日监测，如监测一年无异常情况，可放宽至每季度监测一次。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氨氮</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水质</w:t>
            </w:r>
            <w:r>
              <w:t xml:space="preserve"> </w:t>
            </w:r>
            <w:r>
              <w:rPr>
                <w:rFonts w:hint="eastAsia"/>
              </w:rPr>
              <w:t>氨氮的测定</w:t>
            </w:r>
            <w:r>
              <w:t xml:space="preserve"> </w:t>
            </w:r>
            <w:r>
              <w:rPr>
                <w:rFonts w:hint="eastAsia"/>
              </w:rPr>
              <w:t>纳氏试剂分光光度法</w:t>
            </w:r>
          </w:p>
          <w:p>
            <w:pPr>
              <w:pStyle w:val="24"/>
              <w:bidi w:val="0"/>
              <w:rPr>
                <w:rFonts w:hint="eastAsia" w:eastAsia="宋体"/>
                <w:lang w:eastAsia="zh-CN"/>
              </w:rPr>
            </w:pPr>
            <w:r>
              <w:rPr>
                <w:rFonts w:hint="eastAsia"/>
                <w:lang w:eastAsia="zh-CN"/>
              </w:rPr>
              <w:t>（HJ 535-2009）</w:t>
            </w:r>
          </w:p>
        </w:tc>
        <w:tc>
          <w:tcPr>
            <w:tcW w:w="2949" w:type="dxa"/>
            <w:vMerge w:val="continue"/>
            <w:tcBorders>
              <w:top w:val="single" w:color="auto" w:sz="4" w:space="0"/>
              <w:left w:val="single" w:color="auto" w:sz="4" w:space="0"/>
              <w:bottom w:val="single" w:color="auto" w:sz="4" w:space="0"/>
              <w:right w:val="nil"/>
            </w:tcBorders>
            <w:noWrap w:val="0"/>
            <w:vAlign w:val="center"/>
          </w:tcPr>
          <w:p>
            <w:pPr>
              <w:pStyle w:val="24"/>
              <w:bidi w:val="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vMerge w:val="continue"/>
            <w:tcBorders>
              <w:top w:val="single" w:color="auto" w:sz="4" w:space="0"/>
              <w:left w:val="nil"/>
              <w:bottom w:val="single" w:color="auto" w:sz="4" w:space="0"/>
              <w:right w:val="single" w:color="auto" w:sz="4" w:space="0"/>
            </w:tcBorders>
            <w:noWrap w:val="0"/>
            <w:vAlign w:val="center"/>
          </w:tcPr>
          <w:p>
            <w:pPr>
              <w:pStyle w:val="24"/>
              <w:bidi w:val="0"/>
            </w:pPr>
          </w:p>
        </w:tc>
        <w:tc>
          <w:tcPr>
            <w:tcW w:w="50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339"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1707"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石油类</w:t>
            </w:r>
          </w:p>
        </w:tc>
        <w:tc>
          <w:tcPr>
            <w:tcW w:w="1343" w:type="dxa"/>
            <w:vMerge w:val="continue"/>
            <w:tcBorders>
              <w:top w:val="single" w:color="auto" w:sz="4" w:space="0"/>
              <w:left w:val="single" w:color="auto" w:sz="4" w:space="0"/>
              <w:bottom w:val="single" w:color="auto" w:sz="4" w:space="0"/>
              <w:right w:val="single" w:color="auto" w:sz="4" w:space="0"/>
            </w:tcBorders>
            <w:noWrap w:val="0"/>
            <w:vAlign w:val="center"/>
          </w:tcPr>
          <w:p>
            <w:pPr>
              <w:pStyle w:val="24"/>
              <w:bidi w:val="0"/>
            </w:pPr>
          </w:p>
        </w:tc>
        <w:tc>
          <w:tcPr>
            <w:tcW w:w="3826" w:type="dxa"/>
            <w:tcBorders>
              <w:top w:val="single" w:color="auto" w:sz="4" w:space="0"/>
              <w:left w:val="single" w:color="auto" w:sz="4" w:space="0"/>
              <w:bottom w:val="single" w:color="auto" w:sz="4" w:space="0"/>
              <w:right w:val="single" w:color="auto" w:sz="4" w:space="0"/>
            </w:tcBorders>
            <w:noWrap/>
            <w:vAlign w:val="center"/>
          </w:tcPr>
          <w:p>
            <w:pPr>
              <w:pStyle w:val="24"/>
              <w:bidi w:val="0"/>
            </w:pPr>
            <w:r>
              <w:rPr>
                <w:rFonts w:hint="eastAsia"/>
              </w:rPr>
              <w:t>水质</w:t>
            </w:r>
            <w:r>
              <w:t xml:space="preserve"> </w:t>
            </w:r>
            <w:r>
              <w:rPr>
                <w:rFonts w:hint="eastAsia"/>
              </w:rPr>
              <w:t>石油类和动植物油类的测定</w:t>
            </w:r>
            <w:r>
              <w:t xml:space="preserve"> </w:t>
            </w:r>
            <w:r>
              <w:rPr>
                <w:rFonts w:hint="eastAsia"/>
              </w:rPr>
              <w:t>红外分光光度法</w:t>
            </w:r>
          </w:p>
          <w:p>
            <w:pPr>
              <w:pStyle w:val="24"/>
              <w:bidi w:val="0"/>
              <w:rPr>
                <w:rFonts w:hint="eastAsia" w:eastAsia="宋体"/>
                <w:lang w:eastAsia="zh-CN"/>
              </w:rPr>
            </w:pPr>
            <w:r>
              <w:rPr>
                <w:rFonts w:hint="eastAsia"/>
                <w:lang w:eastAsia="zh-CN"/>
              </w:rPr>
              <w:t>（HJ637-2018）</w:t>
            </w:r>
          </w:p>
        </w:tc>
        <w:tc>
          <w:tcPr>
            <w:tcW w:w="2949" w:type="dxa"/>
            <w:vMerge w:val="continue"/>
            <w:tcBorders>
              <w:top w:val="single" w:color="auto" w:sz="4" w:space="0"/>
              <w:left w:val="single" w:color="auto" w:sz="4" w:space="0"/>
              <w:bottom w:val="single" w:color="auto" w:sz="4" w:space="0"/>
              <w:right w:val="nil"/>
            </w:tcBorders>
            <w:noWrap w:val="0"/>
            <w:vAlign w:val="center"/>
          </w:tcPr>
          <w:p>
            <w:pPr>
              <w:pStyle w:val="24"/>
              <w:bidi w:val="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 w:type="dxa"/>
            <w:tcBorders>
              <w:top w:val="single" w:color="auto" w:sz="4" w:space="0"/>
              <w:left w:val="nil"/>
              <w:bottom w:val="single" w:color="auto" w:sz="12" w:space="0"/>
              <w:right w:val="single" w:color="auto" w:sz="4" w:space="0"/>
            </w:tcBorders>
            <w:noWrap w:val="0"/>
            <w:vAlign w:val="center"/>
          </w:tcPr>
          <w:p>
            <w:pPr>
              <w:pStyle w:val="24"/>
              <w:bidi w:val="0"/>
            </w:pPr>
            <w:r>
              <w:t>3</w:t>
            </w:r>
          </w:p>
        </w:tc>
        <w:tc>
          <w:tcPr>
            <w:tcW w:w="505" w:type="dxa"/>
            <w:tcBorders>
              <w:top w:val="single" w:color="auto" w:sz="4" w:space="0"/>
              <w:left w:val="single" w:color="auto" w:sz="4" w:space="0"/>
              <w:bottom w:val="single" w:color="auto" w:sz="12" w:space="0"/>
              <w:right w:val="single" w:color="auto" w:sz="4" w:space="0"/>
            </w:tcBorders>
            <w:noWrap w:val="0"/>
            <w:vAlign w:val="center"/>
          </w:tcPr>
          <w:p>
            <w:pPr>
              <w:pStyle w:val="24"/>
              <w:bidi w:val="0"/>
            </w:pPr>
            <w:r>
              <w:rPr>
                <w:rFonts w:hint="eastAsia"/>
              </w:rPr>
              <w:t>噪声</w:t>
            </w:r>
          </w:p>
        </w:tc>
        <w:tc>
          <w:tcPr>
            <w:tcW w:w="3339" w:type="dxa"/>
            <w:gridSpan w:val="2"/>
            <w:tcBorders>
              <w:top w:val="single" w:color="auto" w:sz="4" w:space="0"/>
              <w:left w:val="single" w:color="auto" w:sz="4" w:space="0"/>
              <w:bottom w:val="single" w:color="auto" w:sz="12" w:space="0"/>
              <w:right w:val="single" w:color="auto" w:sz="4" w:space="0"/>
            </w:tcBorders>
            <w:noWrap w:val="0"/>
            <w:vAlign w:val="center"/>
          </w:tcPr>
          <w:p>
            <w:pPr>
              <w:pStyle w:val="24"/>
              <w:bidi w:val="0"/>
            </w:pPr>
            <w:r>
              <w:rPr>
                <w:rFonts w:hint="eastAsia"/>
              </w:rPr>
              <w:t>厂界</w:t>
            </w:r>
          </w:p>
        </w:tc>
        <w:tc>
          <w:tcPr>
            <w:tcW w:w="1707" w:type="dxa"/>
            <w:tcBorders>
              <w:top w:val="single" w:color="auto" w:sz="4" w:space="0"/>
              <w:left w:val="single" w:color="auto" w:sz="4" w:space="0"/>
              <w:bottom w:val="single" w:color="auto" w:sz="12" w:space="0"/>
              <w:right w:val="single" w:color="auto" w:sz="4" w:space="0"/>
            </w:tcBorders>
            <w:noWrap/>
            <w:vAlign w:val="center"/>
          </w:tcPr>
          <w:p>
            <w:pPr>
              <w:pStyle w:val="24"/>
              <w:bidi w:val="0"/>
            </w:pPr>
            <w:r>
              <w:rPr>
                <w:rFonts w:hint="eastAsia"/>
              </w:rPr>
              <w:t>厂界噪声</w:t>
            </w:r>
          </w:p>
        </w:tc>
        <w:tc>
          <w:tcPr>
            <w:tcW w:w="1343" w:type="dxa"/>
            <w:tcBorders>
              <w:top w:val="single" w:color="auto" w:sz="4" w:space="0"/>
              <w:left w:val="single" w:color="auto" w:sz="4" w:space="0"/>
              <w:bottom w:val="single" w:color="auto" w:sz="12" w:space="0"/>
              <w:right w:val="single" w:color="auto" w:sz="4" w:space="0"/>
            </w:tcBorders>
            <w:noWrap w:val="0"/>
            <w:vAlign w:val="center"/>
          </w:tcPr>
          <w:p>
            <w:pPr>
              <w:pStyle w:val="24"/>
              <w:bidi w:val="0"/>
            </w:pPr>
            <w:r>
              <w:rPr>
                <w:rFonts w:hint="eastAsia"/>
              </w:rPr>
              <w:t>委托监测</w:t>
            </w:r>
          </w:p>
        </w:tc>
        <w:tc>
          <w:tcPr>
            <w:tcW w:w="3826" w:type="dxa"/>
            <w:tcBorders>
              <w:top w:val="single" w:color="auto" w:sz="4" w:space="0"/>
              <w:left w:val="single" w:color="auto" w:sz="4" w:space="0"/>
              <w:bottom w:val="single" w:color="auto" w:sz="12" w:space="0"/>
              <w:right w:val="single" w:color="auto" w:sz="4" w:space="0"/>
            </w:tcBorders>
            <w:noWrap/>
            <w:vAlign w:val="center"/>
          </w:tcPr>
          <w:p>
            <w:pPr>
              <w:pStyle w:val="24"/>
              <w:bidi w:val="0"/>
              <w:rPr>
                <w:rFonts w:hint="eastAsia"/>
              </w:rPr>
            </w:pPr>
            <w:r>
              <w:rPr>
                <w:rFonts w:hint="eastAsia"/>
              </w:rPr>
              <w:t>工业企业厂界环境噪声排放标准</w:t>
            </w:r>
          </w:p>
          <w:p>
            <w:pPr>
              <w:pStyle w:val="24"/>
              <w:bidi w:val="0"/>
            </w:pPr>
            <w:r>
              <w:rPr>
                <w:rFonts w:hint="eastAsia"/>
                <w:lang w:eastAsia="zh-CN"/>
              </w:rPr>
              <w:t>（GB 12348-2008）</w:t>
            </w:r>
          </w:p>
          <w:p>
            <w:pPr>
              <w:pStyle w:val="24"/>
              <w:bidi w:val="0"/>
              <w:rPr>
                <w:rFonts w:hint="eastAsia" w:eastAsia="宋体"/>
                <w:lang w:eastAsia="zh-CN"/>
              </w:rPr>
            </w:pPr>
            <w:r>
              <w:rPr>
                <w:rFonts w:hint="eastAsia"/>
              </w:rPr>
              <w:t>及环境噪声监测技术规范</w:t>
            </w:r>
            <w:r>
              <w:t xml:space="preserve"> </w:t>
            </w:r>
            <w:r>
              <w:rPr>
                <w:rFonts w:hint="eastAsia"/>
              </w:rPr>
              <w:t>噪声测量值修正</w:t>
            </w:r>
            <w:r>
              <w:t xml:space="preserve"> </w:t>
            </w:r>
            <w:r>
              <w:rPr>
                <w:rFonts w:hint="eastAsia"/>
                <w:lang w:eastAsia="zh-CN"/>
              </w:rPr>
              <w:t>（HJ 706-2014）</w:t>
            </w:r>
          </w:p>
        </w:tc>
        <w:tc>
          <w:tcPr>
            <w:tcW w:w="2949" w:type="dxa"/>
            <w:tcBorders>
              <w:top w:val="single" w:color="auto" w:sz="4" w:space="0"/>
              <w:left w:val="single" w:color="auto" w:sz="4" w:space="0"/>
              <w:bottom w:val="single" w:color="auto" w:sz="12" w:space="0"/>
              <w:right w:val="nil"/>
            </w:tcBorders>
            <w:noWrap w:val="0"/>
            <w:vAlign w:val="center"/>
          </w:tcPr>
          <w:p>
            <w:pPr>
              <w:pStyle w:val="24"/>
              <w:bidi w:val="0"/>
            </w:pPr>
            <w:r>
              <w:rPr>
                <w:rFonts w:hint="eastAsia"/>
              </w:rPr>
              <w:t>连续采样</w:t>
            </w:r>
          </w:p>
          <w:p>
            <w:pPr>
              <w:pStyle w:val="24"/>
              <w:bidi w:val="0"/>
            </w:pPr>
            <w:r>
              <w:rPr>
                <w:rFonts w:hint="eastAsia"/>
              </w:rPr>
              <w:t>昼间</w:t>
            </w:r>
            <w:r>
              <w:t>1</w:t>
            </w:r>
            <w:r>
              <w:rPr>
                <w:rFonts w:hint="eastAsia"/>
              </w:rPr>
              <w:t>次</w:t>
            </w:r>
            <w:r>
              <w:t>/</w:t>
            </w:r>
            <w:r>
              <w:rPr>
                <w:rFonts w:hint="eastAsia"/>
              </w:rPr>
              <w:t>季</w:t>
            </w:r>
          </w:p>
        </w:tc>
      </w:tr>
    </w:tbl>
    <w:p>
      <w:pPr>
        <w:pStyle w:val="17"/>
        <w:spacing w:before="156" w:beforeLines="5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17"/>
      </w:pPr>
      <w:bookmarkStart w:id="204" w:name="_Toc2023"/>
      <w:r>
        <w:t>10.</w:t>
      </w:r>
      <w:r>
        <w:rPr>
          <w:rFonts w:hint="eastAsia"/>
          <w:lang w:val="en-US" w:eastAsia="zh-CN"/>
        </w:rPr>
        <w:t xml:space="preserve">7 </w:t>
      </w:r>
      <w:r>
        <w:t>工业固体废物、危险废物的处置管理</w:t>
      </w:r>
      <w:bookmarkEnd w:id="202"/>
      <w:bookmarkEnd w:id="203"/>
      <w:bookmarkEnd w:id="204"/>
    </w:p>
    <w:p>
      <w:pPr>
        <w:pStyle w:val="18"/>
      </w:pPr>
      <w:r>
        <w:t>10.</w:t>
      </w:r>
      <w:r>
        <w:rPr>
          <w:rFonts w:hint="eastAsia"/>
          <w:lang w:val="en-US" w:eastAsia="zh-CN"/>
        </w:rPr>
        <w:t>7</w:t>
      </w:r>
      <w:r>
        <w:t>.1</w:t>
      </w:r>
      <w:r>
        <w:rPr>
          <w:rFonts w:hint="eastAsia"/>
          <w:lang w:val="en-US" w:eastAsia="zh-CN"/>
        </w:rPr>
        <w:t xml:space="preserve"> </w:t>
      </w:r>
      <w:r>
        <w:t>管理制度</w:t>
      </w:r>
    </w:p>
    <w:p>
      <w:pPr>
        <w:pStyle w:val="19"/>
        <w:ind w:firstLine="480"/>
        <w:rPr>
          <w:lang w:val="en-US"/>
        </w:rPr>
      </w:pPr>
      <w:r>
        <w:rPr>
          <w:lang w:val="en-US"/>
        </w:rPr>
        <w:t>福建港丰能源有限</w:t>
      </w:r>
      <w:r>
        <w:t>公司制定有《</w:t>
      </w:r>
      <w:r>
        <w:rPr>
          <w:lang w:val="en-US"/>
        </w:rPr>
        <w:t>固体废弃物处理规定</w:t>
      </w:r>
      <w:r>
        <w:t>》《</w:t>
      </w:r>
      <w:r>
        <w:rPr>
          <w:lang w:val="en-US"/>
        </w:rPr>
        <w:t>危险废弃物管理规定</w:t>
      </w:r>
      <w:r>
        <w:t>》《</w:t>
      </w:r>
      <w:r>
        <w:rPr>
          <w:lang w:val="en-US"/>
        </w:rPr>
        <w:t>危险废物污染防治责任制度</w:t>
      </w:r>
      <w:r>
        <w:t>》等相关的环保规章制度，明确企业内部各单位的危废处置职责、危废管理的基本要求、危废产生、转移、贮存的日常管理、危废规范处置流程以及相应的考核等内容。</w:t>
      </w:r>
    </w:p>
    <w:p>
      <w:pPr>
        <w:pStyle w:val="18"/>
      </w:pPr>
      <w:r>
        <w:t>10.</w:t>
      </w:r>
      <w:r>
        <w:rPr>
          <w:rFonts w:hint="eastAsia"/>
          <w:lang w:val="en-US" w:eastAsia="zh-CN"/>
        </w:rPr>
        <w:t>7</w:t>
      </w:r>
      <w:r>
        <w:t>.2</w:t>
      </w:r>
      <w:r>
        <w:rPr>
          <w:rFonts w:hint="eastAsia"/>
          <w:lang w:val="en-US" w:eastAsia="zh-CN"/>
        </w:rPr>
        <w:t xml:space="preserve"> </w:t>
      </w:r>
      <w:r>
        <w:t>分类处置措施</w:t>
      </w:r>
    </w:p>
    <w:p>
      <w:pPr>
        <w:pStyle w:val="19"/>
        <w:spacing w:after="156" w:afterLines="50"/>
        <w:ind w:firstLine="480"/>
        <w:rPr>
          <w:lang w:val="en-US"/>
        </w:rPr>
      </w:pPr>
      <w:r>
        <w:rPr>
          <w:lang w:val="en-US"/>
        </w:rPr>
        <w:t>该公司严格按照危废管理制度要求，</w:t>
      </w:r>
      <w:r>
        <w:t>各类固体废物、危险废物分类处置。</w:t>
      </w:r>
      <w:r>
        <w:rPr>
          <w:lang w:val="en-US"/>
        </w:rPr>
        <w:t>制度文件及制度上墙见图10.</w:t>
      </w:r>
      <w:r>
        <w:rPr>
          <w:rFonts w:hint="eastAsia"/>
          <w:lang w:val="en-US" w:eastAsia="zh-CN"/>
        </w:rPr>
        <w:t>7</w:t>
      </w:r>
      <w:r>
        <w:rPr>
          <w:lang w:val="en-US"/>
        </w:rPr>
        <w:t>-1。</w:t>
      </w:r>
    </w:p>
    <w:tbl>
      <w:tblPr>
        <w:tblStyle w:val="15"/>
        <w:tblW w:w="852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840" w:type="dxa"/>
            <w:tcBorders>
              <w:top w:val="single" w:color="auto" w:sz="4" w:space="0"/>
              <w:bottom w:val="single" w:color="auto" w:sz="4" w:space="0"/>
              <w:right w:val="single" w:color="auto" w:sz="4" w:space="0"/>
            </w:tcBorders>
          </w:tcPr>
          <w:p>
            <w:pPr>
              <w:pStyle w:val="19"/>
              <w:spacing w:line="240" w:lineRule="auto"/>
              <w:ind w:firstLine="0" w:firstLineChars="0"/>
              <w:rPr>
                <w:lang w:val="en-US"/>
              </w:rPr>
            </w:pPr>
            <w:r>
              <w:rPr>
                <w:lang w:val="en-US"/>
              </w:rPr>
              <w:drawing>
                <wp:inline distT="0" distB="0" distL="114300" distR="114300">
                  <wp:extent cx="1661795" cy="2399030"/>
                  <wp:effectExtent l="0" t="0" r="14605" b="13970"/>
                  <wp:docPr id="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1"/>
                          </pic:cNvPicPr>
                        </pic:nvPicPr>
                        <pic:blipFill>
                          <a:blip r:embed="rId51" cstate="print"/>
                          <a:stretch>
                            <a:fillRect/>
                          </a:stretch>
                        </pic:blipFill>
                        <pic:spPr>
                          <a:xfrm>
                            <a:off x="0" y="0"/>
                            <a:ext cx="1661795" cy="2399030"/>
                          </a:xfrm>
                          <a:prstGeom prst="rect">
                            <a:avLst/>
                          </a:prstGeom>
                          <a:noFill/>
                          <a:ln w="9525">
                            <a:noFill/>
                          </a:ln>
                        </pic:spPr>
                      </pic:pic>
                    </a:graphicData>
                  </a:graphic>
                </wp:inline>
              </w:drawing>
            </w:r>
          </w:p>
        </w:tc>
        <w:tc>
          <w:tcPr>
            <w:tcW w:w="2841" w:type="dxa"/>
            <w:tcBorders>
              <w:top w:val="single" w:color="auto" w:sz="4" w:space="0"/>
              <w:left w:val="single" w:color="auto" w:sz="4" w:space="0"/>
              <w:bottom w:val="single" w:color="auto" w:sz="4" w:space="0"/>
              <w:right w:val="single" w:color="auto" w:sz="4" w:space="0"/>
            </w:tcBorders>
          </w:tcPr>
          <w:p>
            <w:pPr>
              <w:pStyle w:val="19"/>
              <w:spacing w:line="240" w:lineRule="auto"/>
              <w:ind w:firstLine="0" w:firstLineChars="0"/>
              <w:rPr>
                <w:lang w:val="en-US"/>
              </w:rPr>
            </w:pPr>
            <w:r>
              <w:rPr>
                <w:lang w:val="en-US"/>
              </w:rPr>
              <w:drawing>
                <wp:inline distT="0" distB="0" distL="114300" distR="114300">
                  <wp:extent cx="1654810" cy="2431415"/>
                  <wp:effectExtent l="0" t="0" r="21590" b="6985"/>
                  <wp:docPr id="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pic:cNvPicPr>
                            <a:picLocks noChangeAspect="1"/>
                          </pic:cNvPicPr>
                        </pic:nvPicPr>
                        <pic:blipFill>
                          <a:blip r:embed="rId52" cstate="print"/>
                          <a:stretch>
                            <a:fillRect/>
                          </a:stretch>
                        </pic:blipFill>
                        <pic:spPr>
                          <a:xfrm>
                            <a:off x="0" y="0"/>
                            <a:ext cx="1654810" cy="2431415"/>
                          </a:xfrm>
                          <a:prstGeom prst="rect">
                            <a:avLst/>
                          </a:prstGeom>
                          <a:noFill/>
                          <a:ln w="9525">
                            <a:noFill/>
                          </a:ln>
                        </pic:spPr>
                      </pic:pic>
                    </a:graphicData>
                  </a:graphic>
                </wp:inline>
              </w:drawing>
            </w:r>
          </w:p>
        </w:tc>
        <w:tc>
          <w:tcPr>
            <w:tcW w:w="2841" w:type="dxa"/>
            <w:tcBorders>
              <w:top w:val="single" w:color="auto" w:sz="4" w:space="0"/>
              <w:left w:val="single" w:color="auto" w:sz="4" w:space="0"/>
              <w:bottom w:val="single" w:color="auto" w:sz="4" w:space="0"/>
            </w:tcBorders>
          </w:tcPr>
          <w:p>
            <w:pPr>
              <w:pStyle w:val="19"/>
              <w:spacing w:line="240" w:lineRule="auto"/>
              <w:ind w:firstLine="0" w:firstLineChars="0"/>
              <w:rPr>
                <w:lang w:val="en-US"/>
              </w:rPr>
            </w:pPr>
            <w:r>
              <w:rPr>
                <w:lang w:val="en-US"/>
              </w:rPr>
              <w:drawing>
                <wp:inline distT="0" distB="0" distL="114300" distR="114300">
                  <wp:extent cx="1655445" cy="2475865"/>
                  <wp:effectExtent l="0" t="0" r="20955" b="13335"/>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53" cstate="print"/>
                          <a:stretch>
                            <a:fillRect/>
                          </a:stretch>
                        </pic:blipFill>
                        <pic:spPr>
                          <a:xfrm>
                            <a:off x="0" y="0"/>
                            <a:ext cx="1655445" cy="2475865"/>
                          </a:xfrm>
                          <a:prstGeom prst="rect">
                            <a:avLst/>
                          </a:prstGeom>
                          <a:noFill/>
                          <a:ln w="9525">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6" w:hRule="atLeast"/>
        </w:trPr>
        <w:tc>
          <w:tcPr>
            <w:tcW w:w="2840" w:type="dxa"/>
            <w:tcBorders>
              <w:top w:val="single" w:color="auto" w:sz="4" w:space="0"/>
              <w:bottom w:val="single" w:color="auto" w:sz="4" w:space="0"/>
              <w:right w:val="single" w:color="auto" w:sz="4" w:space="0"/>
            </w:tcBorders>
            <w:vAlign w:val="center"/>
          </w:tcPr>
          <w:p>
            <w:pPr>
              <w:pStyle w:val="24"/>
            </w:pPr>
            <w:r>
              <w:t>1. 《固体废弃物处理规定》</w:t>
            </w:r>
          </w:p>
        </w:tc>
        <w:tc>
          <w:tcPr>
            <w:tcW w:w="2841" w:type="dxa"/>
            <w:tcBorders>
              <w:top w:val="single" w:color="auto" w:sz="4" w:space="0"/>
              <w:left w:val="single" w:color="auto" w:sz="4" w:space="0"/>
              <w:bottom w:val="single" w:color="auto" w:sz="4" w:space="0"/>
              <w:right w:val="single" w:color="auto" w:sz="4" w:space="0"/>
            </w:tcBorders>
            <w:vAlign w:val="center"/>
          </w:tcPr>
          <w:p>
            <w:pPr>
              <w:pStyle w:val="24"/>
            </w:pPr>
            <w:r>
              <w:t>2. 《危险废弃物管理规定》</w:t>
            </w:r>
          </w:p>
        </w:tc>
        <w:tc>
          <w:tcPr>
            <w:tcW w:w="2841" w:type="dxa"/>
            <w:tcBorders>
              <w:top w:val="single" w:color="auto" w:sz="4" w:space="0"/>
              <w:left w:val="single" w:color="auto" w:sz="4" w:space="0"/>
              <w:bottom w:val="single" w:color="auto" w:sz="4" w:space="0"/>
            </w:tcBorders>
            <w:vAlign w:val="center"/>
          </w:tcPr>
          <w:p>
            <w:pPr>
              <w:pStyle w:val="24"/>
              <w:rPr>
                <w:rFonts w:ascii="Times New Roman" w:hAnsi="Times New Roman" w:eastAsia="宋体" w:cs="Times New Roman"/>
              </w:rPr>
            </w:pPr>
            <w:r>
              <w:rPr>
                <w:rFonts w:ascii="Times New Roman" w:hAnsi="Times New Roman" w:eastAsia="宋体" w:cs="Times New Roman"/>
              </w:rPr>
              <w:t>3.《危险废物污染防治责任制度》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3"/>
            <w:tcBorders>
              <w:top w:val="single" w:color="auto" w:sz="4" w:space="0"/>
              <w:bottom w:val="single" w:color="auto" w:sz="4" w:space="0"/>
            </w:tcBorders>
          </w:tcPr>
          <w:p>
            <w:pPr>
              <w:pStyle w:val="19"/>
              <w:spacing w:line="240" w:lineRule="auto"/>
              <w:ind w:firstLine="0" w:firstLineChars="0"/>
              <w:jc w:val="center"/>
              <w:rPr>
                <w:lang w:val="en-US"/>
              </w:rPr>
            </w:pPr>
            <w:r>
              <w:rPr>
                <w:lang w:val="en-US"/>
              </w:rPr>
              <w:drawing>
                <wp:inline distT="0" distB="0" distL="114300" distR="114300">
                  <wp:extent cx="5220335" cy="2013585"/>
                  <wp:effectExtent l="0" t="0" r="12065" b="18415"/>
                  <wp:docPr id="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9"/>
                          <pic:cNvPicPr>
                            <a:picLocks noChangeAspect="1"/>
                          </pic:cNvPicPr>
                        </pic:nvPicPr>
                        <pic:blipFill>
                          <a:blip r:embed="rId54" cstate="print"/>
                          <a:srcRect t="8883" r="5655" b="44284"/>
                          <a:stretch>
                            <a:fillRect/>
                          </a:stretch>
                        </pic:blipFill>
                        <pic:spPr>
                          <a:xfrm>
                            <a:off x="0" y="0"/>
                            <a:ext cx="5220335" cy="2013585"/>
                          </a:xfrm>
                          <a:prstGeom prst="rect">
                            <a:avLst/>
                          </a:prstGeom>
                          <a:noFill/>
                          <a:ln w="9525">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522" w:type="dxa"/>
            <w:gridSpan w:val="3"/>
            <w:tcBorders>
              <w:top w:val="single" w:color="auto" w:sz="4" w:space="0"/>
              <w:bottom w:val="single" w:color="auto" w:sz="4" w:space="0"/>
            </w:tcBorders>
            <w:vAlign w:val="center"/>
          </w:tcPr>
          <w:p>
            <w:pPr>
              <w:pStyle w:val="24"/>
            </w:pPr>
            <w:r>
              <w:t>4. 危险废物管理制度上墙</w:t>
            </w:r>
          </w:p>
        </w:tc>
      </w:tr>
    </w:tbl>
    <w:p>
      <w:pPr>
        <w:pStyle w:val="23"/>
      </w:pPr>
      <w:r>
        <w:t>图10.</w:t>
      </w:r>
      <w:r>
        <w:rPr>
          <w:rFonts w:hint="eastAsia"/>
          <w:lang w:val="en-US" w:eastAsia="zh-CN"/>
        </w:rPr>
        <w:t>7</w:t>
      </w:r>
      <w:r>
        <w:t>-1 危废管理制度及制度上墙</w:t>
      </w:r>
    </w:p>
    <w:p>
      <w:pPr>
        <w:pStyle w:val="17"/>
      </w:pPr>
      <w:bookmarkStart w:id="205" w:name="_Toc26199530"/>
      <w:bookmarkStart w:id="206" w:name="_Toc10453_WPSOffice_Level1"/>
      <w:bookmarkStart w:id="207" w:name="_Toc17241"/>
      <w:r>
        <w:t>10.</w:t>
      </w:r>
      <w:r>
        <w:rPr>
          <w:rFonts w:hint="eastAsia"/>
          <w:lang w:val="en-US" w:eastAsia="zh-CN"/>
        </w:rPr>
        <w:t xml:space="preserve">8 </w:t>
      </w:r>
      <w:r>
        <w:t>突发环境事件应急预案备案</w:t>
      </w:r>
      <w:bookmarkEnd w:id="205"/>
      <w:bookmarkEnd w:id="206"/>
      <w:bookmarkEnd w:id="207"/>
    </w:p>
    <w:p>
      <w:pPr>
        <w:pStyle w:val="19"/>
        <w:ind w:firstLine="480"/>
      </w:pPr>
      <w:r>
        <w:t>福建港丰能源有限公司已</w:t>
      </w:r>
      <w:r>
        <w:rPr>
          <w:rFonts w:hint="eastAsia"/>
          <w:lang w:val="en-US" w:eastAsia="zh-Hans"/>
        </w:rPr>
        <w:t>于</w:t>
      </w:r>
      <w:r>
        <w:rPr>
          <w:rFonts w:hint="default"/>
          <w:lang w:eastAsia="zh-Hans"/>
        </w:rPr>
        <w:t>2022</w:t>
      </w:r>
      <w:r>
        <w:rPr>
          <w:rFonts w:hint="eastAsia"/>
          <w:lang w:val="en-US" w:eastAsia="zh-Hans"/>
        </w:rPr>
        <w:t>年</w:t>
      </w:r>
      <w:r>
        <w:rPr>
          <w:rFonts w:hint="default"/>
          <w:lang w:eastAsia="zh-Hans"/>
        </w:rPr>
        <w:t>4</w:t>
      </w:r>
      <w:r>
        <w:rPr>
          <w:rFonts w:hint="eastAsia"/>
          <w:lang w:val="en-US" w:eastAsia="zh-Hans"/>
        </w:rPr>
        <w:t>月对原应急预案进行修编</w:t>
      </w:r>
      <w:r>
        <w:rPr>
          <w:rFonts w:hint="default"/>
          <w:lang w:eastAsia="zh-Hans"/>
        </w:rPr>
        <w:t>，</w:t>
      </w:r>
      <w:r>
        <w:rPr>
          <w:rFonts w:hint="eastAsia"/>
          <w:lang w:val="en-US" w:eastAsia="zh-Hans"/>
        </w:rPr>
        <w:t>形成</w:t>
      </w:r>
      <w:r>
        <w:t>《</w:t>
      </w:r>
      <w:r>
        <w:rPr>
          <w:rFonts w:hint="eastAsia"/>
          <w:color w:val="000000" w:themeColor="text1"/>
          <w14:textFill>
            <w14:solidFill>
              <w14:schemeClr w14:val="tx1"/>
            </w14:solidFill>
          </w14:textFill>
        </w:rPr>
        <w:t>福建港丰能源有限公司突发环境事件应急预案</w:t>
      </w:r>
      <w:r>
        <w:t>》（</w:t>
      </w:r>
      <w:r>
        <w:rPr>
          <w:rFonts w:hint="eastAsia"/>
        </w:rPr>
        <w:t>GFSHCCYA-2022修订版</w:t>
      </w:r>
      <w:r>
        <w:t>），</w:t>
      </w:r>
      <w:r>
        <w:rPr>
          <w:lang w:val="en-US"/>
        </w:rPr>
        <w:t>并</w:t>
      </w:r>
      <w:r>
        <w:t>于202</w:t>
      </w:r>
      <w:r>
        <w:rPr>
          <w:rFonts w:hint="default"/>
        </w:rPr>
        <w:t>2</w:t>
      </w:r>
      <w:r>
        <w:t>年5月在泉州市惠安生态环境局完成备案（备案编号：350521-202</w:t>
      </w:r>
      <w:r>
        <w:rPr>
          <w:rFonts w:hint="default"/>
        </w:rPr>
        <w:t>2</w:t>
      </w:r>
      <w:r>
        <w:t>-0</w:t>
      </w:r>
      <w:r>
        <w:rPr>
          <w:rFonts w:hint="default"/>
        </w:rPr>
        <w:t>03</w:t>
      </w:r>
      <w:r>
        <w:t>-H）。</w:t>
      </w:r>
    </w:p>
    <w:p>
      <w:pPr>
        <w:pStyle w:val="17"/>
      </w:pPr>
      <w:bookmarkStart w:id="208" w:name="_Toc10974_WPSOffice_Level1"/>
      <w:bookmarkStart w:id="209" w:name="_Toc26199531"/>
      <w:bookmarkStart w:id="210" w:name="_Toc14896"/>
      <w:r>
        <w:t>10.</w:t>
      </w:r>
      <w:r>
        <w:rPr>
          <w:rFonts w:hint="eastAsia"/>
          <w:lang w:val="en-US" w:eastAsia="zh-CN"/>
        </w:rPr>
        <w:t xml:space="preserve">9 </w:t>
      </w:r>
      <w:r>
        <w:t>大气防护距离设置情况</w:t>
      </w:r>
      <w:bookmarkEnd w:id="208"/>
      <w:bookmarkEnd w:id="209"/>
      <w:bookmarkEnd w:id="210"/>
    </w:p>
    <w:p>
      <w:pPr>
        <w:pStyle w:val="19"/>
        <w:spacing w:after="156" w:afterLines="50"/>
        <w:ind w:firstLine="480"/>
      </w:pPr>
      <w:r>
        <w:t>项目环境防护距离为后方</w:t>
      </w:r>
      <w:r>
        <w:rPr>
          <w:rFonts w:hint="eastAsia"/>
        </w:rPr>
        <w:t>库区</w:t>
      </w:r>
      <w:r>
        <w:t>边界外延100m</w:t>
      </w:r>
      <w:r>
        <w:rPr>
          <w:rFonts w:hint="eastAsia"/>
        </w:rPr>
        <w:t>以及码头装卸区</w:t>
      </w:r>
      <w:r>
        <w:t>边界外延50m范围，详见图10.</w:t>
      </w:r>
      <w:r>
        <w:rPr>
          <w:rFonts w:hint="eastAsia"/>
          <w:lang w:val="en-US" w:eastAsia="zh-CN"/>
        </w:rPr>
        <w:t>9</w:t>
      </w:r>
      <w:r>
        <w:t>-1</w:t>
      </w:r>
      <w:r>
        <w:rPr>
          <w:rFonts w:hint="eastAsia"/>
          <w:lang w:val="en-US" w:eastAsia="zh-CN"/>
        </w:rPr>
        <w:t>~10.9-2</w:t>
      </w:r>
      <w:r>
        <w:t>。</w:t>
      </w:r>
    </w:p>
    <w:p>
      <w:pPr>
        <w:pStyle w:val="19"/>
        <w:spacing w:after="156" w:afterLines="50"/>
        <w:ind w:left="0" w:leftChars="0" w:firstLine="0" w:firstLineChars="0"/>
      </w:pPr>
    </w:p>
    <w:p>
      <w:pPr>
        <w:pStyle w:val="19"/>
        <w:spacing w:after="156" w:afterLines="5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4"/>
        <w:spacing w:line="360" w:lineRule="auto"/>
        <w:jc w:val="center"/>
        <w:outlineLvl w:val="9"/>
      </w:pPr>
      <w:r>
        <w:drawing>
          <wp:inline distT="0" distB="0" distL="114300" distR="114300">
            <wp:extent cx="7390765" cy="4765675"/>
            <wp:effectExtent l="0" t="0" r="635" b="1587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55"/>
                    <a:stretch>
                      <a:fillRect/>
                    </a:stretch>
                  </pic:blipFill>
                  <pic:spPr>
                    <a:xfrm>
                      <a:off x="0" y="0"/>
                      <a:ext cx="7390765" cy="4765675"/>
                    </a:xfrm>
                    <a:prstGeom prst="rect">
                      <a:avLst/>
                    </a:prstGeom>
                    <a:noFill/>
                    <a:ln>
                      <a:noFill/>
                    </a:ln>
                  </pic:spPr>
                </pic:pic>
              </a:graphicData>
            </a:graphic>
          </wp:inline>
        </w:drawing>
      </w:r>
    </w:p>
    <w:p>
      <w:pPr>
        <w:pStyle w:val="23"/>
      </w:pPr>
      <w:r>
        <w:t>图10.</w:t>
      </w:r>
      <w:r>
        <w:rPr>
          <w:rFonts w:hint="eastAsia"/>
          <w:lang w:val="en-US" w:eastAsia="zh-CN"/>
        </w:rPr>
        <w:t>9</w:t>
      </w:r>
      <w:r>
        <w:t xml:space="preserve">-1 </w:t>
      </w:r>
      <w:r>
        <w:rPr>
          <w:rFonts w:hint="eastAsia"/>
          <w:lang w:eastAsia="zh-CN"/>
        </w:rPr>
        <w:t>库区</w:t>
      </w:r>
      <w:r>
        <w:rPr>
          <w:rFonts w:hint="eastAsia"/>
        </w:rPr>
        <w:t>环境防护距离范围图</w:t>
      </w:r>
    </w:p>
    <w:p>
      <w:pPr>
        <w:pStyle w:val="17"/>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bookmarkStart w:id="211" w:name="_Toc9686_WPSOffice_Level1"/>
    </w:p>
    <w:p>
      <w:pPr>
        <w:pStyle w:val="17"/>
        <w:jc w:val="center"/>
        <w:outlineLvl w:val="9"/>
      </w:pPr>
      <w:bookmarkStart w:id="212" w:name="_Toc2424"/>
      <w:bookmarkStart w:id="213" w:name="_Toc31338"/>
      <w:bookmarkStart w:id="214" w:name="_Toc2399"/>
      <w:bookmarkStart w:id="215" w:name="_Toc25820"/>
      <w:bookmarkStart w:id="216" w:name="_Toc14580"/>
      <w:bookmarkStart w:id="217" w:name="_Toc1765"/>
      <w:bookmarkStart w:id="218" w:name="_Toc24631"/>
      <w:bookmarkStart w:id="219" w:name="_Toc24180"/>
      <w:bookmarkStart w:id="220" w:name="_Toc30619"/>
      <w:bookmarkStart w:id="221" w:name="_Toc10371"/>
      <w:bookmarkStart w:id="222" w:name="_Toc27349"/>
      <w:bookmarkStart w:id="223" w:name="_Toc16406"/>
      <w:bookmarkStart w:id="224" w:name="_Toc11092"/>
      <w:r>
        <w:drawing>
          <wp:inline distT="0" distB="0" distL="114300" distR="114300">
            <wp:extent cx="7687945" cy="4738370"/>
            <wp:effectExtent l="0" t="0" r="8255" b="508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56"/>
                    <a:stretch>
                      <a:fillRect/>
                    </a:stretch>
                  </pic:blipFill>
                  <pic:spPr>
                    <a:xfrm>
                      <a:off x="0" y="0"/>
                      <a:ext cx="7687945" cy="4738370"/>
                    </a:xfrm>
                    <a:prstGeom prst="rect">
                      <a:avLst/>
                    </a:prstGeom>
                    <a:noFill/>
                    <a:ln>
                      <a:noFill/>
                    </a:ln>
                  </pic:spPr>
                </pic:pic>
              </a:graphicData>
            </a:graphic>
          </wp:inline>
        </w:drawing>
      </w:r>
      <w:bookmarkEnd w:id="212"/>
      <w:bookmarkEnd w:id="213"/>
      <w:bookmarkEnd w:id="214"/>
      <w:bookmarkEnd w:id="215"/>
      <w:bookmarkEnd w:id="216"/>
      <w:bookmarkEnd w:id="217"/>
      <w:bookmarkEnd w:id="218"/>
      <w:bookmarkEnd w:id="219"/>
      <w:bookmarkEnd w:id="220"/>
      <w:bookmarkEnd w:id="221"/>
      <w:bookmarkEnd w:id="222"/>
      <w:bookmarkEnd w:id="223"/>
      <w:bookmarkEnd w:id="224"/>
    </w:p>
    <w:p>
      <w:pPr>
        <w:pStyle w:val="23"/>
        <w:bidi w:val="0"/>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rPr>
        <w:t>图10.</w:t>
      </w:r>
      <w:r>
        <w:rPr>
          <w:rFonts w:hint="eastAsia"/>
          <w:lang w:val="en-US" w:eastAsia="zh-CN"/>
        </w:rPr>
        <w:t>9</w:t>
      </w:r>
      <w:r>
        <w:rPr>
          <w:rFonts w:hint="eastAsia"/>
        </w:rPr>
        <w:t>-</w:t>
      </w:r>
      <w:r>
        <w:rPr>
          <w:rFonts w:hint="eastAsia"/>
          <w:lang w:val="en-US" w:eastAsia="zh-CN"/>
        </w:rPr>
        <w:t>2</w:t>
      </w:r>
      <w:r>
        <w:rPr>
          <w:rFonts w:hint="eastAsia"/>
        </w:rPr>
        <w:t xml:space="preserve"> 码头环境防护距离范围图</w:t>
      </w:r>
    </w:p>
    <w:p>
      <w:pPr>
        <w:pStyle w:val="17"/>
      </w:pPr>
      <w:bookmarkStart w:id="225" w:name="_Toc10071"/>
      <w:r>
        <w:t>10.1</w:t>
      </w:r>
      <w:r>
        <w:rPr>
          <w:rFonts w:hint="eastAsia"/>
          <w:lang w:val="en-US" w:eastAsia="zh-CN"/>
        </w:rPr>
        <w:t xml:space="preserve">0 </w:t>
      </w:r>
      <w:r>
        <w:t>厂区绿化</w:t>
      </w:r>
      <w:bookmarkEnd w:id="211"/>
      <w:bookmarkEnd w:id="225"/>
    </w:p>
    <w:p>
      <w:pPr>
        <w:pStyle w:val="19"/>
        <w:ind w:firstLine="480"/>
      </w:pPr>
      <w:r>
        <w:rPr>
          <w:lang w:val="en-US"/>
        </w:rPr>
        <w:t>项目设计绿化面积28814.43m</w:t>
      </w:r>
      <w:r>
        <w:rPr>
          <w:vertAlign w:val="superscript"/>
          <w:lang w:val="en-US"/>
        </w:rPr>
        <w:t>2</w:t>
      </w:r>
      <w:r>
        <w:rPr>
          <w:lang w:val="en-US"/>
        </w:rPr>
        <w:t>，设计绿化率15%。福建港丰能源有</w:t>
      </w:r>
      <w:r>
        <w:t>限公司</w:t>
      </w:r>
      <w:r>
        <w:rPr>
          <w:lang w:val="en-US"/>
        </w:rPr>
        <w:t>已对项目落实绿化工作</w:t>
      </w:r>
      <w:r>
        <w:t>，</w:t>
      </w:r>
      <w:r>
        <w:rPr>
          <w:lang w:val="en-US"/>
        </w:rPr>
        <w:t>并定期维护</w:t>
      </w:r>
      <w:r>
        <w:t>。</w:t>
      </w:r>
    </w:p>
    <w:p>
      <w:pPr>
        <w:pStyle w:val="17"/>
      </w:pPr>
      <w:bookmarkStart w:id="226" w:name="_Toc26199533"/>
      <w:bookmarkStart w:id="227" w:name="_Toc15839_WPSOffice_Level1"/>
      <w:bookmarkStart w:id="228" w:name="_Toc7344"/>
      <w:r>
        <w:t>10.1</w:t>
      </w:r>
      <w:r>
        <w:rPr>
          <w:rFonts w:hint="eastAsia"/>
          <w:lang w:val="en-US" w:eastAsia="zh-CN"/>
        </w:rPr>
        <w:t xml:space="preserve">1 </w:t>
      </w:r>
      <w:r>
        <w:t>施工期、试运行期间环保投诉及处理情况</w:t>
      </w:r>
      <w:bookmarkEnd w:id="226"/>
      <w:bookmarkEnd w:id="227"/>
      <w:bookmarkEnd w:id="228"/>
    </w:p>
    <w:p>
      <w:pPr>
        <w:pStyle w:val="19"/>
        <w:ind w:firstLine="480"/>
      </w:pPr>
      <w:r>
        <w:rPr>
          <w:lang w:val="en-US"/>
        </w:rPr>
        <w:t>经向建设单位了解</w:t>
      </w:r>
      <w:r>
        <w:t>、</w:t>
      </w:r>
      <w:r>
        <w:rPr>
          <w:lang w:val="en-US"/>
        </w:rPr>
        <w:t>核实，</w:t>
      </w:r>
      <w:r>
        <w:t>项目</w:t>
      </w:r>
      <w:r>
        <w:rPr>
          <w:lang w:val="en-US"/>
        </w:rPr>
        <w:t>在</w:t>
      </w:r>
      <w:r>
        <w:t>施工期及试</w:t>
      </w:r>
      <w:r>
        <w:rPr>
          <w:lang w:val="en-US"/>
        </w:rPr>
        <w:t>运行</w:t>
      </w:r>
      <w:r>
        <w:t>期间，未收到过环保投诉。</w:t>
      </w:r>
    </w:p>
    <w:p>
      <w:pPr>
        <w:pStyle w:val="17"/>
      </w:pPr>
      <w:bookmarkStart w:id="229" w:name="_Toc26199535"/>
      <w:bookmarkStart w:id="230" w:name="_Toc14708"/>
      <w:r>
        <w:t>10.1</w:t>
      </w:r>
      <w:r>
        <w:rPr>
          <w:rFonts w:hint="eastAsia"/>
          <w:lang w:val="en-US" w:eastAsia="zh-CN"/>
        </w:rPr>
        <w:t xml:space="preserve">2 </w:t>
      </w:r>
      <w:r>
        <w:t>小结</w:t>
      </w:r>
      <w:bookmarkEnd w:id="229"/>
      <w:bookmarkEnd w:id="230"/>
    </w:p>
    <w:p>
      <w:pPr>
        <w:pStyle w:val="19"/>
        <w:bidi w:val="0"/>
      </w:pPr>
      <w:r>
        <w:rPr>
          <w:lang w:val="en-US"/>
        </w:rPr>
        <w:t>福建港丰能源</w:t>
      </w:r>
      <w:r>
        <w:t>有限公司环保机构齐全、合理，成立了</w:t>
      </w:r>
      <w:r>
        <w:rPr>
          <w:rFonts w:hint="eastAsia"/>
          <w:lang w:val="en-US" w:eastAsia="zh-CN"/>
        </w:rPr>
        <w:t>HSE</w:t>
      </w:r>
      <w:r>
        <w:t>部</w:t>
      </w:r>
      <w:r>
        <w:rPr>
          <w:rFonts w:hint="eastAsia"/>
          <w:lang w:eastAsia="zh-CN"/>
        </w:rPr>
        <w:t>门</w:t>
      </w:r>
      <w:r>
        <w:t>，配备专职环境管理人员，严格环境管理。同时，陆续编制并发布了9</w:t>
      </w:r>
      <w:r>
        <w:rPr>
          <w:lang w:val="en-US"/>
        </w:rPr>
        <w:t>项</w:t>
      </w:r>
      <w:r>
        <w:t>环保管理规章制度，内容涵盖</w:t>
      </w:r>
      <w:r>
        <w:rPr>
          <w:lang w:val="en-US"/>
        </w:rPr>
        <w:t>废气</w:t>
      </w:r>
      <w:r>
        <w:t>、</w:t>
      </w:r>
      <w:r>
        <w:rPr>
          <w:lang w:val="en-US"/>
        </w:rPr>
        <w:t>废水排放管理</w:t>
      </w:r>
      <w:r>
        <w:t>、</w:t>
      </w:r>
      <w:r>
        <w:rPr>
          <w:lang w:val="en-US"/>
        </w:rPr>
        <w:t>固体废物管理</w:t>
      </w:r>
      <w:r>
        <w:t>、</w:t>
      </w:r>
      <w:r>
        <w:rPr>
          <w:lang w:val="en-US"/>
        </w:rPr>
        <w:t>危险废物管理</w:t>
      </w:r>
      <w:r>
        <w:t>、</w:t>
      </w:r>
      <w:r>
        <w:rPr>
          <w:lang w:val="en-US"/>
        </w:rPr>
        <w:t>环境保护管理制度等</w:t>
      </w:r>
      <w:r>
        <w:t>方面。</w:t>
      </w:r>
      <w:r>
        <w:rPr>
          <w:lang w:val="en-US"/>
        </w:rPr>
        <w:t>企业</w:t>
      </w:r>
      <w:r>
        <w:t>已编制</w:t>
      </w:r>
      <w:r>
        <w:rPr>
          <w:rFonts w:hint="eastAsia"/>
          <w:lang w:val="en-US" w:eastAsia="zh-Hans"/>
        </w:rPr>
        <w:t>并修订</w:t>
      </w:r>
      <w:r>
        <w:t>《</w:t>
      </w:r>
      <w:r>
        <w:rPr>
          <w:rFonts w:hint="eastAsia"/>
        </w:rPr>
        <w:t>福建港丰能源有限公司突发环境事件应急预案</w:t>
      </w:r>
      <w:r>
        <w:t>》</w:t>
      </w:r>
      <w:r>
        <w:rPr>
          <w:lang w:val="en-US"/>
        </w:rPr>
        <w:t>并</w:t>
      </w:r>
      <w:r>
        <w:t>备案（备案编号：350521-202</w:t>
      </w:r>
      <w:r>
        <w:rPr>
          <w:rFonts w:hint="default"/>
        </w:rPr>
        <w:t>2</w:t>
      </w:r>
      <w:r>
        <w:t>-0</w:t>
      </w:r>
      <w:r>
        <w:rPr>
          <w:rFonts w:hint="default"/>
        </w:rPr>
        <w:t>03</w:t>
      </w:r>
      <w:r>
        <w:t>-H）。建有</w:t>
      </w:r>
      <w:r>
        <w:rPr>
          <w:rFonts w:hint="eastAsia"/>
          <w:lang w:eastAsia="zh-CN"/>
        </w:rPr>
        <w:t>第三方</w:t>
      </w:r>
      <w:r>
        <w:t>化验室，负责全厂的</w:t>
      </w:r>
      <w:r>
        <w:rPr>
          <w:rFonts w:hint="eastAsia"/>
          <w:lang w:eastAsia="zh-CN"/>
        </w:rPr>
        <w:t>物料</w:t>
      </w:r>
      <w:r>
        <w:t>检验工作，</w:t>
      </w:r>
      <w:r>
        <w:rPr>
          <w:rFonts w:hint="eastAsia"/>
          <w:lang w:val="en-US" w:eastAsia="zh-CN"/>
        </w:rPr>
        <w:t>HSE</w:t>
      </w:r>
      <w:r>
        <w:t>部</w:t>
      </w:r>
      <w:r>
        <w:rPr>
          <w:rFonts w:hint="eastAsia"/>
          <w:lang w:eastAsia="zh-CN"/>
        </w:rPr>
        <w:t>门</w:t>
      </w:r>
      <w:r>
        <w:t>负责组织和委托</w:t>
      </w:r>
      <w:r>
        <w:rPr>
          <w:rFonts w:hint="eastAsia"/>
          <w:lang w:eastAsia="zh-CN"/>
        </w:rPr>
        <w:t>第三方有资质单位开展</w:t>
      </w:r>
      <w:r>
        <w:t>各污染物及周边环境定期监测，检查达标排放情况；对照更新的国家环保政策要求，不断完善环保设施的管理。</w:t>
      </w:r>
    </w:p>
    <w:p>
      <w:pPr>
        <w:pStyle w:val="19"/>
        <w:bidi w:val="0"/>
      </w:pPr>
      <w:r>
        <w:t>项目建设过程基本执行了建设项目</w:t>
      </w:r>
      <w:r>
        <w:rPr>
          <w:rFonts w:hint="eastAsia"/>
          <w:lang w:eastAsia="zh-Hans"/>
        </w:rPr>
        <w:t>“</w:t>
      </w:r>
      <w:r>
        <w:t>三同时</w:t>
      </w:r>
      <w:r>
        <w:rPr>
          <w:rFonts w:hint="eastAsia"/>
          <w:lang w:eastAsia="zh-Hans"/>
        </w:rPr>
        <w:t>”</w:t>
      </w:r>
      <w:r>
        <w:t>制度，环保设施与主体工程同时设计、同时施工、同时建成投入使用，项目实际建设情况基本落实了环评及环评批复要求，目前已投入试生产。</w:t>
      </w:r>
    </w:p>
    <w:p>
      <w:pPr>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1"/>
        <w:numPr>
          <w:ilvl w:val="0"/>
          <w:numId w:val="0"/>
        </w:numPr>
        <w:tabs>
          <w:tab w:val="clear" w:pos="425"/>
        </w:tabs>
        <w:spacing w:before="156" w:after="156"/>
        <w:rPr>
          <w:color w:val="000000" w:themeColor="text1"/>
          <w14:textFill>
            <w14:solidFill>
              <w14:schemeClr w14:val="tx1"/>
            </w14:solidFill>
          </w14:textFill>
        </w:rPr>
      </w:pPr>
      <w:bookmarkStart w:id="231" w:name="_Toc14499_WPSOffice_Level1"/>
      <w:bookmarkStart w:id="232" w:name="_Toc26199536"/>
      <w:bookmarkStart w:id="233" w:name="_Toc13421"/>
      <w:bookmarkStart w:id="234" w:name="_Toc18937859"/>
      <w:r>
        <w:rPr>
          <w:color w:val="000000" w:themeColor="text1"/>
          <w14:textFill>
            <w14:solidFill>
              <w14:schemeClr w14:val="tx1"/>
            </w14:solidFill>
          </w14:textFill>
        </w:rPr>
        <w:t>11. 公众参与</w:t>
      </w:r>
      <w:bookmarkEnd w:id="231"/>
      <w:bookmarkEnd w:id="232"/>
      <w:bookmarkEnd w:id="233"/>
      <w:bookmarkEnd w:id="234"/>
    </w:p>
    <w:p>
      <w:pPr>
        <w:pStyle w:val="17"/>
      </w:pPr>
      <w:bookmarkStart w:id="235" w:name="_Toc18937860"/>
      <w:bookmarkStart w:id="236" w:name="_Toc26199537"/>
      <w:bookmarkStart w:id="237" w:name="_Toc14498"/>
      <w:bookmarkStart w:id="238" w:name="_Toc9575_WPSOffice_Level1"/>
      <w:r>
        <w:t>11.1</w:t>
      </w:r>
      <w:bookmarkEnd w:id="235"/>
      <w:r>
        <w:rPr>
          <w:rFonts w:hint="eastAsia"/>
          <w:lang w:val="en-US" w:eastAsia="zh-CN"/>
        </w:rPr>
        <w:t xml:space="preserve"> </w:t>
      </w:r>
      <w:r>
        <w:t>信息公开</w:t>
      </w:r>
      <w:bookmarkEnd w:id="236"/>
      <w:bookmarkEnd w:id="237"/>
      <w:bookmarkEnd w:id="238"/>
    </w:p>
    <w:p>
      <w:pPr>
        <w:pStyle w:val="19"/>
        <w:ind w:firstLine="0" w:firstLineChars="0"/>
        <w:rPr>
          <w:lang w:val="en-US"/>
        </w:rPr>
      </w:pPr>
      <w:r>
        <w:rPr>
          <w:lang w:val="en-US"/>
        </w:rPr>
        <w:t>福建港丰能源有限公司于202</w:t>
      </w:r>
      <w:r>
        <w:rPr>
          <w:rFonts w:hint="eastAsia"/>
          <w:lang w:val="en-US" w:eastAsia="zh-CN"/>
        </w:rPr>
        <w:t>3</w:t>
      </w:r>
      <w:r>
        <w:rPr>
          <w:lang w:val="en-US"/>
        </w:rPr>
        <w:t>年1月</w:t>
      </w:r>
      <w:r>
        <w:rPr>
          <w:rFonts w:hint="eastAsia"/>
          <w:lang w:val="en-US" w:eastAsia="zh-CN"/>
        </w:rPr>
        <w:t>3</w:t>
      </w:r>
      <w:r>
        <w:rPr>
          <w:lang w:val="en-US"/>
        </w:rPr>
        <w:t>日在企业网站（</w:t>
      </w:r>
      <w:r>
        <w:rPr>
          <w:rFonts w:hint="eastAsia"/>
          <w:lang w:val="en-US"/>
        </w:rPr>
        <w:t>http://www.grgroup.cc/newsview/4489.html</w:t>
      </w:r>
      <w:r>
        <w:rPr>
          <w:lang w:val="en-US"/>
        </w:rPr>
        <w:t>）进行</w:t>
      </w:r>
      <w:r>
        <w:rPr>
          <w:rFonts w:hint="eastAsia"/>
          <w:lang w:val="en-US"/>
        </w:rPr>
        <w:t>湄洲湾港斗尾港区斗尾作业区7#泊位及港丰石化仓储项目货种调整改扩建工程</w:t>
      </w:r>
      <w:r>
        <w:rPr>
          <w:lang w:val="en-US"/>
        </w:rPr>
        <w:t>环境保护设施竣工和调试时间公示，</w:t>
      </w:r>
      <w:r>
        <w:t>公示内容主要包括建设项目名称、地点及建设内容、</w:t>
      </w:r>
      <w:r>
        <w:rPr>
          <w:lang w:val="en-US"/>
        </w:rPr>
        <w:t>竣工日期、配套环保设施调试日期</w:t>
      </w:r>
      <w:r>
        <w:t>等。</w:t>
      </w:r>
    </w:p>
    <w:p>
      <w:pPr>
        <w:pStyle w:val="19"/>
        <w:spacing w:after="156" w:afterLines="50"/>
        <w:ind w:firstLine="0" w:firstLineChars="0"/>
        <w:rPr>
          <w:rFonts w:hint="eastAsia" w:eastAsia="宋体"/>
          <w:lang w:val="en-US" w:eastAsia="zh-CN"/>
        </w:rPr>
      </w:pPr>
      <w:r>
        <w:rPr>
          <w:rFonts w:hint="eastAsia"/>
          <w:lang w:val="en-US" w:eastAsia="zh-CN"/>
        </w:rPr>
        <w:drawing>
          <wp:inline distT="0" distB="0" distL="114300" distR="114300">
            <wp:extent cx="5270500" cy="3831590"/>
            <wp:effectExtent l="9525" t="9525" r="15875" b="26035"/>
            <wp:docPr id="55" name="图片 55" descr="竣工、调试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竣工、调试公示"/>
                    <pic:cNvPicPr>
                      <a:picLocks noChangeAspect="1"/>
                    </pic:cNvPicPr>
                  </pic:nvPicPr>
                  <pic:blipFill>
                    <a:blip r:embed="rId57"/>
                    <a:stretch>
                      <a:fillRect/>
                    </a:stretch>
                  </pic:blipFill>
                  <pic:spPr>
                    <a:xfrm>
                      <a:off x="0" y="0"/>
                      <a:ext cx="5270500" cy="3831590"/>
                    </a:xfrm>
                    <a:prstGeom prst="rect">
                      <a:avLst/>
                    </a:prstGeom>
                    <a:ln>
                      <a:solidFill>
                        <a:schemeClr val="tx1"/>
                      </a:solidFill>
                    </a:ln>
                  </pic:spPr>
                </pic:pic>
              </a:graphicData>
            </a:graphic>
          </wp:inline>
        </w:drawing>
      </w:r>
    </w:p>
    <w:p>
      <w:pPr>
        <w:pStyle w:val="23"/>
        <w:rPr>
          <w:rFonts w:eastAsia="宋体"/>
          <w:color w:val="FF0000"/>
        </w:rPr>
      </w:pPr>
      <w:r>
        <w:t>图11.</w:t>
      </w:r>
      <w:r>
        <w:rPr>
          <w:rFonts w:hint="eastAsia"/>
          <w:lang w:val="en-US" w:eastAsia="zh-CN"/>
        </w:rPr>
        <w:t>1</w:t>
      </w:r>
      <w:r>
        <w:t>-1  网站信息公示截图</w:t>
      </w:r>
    </w:p>
    <w:p>
      <w:pPr>
        <w:pStyle w:val="17"/>
      </w:pPr>
      <w:bookmarkStart w:id="239" w:name="_Toc20948"/>
      <w:bookmarkStart w:id="240" w:name="_Toc26199539"/>
      <w:bookmarkStart w:id="241" w:name="_Toc7377_WPSOffice_Level1"/>
      <w:r>
        <w:t>11.</w:t>
      </w:r>
      <w:r>
        <w:rPr>
          <w:rFonts w:hint="eastAsia"/>
          <w:lang w:val="en-US" w:eastAsia="zh-CN"/>
        </w:rPr>
        <w:t xml:space="preserve">2 </w:t>
      </w:r>
      <w:r>
        <w:t>公众意见反馈情况</w:t>
      </w:r>
      <w:bookmarkEnd w:id="239"/>
      <w:bookmarkEnd w:id="240"/>
      <w:bookmarkEnd w:id="241"/>
    </w:p>
    <w:p>
      <w:pPr>
        <w:pStyle w:val="19"/>
        <w:ind w:firstLine="480"/>
      </w:pPr>
      <w:r>
        <w:t>竣工环保验收信息</w:t>
      </w:r>
      <w:r>
        <w:rPr>
          <w:lang w:val="en-US"/>
        </w:rPr>
        <w:t>公示</w:t>
      </w:r>
      <w:r>
        <w:t>期间，</w:t>
      </w:r>
      <w:r>
        <w:rPr>
          <w:lang w:val="en-US"/>
        </w:rPr>
        <w:t>建设单位</w:t>
      </w:r>
      <w:r>
        <w:t>未收到公众提出的意见。</w:t>
      </w:r>
    </w:p>
    <w:p>
      <w:pPr>
        <w:pStyle w:val="19"/>
        <w:ind w:firstLine="0" w:firstLineChars="0"/>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1"/>
        <w:numPr>
          <w:ilvl w:val="0"/>
          <w:numId w:val="0"/>
        </w:numPr>
        <w:tabs>
          <w:tab w:val="clear" w:pos="425"/>
        </w:tabs>
        <w:spacing w:before="156" w:after="156"/>
      </w:pPr>
      <w:bookmarkStart w:id="242" w:name="_Toc17723"/>
      <w:r>
        <w:t>12. 验收监测结论</w:t>
      </w:r>
      <w:bookmarkEnd w:id="242"/>
    </w:p>
    <w:p>
      <w:pPr>
        <w:pStyle w:val="17"/>
        <w:rPr>
          <w:color w:val="000000" w:themeColor="text1"/>
          <w14:textFill>
            <w14:solidFill>
              <w14:schemeClr w14:val="tx1"/>
            </w14:solidFill>
          </w14:textFill>
        </w:rPr>
      </w:pPr>
      <w:bookmarkStart w:id="243" w:name="_Toc23747"/>
      <w:bookmarkStart w:id="244" w:name="_Toc26199541"/>
      <w:r>
        <w:rPr>
          <w:color w:val="000000" w:themeColor="text1"/>
          <w14:textFill>
            <w14:solidFill>
              <w14:schemeClr w14:val="tx1"/>
            </w14:solidFill>
          </w14:textFill>
        </w:rPr>
        <w:t>12.1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环保设施调试运行效果</w:t>
      </w:r>
      <w:bookmarkEnd w:id="243"/>
      <w:bookmarkEnd w:id="244"/>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本项目竣工验收期间，各项环保设施运行正常，满足环保竣工验收条件要求。</w:t>
      </w:r>
    </w:p>
    <w:p>
      <w:pPr>
        <w:pStyle w:val="18"/>
        <w:rPr>
          <w:color w:val="000000" w:themeColor="text1"/>
          <w14:textFill>
            <w14:solidFill>
              <w14:schemeClr w14:val="tx1"/>
            </w14:solidFill>
          </w14:textFill>
        </w:rPr>
      </w:pPr>
      <w:bookmarkStart w:id="245" w:name="_Toc10706_WPSOffice_Level1"/>
      <w:bookmarkStart w:id="246" w:name="_Toc26199542"/>
      <w:r>
        <w:rPr>
          <w:color w:val="000000" w:themeColor="text1"/>
          <w14:textFill>
            <w14:solidFill>
              <w14:schemeClr w14:val="tx1"/>
            </w14:solidFill>
          </w14:textFill>
        </w:rPr>
        <w:t>12.1.1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环保设施处理效率监测结果</w:t>
      </w:r>
    </w:p>
    <w:p>
      <w:pPr>
        <w:pStyle w:val="19"/>
        <w:ind w:firstLine="480"/>
        <w:rPr>
          <w:color w:val="000000"/>
        </w:rPr>
      </w:pPr>
      <w:bookmarkStart w:id="247" w:name="_Hlk25097142"/>
      <w:r>
        <w:rPr>
          <w:color w:val="000000" w:themeColor="text1"/>
          <w:lang w:val="en-US"/>
          <w14:textFill>
            <w14:solidFill>
              <w14:schemeClr w14:val="tx1"/>
            </w14:solidFill>
          </w14:textFill>
        </w:rPr>
        <w:t>化工品废水处理效率方面</w:t>
      </w:r>
      <w:r>
        <w:rPr>
          <w:color w:val="000000" w:themeColor="text1"/>
          <w14:textFill>
            <w14:solidFill>
              <w14:schemeClr w14:val="tx1"/>
            </w14:solidFill>
          </w14:textFill>
        </w:rPr>
        <w:t>：</w:t>
      </w:r>
      <w:r>
        <w:rPr>
          <w:rFonts w:hint="eastAsia"/>
          <w:color w:val="000000"/>
          <w:lang w:val="en-US" w:eastAsia="zh-CN"/>
        </w:rPr>
        <w:t>3</w:t>
      </w:r>
      <w:r>
        <w:rPr>
          <w:color w:val="000000"/>
        </w:rPr>
        <w:t>月</w:t>
      </w:r>
      <w:r>
        <w:rPr>
          <w:rFonts w:hint="eastAsia"/>
          <w:color w:val="000000"/>
          <w:lang w:val="en-US" w:eastAsia="zh-CN"/>
        </w:rPr>
        <w:t>23</w:t>
      </w:r>
      <w:r>
        <w:rPr>
          <w:color w:val="000000"/>
        </w:rPr>
        <w:t>日，</w:t>
      </w:r>
      <w:r>
        <w:rPr>
          <w:color w:val="000000"/>
          <w:lang w:val="en-US"/>
        </w:rPr>
        <w:t>化工品废水</w:t>
      </w:r>
      <w:r>
        <w:rPr>
          <w:color w:val="000000"/>
        </w:rPr>
        <w:t>进水pH为</w:t>
      </w:r>
      <w:r>
        <w:rPr>
          <w:rFonts w:hint="eastAsia"/>
          <w:color w:val="000000"/>
          <w:lang w:val="en-US"/>
        </w:rPr>
        <w:t>6.</w:t>
      </w:r>
      <w:r>
        <w:rPr>
          <w:rFonts w:hint="eastAsia"/>
          <w:color w:val="000000"/>
          <w:lang w:val="en-US" w:eastAsia="zh-CN"/>
        </w:rPr>
        <w:t>0</w:t>
      </w:r>
      <w:r>
        <w:rPr>
          <w:rFonts w:hint="eastAsia"/>
          <w:color w:val="000000"/>
          <w:lang w:val="en-US"/>
        </w:rPr>
        <w:t>~</w:t>
      </w:r>
      <w:r>
        <w:rPr>
          <w:rFonts w:hint="eastAsia"/>
          <w:color w:val="000000"/>
          <w:lang w:val="en-US" w:eastAsia="zh-CN"/>
        </w:rPr>
        <w:t>6.2</w:t>
      </w:r>
      <w:r>
        <w:rPr>
          <w:color w:val="000000"/>
        </w:rPr>
        <w:t>，</w:t>
      </w:r>
      <w:r>
        <w:rPr>
          <w:rFonts w:hint="eastAsia"/>
          <w:color w:val="000000"/>
          <w:lang w:val="en-US" w:eastAsia="zh-CN"/>
        </w:rPr>
        <w:t>总排口</w:t>
      </w:r>
      <w:r>
        <w:rPr>
          <w:color w:val="000000"/>
        </w:rPr>
        <w:t>pH为</w:t>
      </w:r>
      <w:r>
        <w:rPr>
          <w:rFonts w:hint="eastAsia"/>
          <w:lang w:val="en-US" w:eastAsia="zh-CN"/>
        </w:rPr>
        <w:t>7.2~7.5</w:t>
      </w:r>
      <w:r>
        <w:rPr>
          <w:color w:val="000000"/>
        </w:rPr>
        <w:t>，污水处理设施对SS的平均去除率为</w:t>
      </w:r>
      <w:r>
        <w:rPr>
          <w:rFonts w:hint="eastAsia"/>
          <w:color w:val="000000"/>
          <w:lang w:val="en-US" w:eastAsia="zh-CN"/>
        </w:rPr>
        <w:t>22.2</w:t>
      </w:r>
      <w:r>
        <w:rPr>
          <w:color w:val="000000"/>
        </w:rPr>
        <w:t>%，对NH</w:t>
      </w:r>
      <w:r>
        <w:rPr>
          <w:color w:val="000000"/>
          <w:vertAlign w:val="subscript"/>
        </w:rPr>
        <w:t>3</w:t>
      </w:r>
      <w:r>
        <w:rPr>
          <w:color w:val="000000"/>
        </w:rPr>
        <w:t>-N的平均去除率为</w:t>
      </w:r>
      <w:r>
        <w:rPr>
          <w:rFonts w:hint="eastAsia"/>
          <w:color w:val="000000"/>
          <w:lang w:val="en-US" w:eastAsia="zh-CN"/>
        </w:rPr>
        <w:t>92.4</w:t>
      </w:r>
      <w:r>
        <w:rPr>
          <w:color w:val="000000"/>
        </w:rPr>
        <w:t>%，对COD的平均去除率为</w:t>
      </w:r>
      <w:r>
        <w:rPr>
          <w:rFonts w:hint="eastAsia"/>
          <w:color w:val="000000"/>
          <w:lang w:val="en-US" w:eastAsia="zh-CN"/>
        </w:rPr>
        <w:t>98.5</w:t>
      </w:r>
      <w:r>
        <w:rPr>
          <w:color w:val="000000"/>
        </w:rPr>
        <w:t>%，对BOD</w:t>
      </w:r>
      <w:r>
        <w:rPr>
          <w:color w:val="000000"/>
          <w:vertAlign w:val="subscript"/>
        </w:rPr>
        <w:t>5</w:t>
      </w:r>
      <w:r>
        <w:rPr>
          <w:color w:val="000000"/>
        </w:rPr>
        <w:t>的平均去除率为</w:t>
      </w:r>
      <w:r>
        <w:rPr>
          <w:rFonts w:hint="eastAsia"/>
          <w:color w:val="000000"/>
          <w:lang w:val="en-US" w:eastAsia="zh-CN"/>
        </w:rPr>
        <w:t>99.2</w:t>
      </w:r>
      <w:r>
        <w:rPr>
          <w:color w:val="000000"/>
        </w:rPr>
        <w:t>%，</w:t>
      </w:r>
      <w:r>
        <w:rPr>
          <w:rFonts w:hint="eastAsia"/>
          <w:color w:val="000000"/>
          <w:lang w:val="en-US"/>
        </w:rPr>
        <w:t>对石油类的平均去除率为</w:t>
      </w:r>
      <w:r>
        <w:rPr>
          <w:rFonts w:hint="eastAsia"/>
          <w:color w:val="000000"/>
          <w:lang w:val="en-US" w:eastAsia="zh-CN"/>
        </w:rPr>
        <w:t>96.6</w:t>
      </w:r>
      <w:r>
        <w:rPr>
          <w:rFonts w:hint="eastAsia"/>
          <w:color w:val="000000"/>
          <w:lang w:val="en-US"/>
        </w:rPr>
        <w:t>%，</w:t>
      </w:r>
      <w:r>
        <w:rPr>
          <w:color w:val="000000"/>
          <w:lang w:val="en-US"/>
        </w:rPr>
        <w:t>对苯的平均去除率为</w:t>
      </w:r>
      <w:r>
        <w:rPr>
          <w:rFonts w:hint="eastAsia"/>
          <w:color w:val="000000"/>
          <w:lang w:val="en-US" w:eastAsia="zh-CN"/>
        </w:rPr>
        <w:t>53.3</w:t>
      </w:r>
      <w:r>
        <w:rPr>
          <w:color w:val="000000"/>
          <w:lang w:val="en-US"/>
        </w:rPr>
        <w:t>%</w:t>
      </w:r>
      <w:r>
        <w:rPr>
          <w:rFonts w:hint="eastAsia"/>
          <w:color w:val="000000"/>
          <w:lang w:val="en-US" w:eastAsia="zh-CN"/>
        </w:rPr>
        <w:t>，对邻二甲苯去除率为97.0%</w:t>
      </w:r>
      <w:r>
        <w:rPr>
          <w:color w:val="000000"/>
        </w:rPr>
        <w:t>。</w:t>
      </w:r>
      <w:r>
        <w:rPr>
          <w:rFonts w:hint="eastAsia"/>
          <w:color w:val="000000"/>
          <w:lang w:val="en-US" w:eastAsia="zh-CN"/>
        </w:rPr>
        <w:t>3</w:t>
      </w:r>
      <w:r>
        <w:rPr>
          <w:color w:val="000000"/>
        </w:rPr>
        <w:t>月</w:t>
      </w:r>
      <w:r>
        <w:rPr>
          <w:rFonts w:hint="eastAsia"/>
          <w:color w:val="000000"/>
          <w:lang w:val="en-US" w:eastAsia="zh-CN"/>
        </w:rPr>
        <w:t>24</w:t>
      </w:r>
      <w:r>
        <w:rPr>
          <w:color w:val="000000"/>
        </w:rPr>
        <w:t>日，</w:t>
      </w:r>
      <w:r>
        <w:rPr>
          <w:color w:val="000000"/>
          <w:lang w:val="en-US"/>
        </w:rPr>
        <w:t>化工品废水</w:t>
      </w:r>
      <w:r>
        <w:rPr>
          <w:color w:val="000000"/>
        </w:rPr>
        <w:t>进水pH为</w:t>
      </w:r>
      <w:r>
        <w:rPr>
          <w:rFonts w:hint="eastAsia"/>
          <w:color w:val="000000"/>
          <w:lang w:val="en-US" w:eastAsia="zh-CN"/>
        </w:rPr>
        <w:t>6.2</w:t>
      </w:r>
      <w:r>
        <w:rPr>
          <w:rFonts w:hint="eastAsia"/>
          <w:color w:val="000000"/>
          <w:lang w:val="en-US"/>
        </w:rPr>
        <w:t>~</w:t>
      </w:r>
      <w:r>
        <w:rPr>
          <w:rFonts w:hint="eastAsia"/>
          <w:color w:val="000000"/>
          <w:lang w:val="en-US" w:eastAsia="zh-CN"/>
        </w:rPr>
        <w:t>6.6</w:t>
      </w:r>
      <w:r>
        <w:rPr>
          <w:color w:val="000000"/>
        </w:rPr>
        <w:t>、</w:t>
      </w:r>
      <w:r>
        <w:rPr>
          <w:rFonts w:hint="eastAsia"/>
          <w:color w:val="000000"/>
          <w:lang w:val="en-US" w:eastAsia="zh-CN"/>
        </w:rPr>
        <w:t>总排口</w:t>
      </w:r>
      <w:r>
        <w:rPr>
          <w:color w:val="000000"/>
        </w:rPr>
        <w:t>pH为</w:t>
      </w:r>
      <w:r>
        <w:rPr>
          <w:rFonts w:hint="eastAsia"/>
          <w:color w:val="000000"/>
          <w:lang w:val="en-US" w:eastAsia="zh-CN"/>
        </w:rPr>
        <w:t>7.2</w:t>
      </w:r>
      <w:r>
        <w:rPr>
          <w:rFonts w:hint="eastAsia"/>
          <w:color w:val="000000"/>
          <w:lang w:val="en-US"/>
        </w:rPr>
        <w:t>~7.</w:t>
      </w:r>
      <w:r>
        <w:rPr>
          <w:rFonts w:hint="eastAsia"/>
          <w:color w:val="000000"/>
          <w:lang w:val="en-US" w:eastAsia="zh-CN"/>
        </w:rPr>
        <w:t>6</w:t>
      </w:r>
      <w:r>
        <w:rPr>
          <w:color w:val="000000"/>
        </w:rPr>
        <w:t>，污水处理设施对SS的平均去除率为</w:t>
      </w:r>
      <w:r>
        <w:rPr>
          <w:rFonts w:hint="eastAsia"/>
          <w:color w:val="000000"/>
          <w:lang w:val="en-US" w:eastAsia="zh-CN"/>
        </w:rPr>
        <w:t>25.0</w:t>
      </w:r>
      <w:r>
        <w:rPr>
          <w:color w:val="000000"/>
        </w:rPr>
        <w:t>%，对NH</w:t>
      </w:r>
      <w:r>
        <w:rPr>
          <w:color w:val="000000"/>
          <w:vertAlign w:val="subscript"/>
        </w:rPr>
        <w:t>3</w:t>
      </w:r>
      <w:r>
        <w:rPr>
          <w:color w:val="000000"/>
        </w:rPr>
        <w:t>-N的平均去除率为</w:t>
      </w:r>
      <w:r>
        <w:rPr>
          <w:rFonts w:hint="eastAsia"/>
          <w:color w:val="000000"/>
          <w:lang w:val="en-US" w:eastAsia="zh-CN"/>
        </w:rPr>
        <w:t>92.5</w:t>
      </w:r>
      <w:r>
        <w:rPr>
          <w:color w:val="000000"/>
        </w:rPr>
        <w:t>%，对COD的平均去除率为</w:t>
      </w:r>
      <w:r>
        <w:rPr>
          <w:rFonts w:hint="eastAsia"/>
          <w:color w:val="000000"/>
          <w:lang w:val="en-US" w:eastAsia="zh-CN"/>
        </w:rPr>
        <w:t>99.9</w:t>
      </w:r>
      <w:r>
        <w:rPr>
          <w:color w:val="000000"/>
        </w:rPr>
        <w:t>%，对BOD</w:t>
      </w:r>
      <w:r>
        <w:rPr>
          <w:color w:val="000000"/>
          <w:vertAlign w:val="subscript"/>
        </w:rPr>
        <w:t>5</w:t>
      </w:r>
      <w:r>
        <w:rPr>
          <w:color w:val="000000"/>
        </w:rPr>
        <w:t>的平均去除率为</w:t>
      </w:r>
      <w:r>
        <w:rPr>
          <w:color w:val="000000"/>
          <w:lang w:val="en-US"/>
        </w:rPr>
        <w:t>9</w:t>
      </w:r>
      <w:r>
        <w:rPr>
          <w:rFonts w:hint="eastAsia"/>
          <w:color w:val="000000"/>
          <w:lang w:val="en-US" w:eastAsia="zh-CN"/>
        </w:rPr>
        <w:t>9.1</w:t>
      </w:r>
      <w:r>
        <w:rPr>
          <w:color w:val="000000"/>
        </w:rPr>
        <w:t>%，</w:t>
      </w:r>
      <w:r>
        <w:rPr>
          <w:rFonts w:hint="eastAsia"/>
          <w:color w:val="000000"/>
          <w:lang w:val="en-US"/>
        </w:rPr>
        <w:t>对石油类的平均去除率为</w:t>
      </w:r>
      <w:r>
        <w:rPr>
          <w:rFonts w:hint="eastAsia"/>
          <w:color w:val="000000"/>
          <w:lang w:val="en-US" w:eastAsia="zh-CN"/>
        </w:rPr>
        <w:t>96.4</w:t>
      </w:r>
      <w:r>
        <w:rPr>
          <w:rFonts w:hint="eastAsia"/>
          <w:color w:val="000000"/>
          <w:lang w:val="en-US"/>
        </w:rPr>
        <w:t>%，</w:t>
      </w:r>
      <w:r>
        <w:rPr>
          <w:color w:val="000000"/>
          <w:lang w:val="en-US"/>
        </w:rPr>
        <w:t>对苯的平均去除率为</w:t>
      </w:r>
      <w:r>
        <w:rPr>
          <w:rFonts w:hint="eastAsia"/>
          <w:color w:val="000000"/>
          <w:lang w:val="en-US" w:eastAsia="zh-CN"/>
        </w:rPr>
        <w:t>60.0</w:t>
      </w:r>
      <w:r>
        <w:rPr>
          <w:color w:val="000000"/>
          <w:lang w:val="en-US"/>
        </w:rPr>
        <w:t>%</w:t>
      </w:r>
      <w:r>
        <w:rPr>
          <w:rFonts w:hint="eastAsia"/>
          <w:color w:val="000000"/>
          <w:lang w:val="en-US" w:eastAsia="zh-CN"/>
        </w:rPr>
        <w:t>，对邻二甲苯去除率为97.1%</w:t>
      </w:r>
      <w:r>
        <w:rPr>
          <w:color w:val="000000"/>
        </w:rPr>
        <w:t>。</w:t>
      </w:r>
    </w:p>
    <w:p>
      <w:pPr>
        <w:pStyle w:val="19"/>
        <w:ind w:firstLine="480"/>
        <w:rPr>
          <w:color w:val="000000"/>
        </w:rPr>
      </w:pPr>
      <w:r>
        <w:rPr>
          <w:color w:val="000000" w:themeColor="text1"/>
          <w:lang w:val="en-US"/>
          <w14:textFill>
            <w14:solidFill>
              <w14:schemeClr w14:val="tx1"/>
            </w14:solidFill>
          </w14:textFill>
        </w:rPr>
        <w:t>含油废水处理效率方面</w:t>
      </w:r>
      <w:r>
        <w:rPr>
          <w:color w:val="000000" w:themeColor="text1"/>
          <w14:textFill>
            <w14:solidFill>
              <w14:schemeClr w14:val="tx1"/>
            </w14:solidFill>
          </w14:textFill>
        </w:rPr>
        <w:t>：</w:t>
      </w:r>
      <w:r>
        <w:rPr>
          <w:rFonts w:hint="eastAsia"/>
          <w:color w:val="000000"/>
          <w:lang w:val="en-US" w:eastAsia="zh-CN"/>
        </w:rPr>
        <w:t>3</w:t>
      </w:r>
      <w:r>
        <w:rPr>
          <w:color w:val="000000"/>
        </w:rPr>
        <w:t>月</w:t>
      </w:r>
      <w:r>
        <w:rPr>
          <w:rFonts w:hint="eastAsia"/>
          <w:color w:val="000000"/>
          <w:lang w:val="en-US" w:eastAsia="zh-CN"/>
        </w:rPr>
        <w:t>23</w:t>
      </w:r>
      <w:r>
        <w:rPr>
          <w:color w:val="000000"/>
        </w:rPr>
        <w:t>日，</w:t>
      </w:r>
      <w:r>
        <w:rPr>
          <w:color w:val="000000"/>
          <w:lang w:val="en-US"/>
        </w:rPr>
        <w:t>含油废水</w:t>
      </w:r>
      <w:r>
        <w:rPr>
          <w:color w:val="000000"/>
        </w:rPr>
        <w:t>进水pH为</w:t>
      </w:r>
      <w:r>
        <w:rPr>
          <w:rFonts w:hint="eastAsia"/>
          <w:lang w:val="en-US" w:eastAsia="zh-CN"/>
        </w:rPr>
        <w:t>7.5</w:t>
      </w:r>
      <w:r>
        <w:rPr>
          <w:rFonts w:hint="eastAsia"/>
          <w:lang w:val="en-US"/>
        </w:rPr>
        <w:t>~7.</w:t>
      </w:r>
      <w:r>
        <w:rPr>
          <w:rFonts w:hint="eastAsia"/>
          <w:lang w:val="en-US" w:eastAsia="zh-CN"/>
        </w:rPr>
        <w:t>8</w:t>
      </w:r>
      <w:r>
        <w:rPr>
          <w:color w:val="000000"/>
        </w:rPr>
        <w:t>，</w:t>
      </w:r>
      <w:r>
        <w:rPr>
          <w:rFonts w:hint="eastAsia"/>
          <w:color w:val="000000"/>
          <w:lang w:val="en-US" w:eastAsia="zh-CN"/>
        </w:rPr>
        <w:t>总排口</w:t>
      </w:r>
      <w:r>
        <w:rPr>
          <w:color w:val="000000"/>
        </w:rPr>
        <w:t>pH为</w:t>
      </w:r>
      <w:r>
        <w:rPr>
          <w:rFonts w:hint="eastAsia"/>
          <w:color w:val="000000"/>
          <w:lang w:val="en-US" w:eastAsia="zh-CN"/>
        </w:rPr>
        <w:t>7.2</w:t>
      </w:r>
      <w:r>
        <w:rPr>
          <w:rFonts w:hint="eastAsia"/>
          <w:color w:val="000000"/>
          <w:lang w:val="en-US"/>
        </w:rPr>
        <w:t>~7.</w:t>
      </w:r>
      <w:r>
        <w:rPr>
          <w:rFonts w:hint="eastAsia"/>
          <w:color w:val="000000"/>
          <w:lang w:val="en-US" w:eastAsia="zh-CN"/>
        </w:rPr>
        <w:t>5</w:t>
      </w:r>
      <w:r>
        <w:rPr>
          <w:color w:val="000000"/>
        </w:rPr>
        <w:t>，污水处理设施对SS的平均去除率为</w:t>
      </w:r>
      <w:r>
        <w:rPr>
          <w:rFonts w:hint="eastAsia"/>
          <w:color w:val="000000"/>
          <w:lang w:val="en-US" w:eastAsia="zh-CN"/>
        </w:rPr>
        <w:t>97.5</w:t>
      </w:r>
      <w:r>
        <w:rPr>
          <w:color w:val="000000"/>
        </w:rPr>
        <w:t>%，对NH</w:t>
      </w:r>
      <w:r>
        <w:rPr>
          <w:color w:val="000000"/>
          <w:vertAlign w:val="subscript"/>
        </w:rPr>
        <w:t>3</w:t>
      </w:r>
      <w:r>
        <w:rPr>
          <w:color w:val="000000"/>
        </w:rPr>
        <w:t>-N的平均去除率为</w:t>
      </w:r>
      <w:r>
        <w:rPr>
          <w:rFonts w:hint="eastAsia"/>
          <w:color w:val="000000"/>
          <w:lang w:val="en-US" w:eastAsia="zh-CN"/>
        </w:rPr>
        <w:t>91.4</w:t>
      </w:r>
      <w:r>
        <w:rPr>
          <w:color w:val="000000"/>
        </w:rPr>
        <w:t>%，对COD的平均去除率为</w:t>
      </w:r>
      <w:r>
        <w:rPr>
          <w:rFonts w:hint="eastAsia"/>
          <w:color w:val="000000"/>
          <w:lang w:val="en-US" w:eastAsia="zh-CN"/>
        </w:rPr>
        <w:t>98.3</w:t>
      </w:r>
      <w:r>
        <w:rPr>
          <w:color w:val="000000"/>
        </w:rPr>
        <w:t>%，对BOD</w:t>
      </w:r>
      <w:r>
        <w:rPr>
          <w:color w:val="000000"/>
          <w:vertAlign w:val="subscript"/>
        </w:rPr>
        <w:t>5</w:t>
      </w:r>
      <w:r>
        <w:rPr>
          <w:color w:val="000000"/>
        </w:rPr>
        <w:t>的平均去除率为</w:t>
      </w:r>
      <w:r>
        <w:rPr>
          <w:rFonts w:hint="eastAsia"/>
          <w:color w:val="000000"/>
          <w:lang w:val="en-US" w:eastAsia="zh-CN"/>
        </w:rPr>
        <w:t>99.6</w:t>
      </w:r>
      <w:r>
        <w:rPr>
          <w:color w:val="000000"/>
        </w:rPr>
        <w:t>%</w:t>
      </w:r>
      <w:r>
        <w:rPr>
          <w:rFonts w:hint="eastAsia"/>
          <w:color w:val="000000"/>
          <w:lang w:eastAsia="zh-CN"/>
        </w:rPr>
        <w:t>，</w:t>
      </w:r>
      <w:r>
        <w:rPr>
          <w:color w:val="000000"/>
        </w:rPr>
        <w:t>对石油类的平均去除率为</w:t>
      </w:r>
      <w:r>
        <w:rPr>
          <w:color w:val="000000"/>
          <w:lang w:val="en-US"/>
        </w:rPr>
        <w:t>99.</w:t>
      </w:r>
      <w:r>
        <w:rPr>
          <w:rFonts w:hint="eastAsia"/>
          <w:color w:val="000000"/>
          <w:lang w:val="en-US" w:eastAsia="zh-CN"/>
        </w:rPr>
        <w:t>6</w:t>
      </w:r>
      <w:r>
        <w:rPr>
          <w:color w:val="000000"/>
        </w:rPr>
        <w:t>%。</w:t>
      </w:r>
      <w:r>
        <w:rPr>
          <w:rFonts w:hint="eastAsia"/>
          <w:color w:val="000000"/>
          <w:lang w:val="en-US" w:eastAsia="zh-CN"/>
        </w:rPr>
        <w:t>3</w:t>
      </w:r>
      <w:r>
        <w:rPr>
          <w:color w:val="000000"/>
        </w:rPr>
        <w:t>月</w:t>
      </w:r>
      <w:r>
        <w:rPr>
          <w:rFonts w:hint="eastAsia"/>
          <w:color w:val="000000"/>
          <w:lang w:val="en-US" w:eastAsia="zh-CN"/>
        </w:rPr>
        <w:t>24</w:t>
      </w:r>
      <w:r>
        <w:rPr>
          <w:color w:val="000000"/>
        </w:rPr>
        <w:t>日，</w:t>
      </w:r>
      <w:r>
        <w:rPr>
          <w:color w:val="000000"/>
          <w:lang w:val="en-US"/>
        </w:rPr>
        <w:t>含油废水</w:t>
      </w:r>
      <w:r>
        <w:rPr>
          <w:color w:val="000000"/>
        </w:rPr>
        <w:t>进水pH为</w:t>
      </w:r>
      <w:r>
        <w:rPr>
          <w:rFonts w:hint="eastAsia"/>
          <w:color w:val="000000"/>
          <w:lang w:val="en-US" w:eastAsia="zh-CN"/>
        </w:rPr>
        <w:t>7.5</w:t>
      </w:r>
      <w:r>
        <w:rPr>
          <w:rFonts w:hint="eastAsia"/>
          <w:color w:val="000000"/>
          <w:lang w:val="en-US"/>
        </w:rPr>
        <w:t>~7.</w:t>
      </w:r>
      <w:r>
        <w:rPr>
          <w:rFonts w:hint="eastAsia"/>
          <w:color w:val="000000"/>
          <w:lang w:val="en-US" w:eastAsia="zh-CN"/>
        </w:rPr>
        <w:t>9</w:t>
      </w:r>
      <w:r>
        <w:rPr>
          <w:color w:val="000000"/>
        </w:rPr>
        <w:t>，</w:t>
      </w:r>
      <w:r>
        <w:rPr>
          <w:rFonts w:hint="eastAsia"/>
          <w:color w:val="000000"/>
          <w:lang w:val="en-US" w:eastAsia="zh-CN"/>
        </w:rPr>
        <w:t>总排口</w:t>
      </w:r>
      <w:r>
        <w:rPr>
          <w:color w:val="000000"/>
        </w:rPr>
        <w:t>pH为</w:t>
      </w:r>
      <w:r>
        <w:rPr>
          <w:rFonts w:hint="eastAsia"/>
          <w:color w:val="000000"/>
          <w:lang w:val="en-US" w:eastAsia="zh-CN"/>
        </w:rPr>
        <w:t>7.2</w:t>
      </w:r>
      <w:r>
        <w:rPr>
          <w:rFonts w:hint="eastAsia"/>
          <w:color w:val="000000"/>
          <w:lang w:val="en-US"/>
        </w:rPr>
        <w:t>~7</w:t>
      </w:r>
      <w:r>
        <w:rPr>
          <w:rFonts w:hint="eastAsia"/>
          <w:color w:val="000000"/>
          <w:lang w:val="en-US" w:eastAsia="zh-CN"/>
        </w:rPr>
        <w:t>.6</w:t>
      </w:r>
      <w:r>
        <w:rPr>
          <w:color w:val="000000"/>
        </w:rPr>
        <w:t>，污水处理设施对SS的平均去除率为</w:t>
      </w:r>
      <w:r>
        <w:rPr>
          <w:rFonts w:hint="eastAsia"/>
          <w:color w:val="000000"/>
          <w:lang w:val="en-US" w:eastAsia="zh-CN"/>
        </w:rPr>
        <w:t>97.6</w:t>
      </w:r>
      <w:r>
        <w:rPr>
          <w:color w:val="000000"/>
        </w:rPr>
        <w:t>%，对NH</w:t>
      </w:r>
      <w:r>
        <w:rPr>
          <w:color w:val="000000"/>
          <w:vertAlign w:val="subscript"/>
        </w:rPr>
        <w:t>3</w:t>
      </w:r>
      <w:r>
        <w:rPr>
          <w:color w:val="000000"/>
        </w:rPr>
        <w:t>-N的平均去除率为</w:t>
      </w:r>
      <w:r>
        <w:rPr>
          <w:rFonts w:hint="eastAsia"/>
          <w:color w:val="000000"/>
          <w:lang w:val="en-US" w:eastAsia="zh-CN"/>
        </w:rPr>
        <w:t>91.9</w:t>
      </w:r>
      <w:r>
        <w:rPr>
          <w:color w:val="000000"/>
        </w:rPr>
        <w:t>%，对COD的平均去除率为</w:t>
      </w:r>
      <w:r>
        <w:rPr>
          <w:rFonts w:hint="eastAsia"/>
          <w:color w:val="000000"/>
          <w:lang w:val="en-US" w:eastAsia="zh-CN"/>
        </w:rPr>
        <w:t>97.9</w:t>
      </w:r>
      <w:r>
        <w:rPr>
          <w:color w:val="000000"/>
        </w:rPr>
        <w:t>%，对BOD</w:t>
      </w:r>
      <w:r>
        <w:rPr>
          <w:color w:val="000000"/>
          <w:vertAlign w:val="subscript"/>
        </w:rPr>
        <w:t>5</w:t>
      </w:r>
      <w:r>
        <w:rPr>
          <w:color w:val="000000"/>
        </w:rPr>
        <w:t>的平均去除率为</w:t>
      </w:r>
      <w:r>
        <w:rPr>
          <w:color w:val="000000"/>
          <w:lang w:val="en-US"/>
        </w:rPr>
        <w:t>9</w:t>
      </w:r>
      <w:r>
        <w:rPr>
          <w:rFonts w:hint="eastAsia"/>
          <w:color w:val="000000"/>
          <w:lang w:val="en-US" w:eastAsia="zh-CN"/>
        </w:rPr>
        <w:t>9</w:t>
      </w:r>
      <w:r>
        <w:rPr>
          <w:rFonts w:hint="eastAsia"/>
          <w:color w:val="000000"/>
          <w:lang w:val="en-US"/>
        </w:rPr>
        <w:t>.5</w:t>
      </w:r>
      <w:r>
        <w:rPr>
          <w:color w:val="000000"/>
        </w:rPr>
        <w:t>%</w:t>
      </w:r>
      <w:r>
        <w:rPr>
          <w:rFonts w:hint="eastAsia"/>
          <w:color w:val="000000"/>
          <w:lang w:eastAsia="zh-CN"/>
        </w:rPr>
        <w:t>，</w:t>
      </w:r>
      <w:r>
        <w:rPr>
          <w:color w:val="000000"/>
        </w:rPr>
        <w:t>对石油类的平均去除率为</w:t>
      </w:r>
      <w:r>
        <w:rPr>
          <w:color w:val="000000"/>
          <w:lang w:val="en-US"/>
        </w:rPr>
        <w:t>99.</w:t>
      </w:r>
      <w:r>
        <w:rPr>
          <w:rFonts w:hint="eastAsia"/>
          <w:color w:val="000000"/>
          <w:lang w:val="en-US" w:eastAsia="zh-CN"/>
        </w:rPr>
        <w:t>5</w:t>
      </w:r>
      <w:r>
        <w:rPr>
          <w:color w:val="000000"/>
        </w:rPr>
        <w:t>%。</w:t>
      </w:r>
    </w:p>
    <w:p>
      <w:pPr>
        <w:pStyle w:val="19"/>
        <w:ind w:firstLine="480"/>
        <w:rPr>
          <w:lang w:val="en-US"/>
        </w:rPr>
      </w:pPr>
      <w:r>
        <w:rPr>
          <w:color w:val="000000" w:themeColor="text1"/>
          <w:lang w:val="en-US"/>
          <w14:textFill>
            <w14:solidFill>
              <w14:schemeClr w14:val="tx1"/>
            </w14:solidFill>
          </w14:textFill>
        </w:rPr>
        <w:t>油气回收装置</w:t>
      </w:r>
      <w:r>
        <w:rPr>
          <w:color w:val="000000" w:themeColor="text1"/>
          <w14:textFill>
            <w14:solidFill>
              <w14:schemeClr w14:val="tx1"/>
            </w14:solidFill>
          </w14:textFill>
        </w:rPr>
        <w:t>1</w:t>
      </w:r>
      <w:r>
        <w:rPr>
          <w:color w:val="000000" w:themeColor="text1"/>
          <w:lang w:val="en-US"/>
          <w14:textFill>
            <w14:solidFill>
              <w14:schemeClr w14:val="tx1"/>
            </w14:solidFill>
          </w14:textFill>
        </w:rPr>
        <w:t>处理效率方面</w:t>
      </w:r>
      <w:r>
        <w:rPr>
          <w:color w:val="000000" w:themeColor="text1"/>
          <w14:textFill>
            <w14:solidFill>
              <w14:schemeClr w14:val="tx1"/>
            </w14:solidFill>
          </w14:textFill>
        </w:rPr>
        <w:t>：</w:t>
      </w:r>
      <w:bookmarkEnd w:id="247"/>
      <w:r>
        <w:rPr>
          <w:rFonts w:hint="eastAsia"/>
          <w:lang w:val="en-US"/>
        </w:rPr>
        <w:t>油气回收装置1</w:t>
      </w:r>
      <w:r>
        <w:rPr>
          <w:lang w:val="en-US"/>
        </w:rPr>
        <w:t>对非甲烷总烃的去除率范围在</w:t>
      </w:r>
      <w:r>
        <w:rPr>
          <w:rFonts w:hint="default"/>
        </w:rPr>
        <w:t>9</w:t>
      </w:r>
      <w:r>
        <w:rPr>
          <w:rFonts w:hint="eastAsia"/>
          <w:lang w:val="en-US" w:eastAsia="zh-CN"/>
        </w:rPr>
        <w:t>5.4</w:t>
      </w:r>
      <w:r>
        <w:rPr>
          <w:lang w:val="en-US"/>
        </w:rPr>
        <w:t>%~</w:t>
      </w:r>
      <w:r>
        <w:rPr>
          <w:rFonts w:hint="eastAsia"/>
          <w:lang w:val="en-US"/>
        </w:rPr>
        <w:t>9</w:t>
      </w:r>
      <w:r>
        <w:rPr>
          <w:rFonts w:hint="eastAsia"/>
          <w:lang w:val="en-US" w:eastAsia="zh-CN"/>
        </w:rPr>
        <w:t>5.9</w:t>
      </w:r>
      <w:r>
        <w:rPr>
          <w:lang w:val="en-US"/>
        </w:rPr>
        <w:t>%，符合</w:t>
      </w:r>
      <w:r>
        <w:rPr>
          <w:szCs w:val="21"/>
        </w:rPr>
        <w:t>《储油库大气污染物排放标准》（GB20950-2</w:t>
      </w:r>
      <w:r>
        <w:rPr>
          <w:szCs w:val="21"/>
          <w:lang w:val="en-US"/>
        </w:rPr>
        <w:t>020</w:t>
      </w:r>
      <w:r>
        <w:rPr>
          <w:szCs w:val="21"/>
        </w:rPr>
        <w:t>）的排放控制和排放限值</w:t>
      </w:r>
      <w:r>
        <w:rPr>
          <w:lang w:val="en-US"/>
        </w:rPr>
        <w:t>。</w:t>
      </w:r>
    </w:p>
    <w:p>
      <w:pPr>
        <w:pStyle w:val="19"/>
        <w:ind w:firstLine="480"/>
        <w:rPr>
          <w:lang w:val="en-US"/>
        </w:rPr>
      </w:pPr>
      <w:r>
        <w:rPr>
          <w:rFonts w:hint="eastAsia"/>
          <w:color w:val="000000" w:themeColor="text1"/>
          <w:lang w:val="en-US" w:eastAsia="zh-Hans"/>
          <w14:textFill>
            <w14:solidFill>
              <w14:schemeClr w14:val="tx1"/>
            </w14:solidFill>
          </w14:textFill>
        </w:rPr>
        <w:t>废气净化</w:t>
      </w:r>
      <w:r>
        <w:rPr>
          <w:color w:val="000000" w:themeColor="text1"/>
          <w:lang w:val="en-US"/>
          <w14:textFill>
            <w14:solidFill>
              <w14:schemeClr w14:val="tx1"/>
            </w14:solidFill>
          </w14:textFill>
        </w:rPr>
        <w:t>装置</w:t>
      </w:r>
      <w:r>
        <w:rPr>
          <w:color w:val="000000" w:themeColor="text1"/>
          <w14:textFill>
            <w14:solidFill>
              <w14:schemeClr w14:val="tx1"/>
            </w14:solidFill>
          </w14:textFill>
        </w:rPr>
        <w:t>2</w:t>
      </w:r>
      <w:r>
        <w:rPr>
          <w:color w:val="000000" w:themeColor="text1"/>
          <w:lang w:val="en-US"/>
          <w14:textFill>
            <w14:solidFill>
              <w14:schemeClr w14:val="tx1"/>
            </w14:solidFill>
          </w14:textFill>
        </w:rPr>
        <w:t>处理效率方面</w:t>
      </w:r>
      <w:r>
        <w:rPr>
          <w:color w:val="000000" w:themeColor="text1"/>
          <w14:textFill>
            <w14:solidFill>
              <w14:schemeClr w14:val="tx1"/>
            </w14:solidFill>
          </w14:textFill>
        </w:rPr>
        <w:t>：</w:t>
      </w:r>
      <w:r>
        <w:rPr>
          <w:rFonts w:hint="eastAsia"/>
          <w:lang w:val="en-US"/>
        </w:rPr>
        <w:t>废气净化装置2</w:t>
      </w:r>
      <w:r>
        <w:rPr>
          <w:lang w:val="en-US"/>
        </w:rPr>
        <w:t>对非甲烷总烃的去除率范围在9</w:t>
      </w:r>
      <w:r>
        <w:rPr>
          <w:rFonts w:hint="eastAsia"/>
          <w:lang w:val="en-US" w:eastAsia="zh-CN"/>
        </w:rPr>
        <w:t>1.4</w:t>
      </w:r>
      <w:r>
        <w:rPr>
          <w:lang w:val="en-US"/>
        </w:rPr>
        <w:t>%~9</w:t>
      </w:r>
      <w:r>
        <w:rPr>
          <w:rFonts w:hint="eastAsia"/>
          <w:lang w:val="en-US" w:eastAsia="zh-CN"/>
        </w:rPr>
        <w:t>3.4</w:t>
      </w:r>
      <w:r>
        <w:rPr>
          <w:lang w:val="en-US"/>
        </w:rPr>
        <w:t>%，</w:t>
      </w:r>
      <w:r>
        <w:rPr>
          <w:rFonts w:hint="eastAsia"/>
          <w:lang w:val="en-US" w:eastAsia="zh-CN"/>
        </w:rPr>
        <w:t>对苯的去除率范围在95.0%~95.4%，均</w:t>
      </w:r>
      <w:r>
        <w:rPr>
          <w:lang w:val="en-US"/>
        </w:rPr>
        <w:t>符合《挥发性有机物无组织排放控制标准》（GB37822-2019）中</w:t>
      </w:r>
      <w:r>
        <w:rPr>
          <w:rFonts w:hint="eastAsia"/>
          <w:lang w:val="en-US" w:eastAsia="zh-Hans"/>
        </w:rPr>
        <w:t>“</w:t>
      </w:r>
      <w:r>
        <w:rPr>
          <w:lang w:val="en-US"/>
        </w:rPr>
        <w:t>处理效率不低于90%</w:t>
      </w:r>
      <w:r>
        <w:rPr>
          <w:rFonts w:hint="eastAsia"/>
          <w:lang w:val="en-US" w:eastAsia="zh-Hans"/>
        </w:rPr>
        <w:t>”的要求</w:t>
      </w:r>
      <w:r>
        <w:rPr>
          <w:lang w:val="en-US"/>
        </w:rPr>
        <w:t>。</w:t>
      </w:r>
    </w:p>
    <w:p>
      <w:pPr>
        <w:pStyle w:val="19"/>
        <w:ind w:firstLine="480"/>
        <w:rPr>
          <w:lang w:eastAsia="zh-Hans"/>
        </w:rPr>
      </w:pPr>
      <w:r>
        <w:rPr>
          <w:rFonts w:hint="eastAsia"/>
          <w:lang w:val="en-US"/>
        </w:rPr>
        <w:t>水喷淋装置</w:t>
      </w:r>
      <w:r>
        <w:rPr>
          <w:rFonts w:hint="eastAsia"/>
          <w:lang w:val="en-US" w:eastAsia="zh-Hans"/>
        </w:rPr>
        <w:t>处理效率方面</w:t>
      </w:r>
      <w:r>
        <w:rPr>
          <w:lang w:eastAsia="zh-Hans"/>
        </w:rPr>
        <w:t>：</w:t>
      </w:r>
      <w:r>
        <w:rPr>
          <w:rFonts w:hint="eastAsia"/>
          <w:lang w:val="en-US"/>
        </w:rPr>
        <w:t>水喷淋装置</w:t>
      </w:r>
      <w:r>
        <w:rPr>
          <w:lang w:val="en-US"/>
        </w:rPr>
        <w:t>对非甲烷总烃的去除率范围在</w:t>
      </w:r>
      <w:r>
        <w:rPr>
          <w:rFonts w:hint="eastAsia"/>
          <w:lang w:val="en-US"/>
        </w:rPr>
        <w:t>9</w:t>
      </w:r>
      <w:r>
        <w:rPr>
          <w:rFonts w:hint="eastAsia"/>
          <w:lang w:val="en-US" w:eastAsia="zh-CN"/>
        </w:rPr>
        <w:t>5</w:t>
      </w:r>
      <w:r>
        <w:rPr>
          <w:rFonts w:hint="eastAsia"/>
          <w:lang w:val="en-US"/>
        </w:rPr>
        <w:t>.3</w:t>
      </w:r>
      <w:r>
        <w:rPr>
          <w:lang w:val="en-US"/>
        </w:rPr>
        <w:t>%~9</w:t>
      </w:r>
      <w:r>
        <w:rPr>
          <w:rFonts w:hint="eastAsia"/>
          <w:lang w:val="en-US"/>
        </w:rPr>
        <w:t>6.9</w:t>
      </w:r>
      <w:r>
        <w:rPr>
          <w:lang w:val="en-US"/>
        </w:rPr>
        <w:t>%</w:t>
      </w:r>
      <w:r>
        <w:rPr>
          <w:rFonts w:hint="eastAsia"/>
          <w:lang w:val="en-US" w:eastAsia="zh-CN"/>
        </w:rPr>
        <w:t>，</w:t>
      </w:r>
      <w:r>
        <w:rPr>
          <w:lang w:val="en-US"/>
        </w:rPr>
        <w:t>符合《挥发性有机物无组织排放控制标准》（GB37822-2019）中</w:t>
      </w:r>
      <w:r>
        <w:rPr>
          <w:rFonts w:hint="eastAsia"/>
          <w:lang w:val="en-US" w:eastAsia="zh-Hans"/>
        </w:rPr>
        <w:t>“</w:t>
      </w:r>
      <w:r>
        <w:rPr>
          <w:lang w:val="en-US"/>
        </w:rPr>
        <w:t>处理效率不低于90%</w:t>
      </w:r>
      <w:r>
        <w:rPr>
          <w:rFonts w:hint="eastAsia"/>
          <w:lang w:val="en-US" w:eastAsia="zh-Hans"/>
        </w:rPr>
        <w:t>”的要求</w:t>
      </w:r>
      <w:r>
        <w:rPr>
          <w:lang w:eastAsia="zh-Hans"/>
        </w:rPr>
        <w:t>。</w:t>
      </w:r>
    </w:p>
    <w:p>
      <w:pPr>
        <w:pStyle w:val="18"/>
        <w:rPr>
          <w:color w:val="000000" w:themeColor="text1"/>
          <w14:textFill>
            <w14:solidFill>
              <w14:schemeClr w14:val="tx1"/>
            </w14:solidFill>
          </w14:textFill>
        </w:rPr>
      </w:pPr>
      <w:r>
        <w:rPr>
          <w:color w:val="000000" w:themeColor="text1"/>
          <w14:textFill>
            <w14:solidFill>
              <w14:schemeClr w14:val="tx1"/>
            </w14:solidFill>
          </w14:textFill>
        </w:rPr>
        <w:t>12.1.2 污染物排放监测结果</w:t>
      </w:r>
    </w:p>
    <w:p>
      <w:pPr>
        <w:pStyle w:val="25"/>
        <w:rPr>
          <w:color w:val="000000" w:themeColor="text1"/>
          <w14:textFill>
            <w14:solidFill>
              <w14:schemeClr w14:val="tx1"/>
            </w14:solidFill>
          </w14:textFill>
        </w:rPr>
      </w:pPr>
      <w:r>
        <w:rPr>
          <w:color w:val="000000" w:themeColor="text1"/>
          <w14:textFill>
            <w14:solidFill>
              <w14:schemeClr w14:val="tx1"/>
            </w14:solidFill>
          </w14:textFill>
        </w:rPr>
        <w:t>12.1.2.1</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废水</w:t>
      </w:r>
    </w:p>
    <w:p>
      <w:pPr>
        <w:pStyle w:val="19"/>
        <w:ind w:firstLine="480"/>
        <w:rPr>
          <w:color w:val="000000" w:themeColor="text1"/>
          <w14:textFill>
            <w14:solidFill>
              <w14:schemeClr w14:val="tx1"/>
            </w14:solidFill>
          </w14:textFill>
        </w:rPr>
      </w:pPr>
      <w:bookmarkStart w:id="248" w:name="_Hlk25097168"/>
      <w:r>
        <w:rPr>
          <w:color w:val="000000" w:themeColor="text1"/>
          <w:lang w:val="en-US"/>
          <w14:textFill>
            <w14:solidFill>
              <w14:schemeClr w14:val="tx1"/>
            </w14:solidFill>
          </w14:textFill>
        </w:rPr>
        <w:t>验收监测期间</w:t>
      </w:r>
      <w:r>
        <w:rPr>
          <w:color w:val="000000" w:themeColor="text1"/>
          <w14:textFill>
            <w14:solidFill>
              <w14:schemeClr w14:val="tx1"/>
            </w14:solidFill>
          </w14:textFill>
        </w:rPr>
        <w:t>，</w:t>
      </w:r>
      <w:r>
        <w:rPr>
          <w:color w:val="000000" w:themeColor="text1"/>
          <w:lang w:val="en-US"/>
          <w14:textFill>
            <w14:solidFill>
              <w14:schemeClr w14:val="tx1"/>
            </w14:solidFill>
          </w14:textFill>
        </w:rPr>
        <w:t>污水处理站</w:t>
      </w:r>
      <w:r>
        <w:rPr>
          <w:rFonts w:hint="eastAsia"/>
          <w:color w:val="000000" w:themeColor="text1"/>
          <w:lang w:val="en-US" w:eastAsia="zh-CN"/>
          <w14:textFill>
            <w14:solidFill>
              <w14:schemeClr w14:val="tx1"/>
            </w14:solidFill>
          </w14:textFill>
        </w:rPr>
        <w:t>总</w:t>
      </w:r>
      <w:r>
        <w:rPr>
          <w:color w:val="000000" w:themeColor="text1"/>
          <w:lang w:val="en-US"/>
          <w14:textFill>
            <w14:solidFill>
              <w14:schemeClr w14:val="tx1"/>
            </w14:solidFill>
          </w14:textFill>
        </w:rPr>
        <w:t>排口pH</w:t>
      </w:r>
      <w:r>
        <w:rPr>
          <w:color w:val="000000" w:themeColor="text1"/>
          <w14:textFill>
            <w14:solidFill>
              <w14:schemeClr w14:val="tx1"/>
            </w14:solidFill>
          </w14:textFill>
        </w:rPr>
        <w:t>、</w:t>
      </w:r>
      <w:r>
        <w:rPr>
          <w:color w:val="000000" w:themeColor="text1"/>
          <w:lang w:val="en-US"/>
          <w14:textFill>
            <w14:solidFill>
              <w14:schemeClr w14:val="tx1"/>
            </w14:solidFill>
          </w14:textFill>
        </w:rPr>
        <w:t>SS、CODcr</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color w:val="000000" w:themeColor="text1"/>
          <w:lang w:val="en-US"/>
          <w14:textFill>
            <w14:solidFill>
              <w14:schemeClr w14:val="tx1"/>
            </w14:solidFill>
          </w14:textFill>
        </w:rPr>
        <w:t>BOD</w:t>
      </w:r>
      <w:r>
        <w:rPr>
          <w:color w:val="000000" w:themeColor="text1"/>
          <w:vertAlign w:val="subscript"/>
          <w:lang w:val="en-US"/>
          <w14:textFill>
            <w14:solidFill>
              <w14:schemeClr w14:val="tx1"/>
            </w14:solidFill>
          </w14:textFill>
        </w:rPr>
        <w:t>5</w:t>
      </w:r>
      <w:r>
        <w:rPr>
          <w:color w:val="000000" w:themeColor="text1"/>
          <w14:textFill>
            <w14:solidFill>
              <w14:schemeClr w14:val="tx1"/>
            </w14:solidFill>
          </w14:textFill>
        </w:rPr>
        <w:t>、</w:t>
      </w:r>
      <w:r>
        <w:rPr>
          <w:color w:val="000000" w:themeColor="text1"/>
          <w:lang w:val="en-US"/>
          <w14:textFill>
            <w14:solidFill>
              <w14:schemeClr w14:val="tx1"/>
            </w14:solidFill>
          </w14:textFill>
        </w:rPr>
        <w:t>石油类</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苯、甲苯、二甲苯</w:t>
      </w:r>
      <w:r>
        <w:rPr>
          <w:color w:val="000000" w:themeColor="text1"/>
          <w:lang w:val="en-US"/>
          <w14:textFill>
            <w14:solidFill>
              <w14:schemeClr w14:val="tx1"/>
            </w14:solidFill>
          </w14:textFill>
        </w:rPr>
        <w:t>出水浓度均符合</w:t>
      </w:r>
      <w:r>
        <w:rPr>
          <w:color w:val="000000" w:themeColor="text1"/>
          <w:szCs w:val="21"/>
          <w:lang w:val="en-GB"/>
          <w14:textFill>
            <w14:solidFill>
              <w14:schemeClr w14:val="tx1"/>
            </w14:solidFill>
          </w14:textFill>
        </w:rPr>
        <w:t>《石油化学工业污染物排放标准》（GB31571-2015）</w:t>
      </w:r>
      <w:r>
        <w:rPr>
          <w:color w:val="000000" w:themeColor="text1"/>
          <w:szCs w:val="21"/>
          <w14:textFill>
            <w14:solidFill>
              <w14:schemeClr w14:val="tx1"/>
            </w14:solidFill>
          </w14:textFill>
        </w:rPr>
        <w:t>表1（直接排放标准）和表3废水中有机特征污染物排放限值</w:t>
      </w:r>
      <w:r>
        <w:rPr>
          <w:color w:val="000000" w:themeColor="text1"/>
          <w:lang w:val="en-US"/>
          <w14:textFill>
            <w14:solidFill>
              <w14:schemeClr w14:val="tx1"/>
            </w14:solidFill>
          </w14:textFill>
        </w:rPr>
        <w:t>。</w:t>
      </w:r>
      <w:bookmarkEnd w:id="248"/>
    </w:p>
    <w:p>
      <w:pPr>
        <w:pStyle w:val="25"/>
        <w:rPr>
          <w:color w:val="000000" w:themeColor="text1"/>
          <w14:textFill>
            <w14:solidFill>
              <w14:schemeClr w14:val="tx1"/>
            </w14:solidFill>
          </w14:textFill>
        </w:rPr>
      </w:pPr>
      <w:r>
        <w:rPr>
          <w:color w:val="000000" w:themeColor="text1"/>
          <w14:textFill>
            <w14:solidFill>
              <w14:schemeClr w14:val="tx1"/>
            </w14:solidFill>
          </w14:textFill>
        </w:rPr>
        <w:t>12.1.2.2 废气</w:t>
      </w:r>
    </w:p>
    <w:p>
      <w:pPr>
        <w:pStyle w:val="19"/>
        <w:ind w:firstLine="480"/>
        <w:rPr>
          <w:color w:val="000000" w:themeColor="text1"/>
          <w14:textFill>
            <w14:solidFill>
              <w14:schemeClr w14:val="tx1"/>
            </w14:solidFill>
          </w14:textFill>
        </w:rPr>
      </w:pPr>
      <w:bookmarkStart w:id="249" w:name="_Hlk25097182"/>
      <w:r>
        <w:rPr>
          <w:color w:val="000000" w:themeColor="text1"/>
          <w14:textFill>
            <w14:solidFill>
              <w14:schemeClr w14:val="tx1"/>
            </w14:solidFill>
          </w14:textFill>
        </w:rPr>
        <w:t>（一）有组织排放</w:t>
      </w:r>
    </w:p>
    <w:p>
      <w:pPr>
        <w:pStyle w:val="19"/>
        <w:ind w:firstLine="480"/>
        <w:rPr>
          <w:color w:val="000000" w:themeColor="text1"/>
          <w14:textFill>
            <w14:solidFill>
              <w14:schemeClr w14:val="tx1"/>
            </w14:solidFill>
          </w14:textFill>
        </w:rPr>
      </w:pPr>
      <w:r>
        <w:rPr>
          <w:color w:val="000000" w:themeColor="text1"/>
          <w:lang w:val="en-US"/>
          <w14:textFill>
            <w14:solidFill>
              <w14:schemeClr w14:val="tx1"/>
            </w14:solidFill>
          </w14:textFill>
        </w:rPr>
        <w:t>验收监测期间</w:t>
      </w:r>
      <w:r>
        <w:rPr>
          <w:color w:val="000000" w:themeColor="text1"/>
          <w14:textFill>
            <w14:solidFill>
              <w14:schemeClr w14:val="tx1"/>
            </w14:solidFill>
          </w14:textFill>
        </w:rPr>
        <w:t>，</w:t>
      </w:r>
      <w:r>
        <w:rPr>
          <w:color w:val="000000" w:themeColor="text1"/>
          <w:lang w:val="en-US"/>
          <w14:textFill>
            <w14:solidFill>
              <w14:schemeClr w14:val="tx1"/>
            </w14:solidFill>
          </w14:textFill>
        </w:rPr>
        <w:t>油气回收装置</w:t>
      </w:r>
      <w:r>
        <w:rPr>
          <w:color w:val="000000" w:themeColor="text1"/>
          <w14:textFill>
            <w14:solidFill>
              <w14:schemeClr w14:val="tx1"/>
            </w14:solidFill>
          </w14:textFill>
        </w:rPr>
        <w:t>1</w:t>
      </w:r>
      <w:r>
        <w:rPr>
          <w:color w:val="000000" w:themeColor="text1"/>
          <w:lang w:val="en-US"/>
          <w14:textFill>
            <w14:solidFill>
              <w14:schemeClr w14:val="tx1"/>
            </w14:solidFill>
          </w14:textFill>
        </w:rPr>
        <w:t>对</w:t>
      </w:r>
      <w:r>
        <w:rPr>
          <w:rFonts w:hint="eastAsia"/>
          <w:color w:val="000000" w:themeColor="text1"/>
          <w:lang w:val="en-US"/>
          <w14:textFill>
            <w14:solidFill>
              <w14:schemeClr w14:val="tx1"/>
            </w14:solidFill>
          </w14:textFill>
        </w:rPr>
        <w:t>非甲烷总烃</w:t>
      </w:r>
      <w:r>
        <w:rPr>
          <w:color w:val="000000" w:themeColor="text1"/>
          <w:lang w:val="en-US"/>
          <w14:textFill>
            <w14:solidFill>
              <w14:schemeClr w14:val="tx1"/>
            </w14:solidFill>
          </w14:textFill>
        </w:rPr>
        <w:t>的去除率</w:t>
      </w:r>
      <w:r>
        <w:rPr>
          <w:color w:val="000000" w:themeColor="text1"/>
          <w14:textFill>
            <w14:solidFill>
              <w14:schemeClr w14:val="tx1"/>
            </w14:solidFill>
          </w14:textFill>
        </w:rPr>
        <w:t>，</w:t>
      </w:r>
      <w:r>
        <w:rPr>
          <w:rFonts w:hint="eastAsia"/>
          <w:color w:val="000000" w:themeColor="text1"/>
          <w:lang w:val="en-US" w:eastAsia="zh-Hans"/>
          <w14:textFill>
            <w14:solidFill>
              <w14:schemeClr w14:val="tx1"/>
            </w14:solidFill>
          </w14:textFill>
        </w:rPr>
        <w:t>废气净化装置</w:t>
      </w:r>
      <w:r>
        <w:rPr>
          <w:color w:val="000000" w:themeColor="text1"/>
          <w:lang w:eastAsia="zh-Hans"/>
          <w14:textFill>
            <w14:solidFill>
              <w14:schemeClr w14:val="tx1"/>
            </w14:solidFill>
          </w14:textFill>
        </w:rPr>
        <w:t>2</w:t>
      </w:r>
      <w:r>
        <w:rPr>
          <w:rFonts w:hint="eastAsia"/>
          <w:color w:val="000000" w:themeColor="text1"/>
          <w:lang w:val="en-US" w:eastAsia="zh-Hans"/>
          <w14:textFill>
            <w14:solidFill>
              <w14:schemeClr w14:val="tx1"/>
            </w14:solidFill>
          </w14:textFill>
        </w:rPr>
        <w:t>对</w:t>
      </w:r>
      <w:r>
        <w:rPr>
          <w:rFonts w:hint="eastAsia"/>
          <w:color w:val="000000" w:themeColor="text1"/>
          <w:lang w:val="en-US"/>
          <w14:textFill>
            <w14:solidFill>
              <w14:schemeClr w14:val="tx1"/>
            </w14:solidFill>
          </w14:textFill>
        </w:rPr>
        <w:t>非甲烷总烃</w:t>
      </w:r>
      <w:r>
        <w:rPr>
          <w:color w:val="000000" w:themeColor="text1"/>
          <w14:textFill>
            <w14:solidFill>
              <w14:schemeClr w14:val="tx1"/>
            </w14:solidFill>
          </w14:textFill>
        </w:rPr>
        <w:t>，水喷淋装置</w:t>
      </w:r>
      <w:r>
        <w:rPr>
          <w:rFonts w:hint="eastAsia"/>
          <w:color w:val="000000" w:themeColor="text1"/>
          <w:lang w:val="en-US" w:eastAsia="zh-Hans"/>
          <w14:textFill>
            <w14:solidFill>
              <w14:schemeClr w14:val="tx1"/>
            </w14:solidFill>
          </w14:textFill>
        </w:rPr>
        <w:t>对</w:t>
      </w:r>
      <w:r>
        <w:rPr>
          <w:rFonts w:hint="eastAsia"/>
          <w:color w:val="000000" w:themeColor="text1"/>
          <w:lang w:val="en-US"/>
          <w14:textFill>
            <w14:solidFill>
              <w14:schemeClr w14:val="tx1"/>
            </w14:solidFill>
          </w14:textFill>
        </w:rPr>
        <w:t>非甲烷总烃</w:t>
      </w:r>
      <w:r>
        <w:rPr>
          <w:color w:val="000000" w:themeColor="text1"/>
          <w:lang w:val="en-US"/>
          <w14:textFill>
            <w14:solidFill>
              <w14:schemeClr w14:val="tx1"/>
            </w14:solidFill>
          </w14:textFill>
        </w:rPr>
        <w:t>的去除率均符合</w:t>
      </w:r>
      <w:r>
        <w:rPr>
          <w:color w:val="000000" w:themeColor="text1"/>
          <w:szCs w:val="20"/>
          <w:lang w:val="en-US"/>
          <w14:textFill>
            <w14:solidFill>
              <w14:schemeClr w14:val="tx1"/>
            </w14:solidFill>
          </w14:textFill>
        </w:rPr>
        <w:t>《挥发性有机物无组织排放控制标准》（GB37822-2019）中</w:t>
      </w:r>
      <w:r>
        <w:rPr>
          <w:rFonts w:hint="eastAsia"/>
          <w:color w:val="000000" w:themeColor="text1"/>
          <w:szCs w:val="20"/>
          <w:lang w:val="en-US" w:eastAsia="zh-Hans"/>
          <w14:textFill>
            <w14:solidFill>
              <w14:schemeClr w14:val="tx1"/>
            </w14:solidFill>
          </w14:textFill>
        </w:rPr>
        <w:t>“</w:t>
      </w:r>
      <w:r>
        <w:rPr>
          <w:color w:val="000000" w:themeColor="text1"/>
          <w:szCs w:val="20"/>
          <w:lang w:val="en-US"/>
          <w14:textFill>
            <w14:solidFill>
              <w14:schemeClr w14:val="tx1"/>
            </w14:solidFill>
          </w14:textFill>
        </w:rPr>
        <w:t>处理效率不低于90%</w:t>
      </w:r>
      <w:r>
        <w:rPr>
          <w:rFonts w:hint="eastAsia"/>
          <w:color w:val="000000" w:themeColor="text1"/>
          <w:szCs w:val="20"/>
          <w:lang w:val="en-US" w:eastAsia="zh-Hans"/>
          <w14:textFill>
            <w14:solidFill>
              <w14:schemeClr w14:val="tx1"/>
            </w14:solidFill>
          </w14:textFill>
        </w:rPr>
        <w:t>”</w:t>
      </w:r>
      <w:r>
        <w:rPr>
          <w:color w:val="000000" w:themeColor="text1"/>
          <w:szCs w:val="20"/>
          <w:lang w:val="en-US"/>
          <w14:textFill>
            <w14:solidFill>
              <w14:schemeClr w14:val="tx1"/>
            </w14:solidFill>
          </w14:textFill>
        </w:rPr>
        <w:t>的要求。</w:t>
      </w:r>
      <w:r>
        <w:rPr>
          <w:color w:val="000000" w:themeColor="text1"/>
          <w14:textFill>
            <w14:solidFill>
              <w14:schemeClr w14:val="tx1"/>
            </w14:solidFill>
          </w14:textFill>
        </w:rPr>
        <w:t>污水站和危废间废气</w:t>
      </w:r>
      <w:r>
        <w:rPr>
          <w:color w:val="000000" w:themeColor="text1"/>
          <w:lang w:val="en-US"/>
          <w14:textFill>
            <w14:solidFill>
              <w14:schemeClr w14:val="tx1"/>
            </w14:solidFill>
          </w14:textFill>
        </w:rPr>
        <w:t>硫化氢</w:t>
      </w:r>
      <w:r>
        <w:rPr>
          <w:color w:val="000000" w:themeColor="text1"/>
          <w14:textFill>
            <w14:solidFill>
              <w14:schemeClr w14:val="tx1"/>
            </w14:solidFill>
          </w14:textFill>
        </w:rPr>
        <w:t>、</w:t>
      </w:r>
      <w:r>
        <w:rPr>
          <w:color w:val="000000" w:themeColor="text1"/>
          <w:lang w:val="en-US"/>
          <w14:textFill>
            <w14:solidFill>
              <w14:schemeClr w14:val="tx1"/>
            </w14:solidFill>
          </w14:textFill>
        </w:rPr>
        <w:t>氨</w:t>
      </w:r>
      <w:r>
        <w:rPr>
          <w:color w:val="000000" w:themeColor="text1"/>
          <w14:textFill>
            <w14:solidFill>
              <w14:schemeClr w14:val="tx1"/>
            </w14:solidFill>
          </w14:textFill>
        </w:rPr>
        <w:t>、</w:t>
      </w:r>
      <w:r>
        <w:rPr>
          <w:color w:val="000000" w:themeColor="text1"/>
          <w:lang w:val="en-US"/>
          <w14:textFill>
            <w14:solidFill>
              <w14:schemeClr w14:val="tx1"/>
            </w14:solidFill>
          </w14:textFill>
        </w:rPr>
        <w:t>臭气浓度均符合</w:t>
      </w:r>
      <w:r>
        <w:rPr>
          <w:color w:val="000000" w:themeColor="text1"/>
          <w:szCs w:val="21"/>
          <w14:textFill>
            <w14:solidFill>
              <w14:schemeClr w14:val="tx1"/>
            </w14:solidFill>
          </w14:textFill>
        </w:rPr>
        <w:t>《恶臭污染物排放标准》（GB14554-</w:t>
      </w:r>
      <w:r>
        <w:rPr>
          <w:rFonts w:hint="eastAsia"/>
          <w:color w:val="000000" w:themeColor="text1"/>
          <w:szCs w:val="21"/>
          <w:lang w:val="en-US" w:eastAsia="zh-CN"/>
          <w14:textFill>
            <w14:solidFill>
              <w14:schemeClr w14:val="tx1"/>
            </w14:solidFill>
          </w14:textFill>
        </w:rPr>
        <w:t>19</w:t>
      </w:r>
      <w:r>
        <w:rPr>
          <w:color w:val="000000" w:themeColor="text1"/>
          <w:szCs w:val="21"/>
          <w14:textFill>
            <w14:solidFill>
              <w14:schemeClr w14:val="tx1"/>
            </w14:solidFill>
          </w14:textFill>
        </w:rPr>
        <w:t>93）中表2</w:t>
      </w:r>
      <w:r>
        <w:rPr>
          <w:color w:val="000000" w:themeColor="text1"/>
          <w:szCs w:val="21"/>
          <w:lang w:val="en-US"/>
          <w14:textFill>
            <w14:solidFill>
              <w14:schemeClr w14:val="tx1"/>
            </w14:solidFill>
          </w14:textFill>
        </w:rPr>
        <w:t>限值要求</w:t>
      </w:r>
      <w:r>
        <w:rPr>
          <w:rFonts w:hint="eastAsia"/>
          <w:color w:val="000000" w:themeColor="text1"/>
          <w:szCs w:val="21"/>
          <w:lang w:eastAsia="zh-CN"/>
          <w14:textFill>
            <w14:solidFill>
              <w14:schemeClr w14:val="tx1"/>
            </w14:solidFill>
          </w14:textFill>
        </w:rPr>
        <w:t>，</w:t>
      </w:r>
      <w:r>
        <w:rPr>
          <w:rFonts w:hint="eastAsia"/>
          <w:color w:val="000000" w:themeColor="text1"/>
          <w:lang w:val="en-US"/>
          <w14:textFill>
            <w14:solidFill>
              <w14:schemeClr w14:val="tx1"/>
            </w14:solidFill>
          </w14:textFill>
        </w:rPr>
        <w:t>非甲烷总烃</w:t>
      </w:r>
      <w:r>
        <w:rPr>
          <w:color w:val="000000" w:themeColor="text1"/>
          <w:szCs w:val="21"/>
          <w:lang w:val="en-US"/>
          <w14:textFill>
            <w14:solidFill>
              <w14:schemeClr w14:val="tx1"/>
            </w14:solidFill>
          </w14:textFill>
        </w:rPr>
        <w:t>排放浓度</w:t>
      </w:r>
      <w:r>
        <w:rPr>
          <w:color w:val="000000" w:themeColor="text1"/>
          <w14:textFill>
            <w14:solidFill>
              <w14:schemeClr w14:val="tx1"/>
            </w14:solidFill>
          </w14:textFill>
        </w:rPr>
        <w:t>符合《石油化学工业污染物排放标准》（GB31571-2015）表4限值要求。</w:t>
      </w:r>
    </w:p>
    <w:p>
      <w:pPr>
        <w:pStyle w:val="19"/>
        <w:ind w:firstLine="480"/>
        <w:rPr>
          <w:color w:val="000000" w:themeColor="text1"/>
          <w:lang w:val="en-US"/>
          <w14:textFill>
            <w14:solidFill>
              <w14:schemeClr w14:val="tx1"/>
            </w14:solidFill>
          </w14:textFill>
        </w:rPr>
      </w:pPr>
      <w:r>
        <w:rPr>
          <w:color w:val="000000" w:themeColor="text1"/>
          <w14:textFill>
            <w14:solidFill>
              <w14:schemeClr w14:val="tx1"/>
            </w14:solidFill>
          </w14:textFill>
        </w:rPr>
        <w:t>（</w:t>
      </w:r>
      <w:r>
        <w:rPr>
          <w:color w:val="000000" w:themeColor="text1"/>
          <w:lang w:val="en-US"/>
          <w14:textFill>
            <w14:solidFill>
              <w14:schemeClr w14:val="tx1"/>
            </w14:solidFill>
          </w14:textFill>
        </w:rPr>
        <w:t>二</w:t>
      </w:r>
      <w:r>
        <w:rPr>
          <w:color w:val="000000" w:themeColor="text1"/>
          <w14:textFill>
            <w14:solidFill>
              <w14:schemeClr w14:val="tx1"/>
            </w14:solidFill>
          </w14:textFill>
        </w:rPr>
        <w:t>）</w:t>
      </w:r>
      <w:r>
        <w:rPr>
          <w:color w:val="000000" w:themeColor="text1"/>
          <w:lang w:val="en-US"/>
          <w14:textFill>
            <w14:solidFill>
              <w14:schemeClr w14:val="tx1"/>
            </w14:solidFill>
          </w14:textFill>
        </w:rPr>
        <w:t>无组织排放</w:t>
      </w:r>
    </w:p>
    <w:p>
      <w:pPr>
        <w:pStyle w:val="19"/>
        <w:ind w:firstLine="480"/>
        <w:rPr>
          <w:color w:val="000000" w:themeColor="text1"/>
          <w:lang w:val="en-US"/>
          <w14:textFill>
            <w14:solidFill>
              <w14:schemeClr w14:val="tx1"/>
            </w14:solidFill>
          </w14:textFill>
        </w:rPr>
      </w:pPr>
      <w:r>
        <w:rPr>
          <w:color w:val="000000" w:themeColor="text1"/>
          <w14:textFill>
            <w14:solidFill>
              <w14:schemeClr w14:val="tx1"/>
            </w14:solidFill>
          </w14:textFill>
        </w:rPr>
        <w:t>验收监测期间，</w:t>
      </w:r>
      <w:r>
        <w:rPr>
          <w:rFonts w:hint="eastAsia"/>
          <w:color w:val="000000" w:themeColor="text1"/>
          <w:lang w:eastAsia="zh-CN"/>
          <w14:textFill>
            <w14:solidFill>
              <w14:schemeClr w14:val="tx1"/>
            </w14:solidFill>
          </w14:textFill>
        </w:rPr>
        <w:t>库区</w:t>
      </w:r>
      <w:r>
        <w:rPr>
          <w:color w:val="000000" w:themeColor="text1"/>
          <w:lang w:val="en-US"/>
          <w14:textFill>
            <w14:solidFill>
              <w14:schemeClr w14:val="tx1"/>
            </w14:solidFill>
          </w14:textFill>
        </w:rPr>
        <w:t>厂界</w:t>
      </w:r>
      <w:r>
        <w:rPr>
          <w:rFonts w:hint="eastAsia"/>
          <w:color w:val="000000" w:themeColor="text1"/>
          <w:lang w:eastAsia="zh-CN"/>
          <w14:textFill>
            <w14:solidFill>
              <w14:schemeClr w14:val="tx1"/>
            </w14:solidFill>
          </w14:textFill>
        </w:rPr>
        <w:t>的</w:t>
      </w:r>
      <w:r>
        <w:rPr>
          <w:color w:val="000000" w:themeColor="text1"/>
          <w:lang w:val="en-US"/>
          <w14:textFill>
            <w14:solidFill>
              <w14:schemeClr w14:val="tx1"/>
            </w14:solidFill>
          </w14:textFill>
        </w:rPr>
        <w:t>硫化氢</w:t>
      </w:r>
      <w:r>
        <w:rPr>
          <w:color w:val="000000" w:themeColor="text1"/>
          <w14:textFill>
            <w14:solidFill>
              <w14:schemeClr w14:val="tx1"/>
            </w14:solidFill>
          </w14:textFill>
        </w:rPr>
        <w:t>、</w:t>
      </w:r>
      <w:r>
        <w:rPr>
          <w:color w:val="000000" w:themeColor="text1"/>
          <w:lang w:val="en-US"/>
          <w14:textFill>
            <w14:solidFill>
              <w14:schemeClr w14:val="tx1"/>
            </w14:solidFill>
          </w14:textFill>
        </w:rPr>
        <w:t>氨</w:t>
      </w:r>
      <w:r>
        <w:rPr>
          <w:color w:val="000000" w:themeColor="text1"/>
          <w14:textFill>
            <w14:solidFill>
              <w14:schemeClr w14:val="tx1"/>
            </w14:solidFill>
          </w14:textFill>
        </w:rPr>
        <w:t>、</w:t>
      </w:r>
      <w:r>
        <w:rPr>
          <w:color w:val="000000" w:themeColor="text1"/>
          <w:lang w:val="en-US"/>
          <w14:textFill>
            <w14:solidFill>
              <w14:schemeClr w14:val="tx1"/>
            </w14:solidFill>
          </w14:textFill>
        </w:rPr>
        <w:t>臭气浓度</w:t>
      </w:r>
      <w:r>
        <w:rPr>
          <w:color w:val="000000" w:themeColor="text1"/>
          <w14:textFill>
            <w14:solidFill>
              <w14:schemeClr w14:val="tx1"/>
            </w14:solidFill>
          </w14:textFill>
        </w:rPr>
        <w:t>均符合</w:t>
      </w:r>
      <w:r>
        <w:rPr>
          <w:color w:val="000000" w:themeColor="text1"/>
          <w:szCs w:val="21"/>
          <w:lang w:val="en-GB"/>
          <w14:textFill>
            <w14:solidFill>
              <w14:schemeClr w14:val="tx1"/>
            </w14:solidFill>
          </w14:textFill>
        </w:rPr>
        <w:t>《恶臭污染物排放标准》（GB14554-</w:t>
      </w:r>
      <w:r>
        <w:rPr>
          <w:rFonts w:hint="eastAsia"/>
          <w:color w:val="000000" w:themeColor="text1"/>
          <w:szCs w:val="21"/>
          <w:lang w:val="en-US" w:eastAsia="zh-CN"/>
          <w14:textFill>
            <w14:solidFill>
              <w14:schemeClr w14:val="tx1"/>
            </w14:solidFill>
          </w14:textFill>
        </w:rPr>
        <w:t>19</w:t>
      </w:r>
      <w:r>
        <w:rPr>
          <w:color w:val="000000" w:themeColor="text1"/>
          <w:szCs w:val="21"/>
          <w:lang w:val="en-GB"/>
          <w14:textFill>
            <w14:solidFill>
              <w14:schemeClr w14:val="tx1"/>
            </w14:solidFill>
          </w14:textFill>
        </w:rPr>
        <w:t>93）中表1二级新扩改建厂界标准</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苯、</w:t>
      </w:r>
      <w:r>
        <w:rPr>
          <w:color w:val="000000" w:themeColor="text1"/>
          <w:szCs w:val="21"/>
          <w:lang w:val="en-US"/>
          <w14:textFill>
            <w14:solidFill>
              <w14:schemeClr w14:val="tx1"/>
            </w14:solidFill>
          </w14:textFill>
        </w:rPr>
        <w:t>甲苯</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二甲苯、</w:t>
      </w:r>
      <w:r>
        <w:rPr>
          <w:rFonts w:hint="eastAsia"/>
          <w:color w:val="000000" w:themeColor="text1"/>
          <w:szCs w:val="21"/>
          <w14:textFill>
            <w14:solidFill>
              <w14:schemeClr w14:val="tx1"/>
            </w14:solidFill>
          </w14:textFill>
        </w:rPr>
        <w:t>非甲烷总烃</w:t>
      </w:r>
      <w:r>
        <w:rPr>
          <w:color w:val="000000" w:themeColor="text1"/>
          <w:szCs w:val="21"/>
          <w:lang w:val="en-US"/>
          <w14:textFill>
            <w14:solidFill>
              <w14:schemeClr w14:val="tx1"/>
            </w14:solidFill>
          </w14:textFill>
        </w:rPr>
        <w:t>浓度均</w:t>
      </w:r>
      <w:r>
        <w:rPr>
          <w:color w:val="000000" w:themeColor="text1"/>
          <w:lang w:val="en-US"/>
          <w14:textFill>
            <w14:solidFill>
              <w14:schemeClr w14:val="tx1"/>
            </w14:solidFill>
          </w14:textFill>
        </w:rPr>
        <w:t>符合</w:t>
      </w:r>
      <w:r>
        <w:rPr>
          <w:color w:val="000000" w:themeColor="text1"/>
          <w:szCs w:val="22"/>
          <w14:textFill>
            <w14:solidFill>
              <w14:schemeClr w14:val="tx1"/>
            </w14:solidFill>
          </w14:textFill>
        </w:rPr>
        <w:t>《</w:t>
      </w:r>
      <w:r>
        <w:rPr>
          <w:color w:val="000000" w:themeColor="text1"/>
          <w:szCs w:val="21"/>
          <w:lang w:val="en-GB"/>
          <w14:textFill>
            <w14:solidFill>
              <w14:schemeClr w14:val="tx1"/>
            </w14:solidFill>
          </w14:textFill>
        </w:rPr>
        <w:t>石油化学工业污染物排放标准》（</w:t>
      </w:r>
      <w:r>
        <w:rPr>
          <w:color w:val="000000" w:themeColor="text1"/>
          <w:szCs w:val="21"/>
          <w14:textFill>
            <w14:solidFill>
              <w14:schemeClr w14:val="tx1"/>
            </w14:solidFill>
          </w14:textFill>
        </w:rPr>
        <w:t>GB31571-2015</w:t>
      </w:r>
      <w:r>
        <w:rPr>
          <w:color w:val="000000" w:themeColor="text1"/>
          <w:szCs w:val="21"/>
          <w:lang w:val="en-GB"/>
          <w14:textFill>
            <w14:solidFill>
              <w14:schemeClr w14:val="tx1"/>
            </w14:solidFill>
          </w14:textFill>
        </w:rPr>
        <w:t>）</w:t>
      </w:r>
      <w:r>
        <w:rPr>
          <w:color w:val="000000" w:themeColor="text1"/>
          <w:szCs w:val="21"/>
          <w14:textFill>
            <w14:solidFill>
              <w14:schemeClr w14:val="tx1"/>
            </w14:solidFill>
          </w14:textFill>
        </w:rPr>
        <w:t>表7标准</w:t>
      </w:r>
      <w:r>
        <w:rPr>
          <w:color w:val="000000" w:themeColor="text1"/>
          <w:lang w:val="en-US"/>
          <w14:textFill>
            <w14:solidFill>
              <w14:schemeClr w14:val="tx1"/>
            </w14:solidFill>
          </w14:textFill>
        </w:rPr>
        <w:t>。</w:t>
      </w:r>
      <w:r>
        <w:rPr>
          <w:rFonts w:hint="eastAsia"/>
          <w:color w:val="000000" w:themeColor="text1"/>
          <w:lang w:val="en-US" w:eastAsia="zh-CN"/>
          <w14:textFill>
            <w14:solidFill>
              <w14:schemeClr w14:val="tx1"/>
            </w14:solidFill>
          </w14:textFill>
        </w:rPr>
        <w:t>码头厂界的非甲烷总烃浓度均符合《石油化学工业污染物排放标准》（GB31571-2015）表7标准。</w:t>
      </w:r>
      <w:r>
        <w:rPr>
          <w:color w:val="000000" w:themeColor="text1"/>
          <w:lang w:val="en-US"/>
          <w14:textFill>
            <w14:solidFill>
              <w14:schemeClr w14:val="tx1"/>
            </w14:solidFill>
          </w14:textFill>
        </w:rPr>
        <w:t>厂内无组织</w:t>
      </w:r>
      <w:r>
        <w:rPr>
          <w:rFonts w:hint="eastAsia"/>
          <w:color w:val="000000" w:themeColor="text1"/>
          <w:lang w:val="en-US" w:eastAsia="zh-CN"/>
          <w14:textFill>
            <w14:solidFill>
              <w14:schemeClr w14:val="tx1"/>
            </w14:solidFill>
          </w14:textFill>
        </w:rPr>
        <w:t>4</w:t>
      </w:r>
      <w:r>
        <w:rPr>
          <w:color w:val="000000" w:themeColor="text1"/>
          <w:lang w:val="en-US"/>
          <w14:textFill>
            <w14:solidFill>
              <w14:schemeClr w14:val="tx1"/>
            </w14:solidFill>
          </w14:textFill>
        </w:rPr>
        <w:t>个监测点位</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库区</w:t>
      </w:r>
      <w:r>
        <w:rPr>
          <w:color w:val="000000" w:themeColor="text1"/>
          <w:lang w:val="en-US"/>
          <w14:textFill>
            <w14:solidFill>
              <w14:schemeClr w14:val="tx1"/>
            </w14:solidFill>
          </w14:textFill>
        </w:rPr>
        <w:t>装车</w:t>
      </w:r>
      <w:r>
        <w:rPr>
          <w:rFonts w:hint="eastAsia"/>
          <w:color w:val="000000" w:themeColor="text1"/>
          <w:lang w:val="en-US" w:eastAsia="zh-CN"/>
          <w14:textFill>
            <w14:solidFill>
              <w14:schemeClr w14:val="tx1"/>
            </w14:solidFill>
          </w14:textFill>
        </w:rPr>
        <w:t>台</w:t>
      </w:r>
      <w:r>
        <w:rPr>
          <w:color w:val="000000" w:themeColor="text1"/>
          <w:lang w:val="en-US"/>
          <w14:textFill>
            <w14:solidFill>
              <w14:schemeClr w14:val="tx1"/>
            </w14:solidFill>
          </w14:textFill>
        </w:rPr>
        <w:t>下风向</w:t>
      </w:r>
      <w:r>
        <w:rPr>
          <w:rFonts w:hint="eastAsia"/>
          <w:color w:val="000000" w:themeColor="text1"/>
          <w:lang w:val="en-US" w:eastAsia="zh-CN"/>
          <w14:textFill>
            <w14:solidFill>
              <w14:schemeClr w14:val="tx1"/>
            </w14:solidFill>
          </w14:textFill>
        </w:rPr>
        <w:t>、码头装卸区下风向</w:t>
      </w:r>
      <w:r>
        <w:rPr>
          <w:color w:val="000000" w:themeColor="text1"/>
          <w14:textFill>
            <w14:solidFill>
              <w14:schemeClr w14:val="tx1"/>
            </w14:solidFill>
          </w14:textFill>
        </w:rPr>
        <w:t>）</w:t>
      </w:r>
      <w:r>
        <w:rPr>
          <w:rFonts w:hint="eastAsia"/>
          <w:color w:val="000000" w:themeColor="text1"/>
          <w:szCs w:val="21"/>
          <w14:textFill>
            <w14:solidFill>
              <w14:schemeClr w14:val="tx1"/>
            </w14:solidFill>
          </w14:textFill>
        </w:rPr>
        <w:t>非甲烷总烃</w:t>
      </w:r>
      <w:r>
        <w:rPr>
          <w:color w:val="000000" w:themeColor="text1"/>
          <w:lang w:val="en-US"/>
          <w14:textFill>
            <w14:solidFill>
              <w14:schemeClr w14:val="tx1"/>
            </w14:solidFill>
          </w14:textFill>
        </w:rPr>
        <w:t>浓度均符合</w:t>
      </w:r>
      <w:r>
        <w:rPr>
          <w:color w:val="000000" w:themeColor="text1"/>
          <w14:textFill>
            <w14:solidFill>
              <w14:schemeClr w14:val="tx1"/>
            </w14:solidFill>
          </w14:textFill>
        </w:rPr>
        <w:t>《挥发性有机物无组织排放控制标</w:t>
      </w:r>
      <w:r>
        <w:rPr>
          <w:color w:val="000000" w:themeColor="text1"/>
          <w:lang w:val="en-US"/>
          <w14:textFill>
            <w14:solidFill>
              <w14:schemeClr w14:val="tx1"/>
            </w14:solidFill>
          </w14:textFill>
        </w:rPr>
        <w:t>准》（GB37822-2019）表</w:t>
      </w:r>
      <w:r>
        <w:rPr>
          <w:color w:val="000000" w:themeColor="text1"/>
          <w14:textFill>
            <w14:solidFill>
              <w14:schemeClr w14:val="tx1"/>
            </w14:solidFill>
          </w14:textFill>
        </w:rPr>
        <w:t>A.1</w:t>
      </w:r>
      <w:r>
        <w:rPr>
          <w:color w:val="000000" w:themeColor="text1"/>
          <w:lang w:val="en-US"/>
          <w14:textFill>
            <w14:solidFill>
              <w14:schemeClr w14:val="tx1"/>
            </w14:solidFill>
          </w14:textFill>
        </w:rPr>
        <w:t>中限值要求。</w:t>
      </w:r>
      <w:bookmarkEnd w:id="249"/>
    </w:p>
    <w:p>
      <w:pPr>
        <w:pStyle w:val="25"/>
        <w:rPr>
          <w:color w:val="000000" w:themeColor="text1"/>
          <w14:textFill>
            <w14:solidFill>
              <w14:schemeClr w14:val="tx1"/>
            </w14:solidFill>
          </w14:textFill>
        </w:rPr>
      </w:pPr>
      <w:r>
        <w:rPr>
          <w:color w:val="000000" w:themeColor="text1"/>
          <w14:textFill>
            <w14:solidFill>
              <w14:schemeClr w14:val="tx1"/>
            </w14:solidFill>
          </w14:textFill>
        </w:rPr>
        <w:t>12.1.2.3 厂界噪声</w:t>
      </w:r>
    </w:p>
    <w:p>
      <w:pPr>
        <w:pStyle w:val="19"/>
        <w:bidi w:val="0"/>
      </w:pPr>
      <w:bookmarkStart w:id="250" w:name="_Hlk25097273"/>
      <w:r>
        <w:t>验收监测期间本项目厂界噪声监测值符合《工业企业厂界环境噪声排放标准》（GB12348-2008）的3类标准的要求，即昼间≤65dB，夜间≤55dB，且夜间偶发噪声的最大声级不超过限值的15dB。</w:t>
      </w:r>
      <w:bookmarkEnd w:id="250"/>
    </w:p>
    <w:p>
      <w:pPr>
        <w:pStyle w:val="25"/>
        <w:rPr>
          <w:rFonts w:hint="eastAsia" w:eastAsia="宋体"/>
          <w:color w:val="000000" w:themeColor="text1"/>
          <w:lang w:eastAsia="zh-Hans"/>
          <w14:textFill>
            <w14:solidFill>
              <w14:schemeClr w14:val="tx1"/>
            </w14:solidFill>
          </w14:textFill>
        </w:rPr>
      </w:pPr>
      <w:r>
        <w:rPr>
          <w:color w:val="000000" w:themeColor="text1"/>
          <w14:textFill>
            <w14:solidFill>
              <w14:schemeClr w14:val="tx1"/>
            </w14:solidFill>
          </w14:textFill>
        </w:rPr>
        <w:t>12.1.2.</w:t>
      </w:r>
      <w:r>
        <w:rPr>
          <w:rFonts w:hint="default"/>
          <w:color w:val="000000" w:themeColor="text1"/>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lang w:val="en-US" w:eastAsia="zh-Hans"/>
          <w14:textFill>
            <w14:solidFill>
              <w14:schemeClr w14:val="tx1"/>
            </w14:solidFill>
          </w14:textFill>
        </w:rPr>
        <w:t>固体废物</w:t>
      </w:r>
    </w:p>
    <w:p>
      <w:pPr>
        <w:pStyle w:val="19"/>
        <w:ind w:firstLine="480"/>
        <w:rPr>
          <w:color w:val="000000" w:themeColor="text1"/>
          <w14:textFill>
            <w14:solidFill>
              <w14:schemeClr w14:val="tx1"/>
            </w14:solidFill>
          </w14:textFill>
        </w:rPr>
      </w:pPr>
      <w:r>
        <w:rPr>
          <w:rFonts w:hint="eastAsia"/>
          <w:lang w:val="en-US" w:eastAsia="zh-Hans"/>
        </w:rPr>
        <w:t>根据福建港丰能源有限公司生产运行记录，项目试生产至验收监测期间共产生危险废物</w:t>
      </w:r>
      <w:r>
        <w:rPr>
          <w:rFonts w:hint="eastAsia"/>
          <w:lang w:val="en-US" w:eastAsia="zh-CN"/>
        </w:rPr>
        <w:t>2.02</w:t>
      </w:r>
      <w:r>
        <w:rPr>
          <w:rFonts w:hint="eastAsia"/>
          <w:lang w:val="en-US" w:eastAsia="zh-Hans"/>
        </w:rPr>
        <w:t>吨。上述危险废物目前已委托福建兴业东江环保科技有限公司按要求进行清运处置。</w:t>
      </w:r>
    </w:p>
    <w:p>
      <w:pPr>
        <w:pStyle w:val="25"/>
        <w:rPr>
          <w:color w:val="000000" w:themeColor="text1"/>
          <w14:textFill>
            <w14:solidFill>
              <w14:schemeClr w14:val="tx1"/>
            </w14:solidFill>
          </w14:textFill>
        </w:rPr>
      </w:pPr>
      <w:r>
        <w:rPr>
          <w:color w:val="000000" w:themeColor="text1"/>
          <w14:textFill>
            <w14:solidFill>
              <w14:schemeClr w14:val="tx1"/>
            </w14:solidFill>
          </w14:textFill>
        </w:rPr>
        <w:t>12.1.2.</w:t>
      </w:r>
      <w:r>
        <w:rPr>
          <w:rFonts w:hint="default"/>
          <w:color w:val="000000" w:themeColor="text1"/>
          <w14:textFill>
            <w14:solidFill>
              <w14:schemeClr w14:val="tx1"/>
            </w14:solidFill>
          </w14:textFill>
        </w:rPr>
        <w:t>5</w:t>
      </w:r>
      <w:r>
        <w:rPr>
          <w:color w:val="000000" w:themeColor="text1"/>
          <w14:textFill>
            <w14:solidFill>
              <w14:schemeClr w14:val="tx1"/>
            </w14:solidFill>
          </w14:textFill>
        </w:rPr>
        <w:t xml:space="preserve"> 污染物排放总量控制</w:t>
      </w:r>
    </w:p>
    <w:p>
      <w:pPr>
        <w:pStyle w:val="19"/>
        <w:ind w:firstLine="480"/>
        <w:rPr>
          <w:color w:val="000000" w:themeColor="text1"/>
          <w14:textFill>
            <w14:solidFill>
              <w14:schemeClr w14:val="tx1"/>
            </w14:solidFill>
          </w14:textFill>
        </w:rPr>
      </w:pPr>
      <w:bookmarkStart w:id="251" w:name="_Hlk25097286"/>
      <w:r>
        <w:rPr>
          <w:color w:val="000000" w:themeColor="text1"/>
          <w:lang w:val="en-US"/>
          <w14:textFill>
            <w14:solidFill>
              <w14:schemeClr w14:val="tx1"/>
            </w14:solidFill>
          </w14:textFill>
        </w:rPr>
        <w:t>根据核算结果</w:t>
      </w:r>
      <w:r>
        <w:rPr>
          <w:color w:val="000000" w:themeColor="text1"/>
          <w14:textFill>
            <w14:solidFill>
              <w14:schemeClr w14:val="tx1"/>
            </w14:solidFill>
          </w14:textFill>
        </w:rPr>
        <w:t>，</w:t>
      </w:r>
      <w:r>
        <w:rPr>
          <w:rFonts w:hint="eastAsia"/>
          <w:color w:val="000000" w:themeColor="text1"/>
          <w:lang w:val="en-US" w:eastAsia="zh-Hans"/>
          <w14:textFill>
            <w14:solidFill>
              <w14:schemeClr w14:val="tx1"/>
            </w14:solidFill>
          </w14:textFill>
        </w:rPr>
        <w:t>库区项目</w:t>
      </w:r>
      <w:r>
        <w:rPr>
          <w:color w:val="000000" w:themeColor="text1"/>
          <w14:textFill>
            <w14:solidFill>
              <w14:schemeClr w14:val="tx1"/>
            </w14:solidFill>
          </w14:textFill>
        </w:rPr>
        <w:t>污水</w:t>
      </w:r>
      <w:r>
        <w:rPr>
          <w:rFonts w:hint="eastAsia"/>
          <w:color w:val="000000" w:themeColor="text1"/>
          <w:lang w:val="en-US" w:eastAsia="zh-Hans"/>
          <w14:textFill>
            <w14:solidFill>
              <w14:schemeClr w14:val="tx1"/>
            </w14:solidFill>
          </w14:textFill>
        </w:rPr>
        <w:t>总</w:t>
      </w:r>
      <w:r>
        <w:rPr>
          <w:color w:val="000000" w:themeColor="text1"/>
          <w:lang w:val="en-US"/>
          <w14:textFill>
            <w14:solidFill>
              <w14:schemeClr w14:val="tx1"/>
            </w14:solidFill>
          </w14:textFill>
        </w:rPr>
        <w:t>排放</w:t>
      </w:r>
      <w:r>
        <w:rPr>
          <w:color w:val="000000" w:themeColor="text1"/>
          <w14:textFill>
            <w14:solidFill>
              <w14:schemeClr w14:val="tx1"/>
            </w14:solidFill>
          </w14:textFill>
        </w:rPr>
        <w:t>量</w:t>
      </w:r>
      <w:r>
        <w:rPr>
          <w:rFonts w:hint="eastAsia"/>
          <w:color w:val="000000" w:themeColor="text1"/>
          <w:lang w:val="en-US" w:eastAsia="zh-CN"/>
          <w14:textFill>
            <w14:solidFill>
              <w14:schemeClr w14:val="tx1"/>
            </w14:solidFill>
          </w14:textFill>
        </w:rPr>
        <w:t>52482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/a，COD排放</w:t>
      </w:r>
      <w:r>
        <w:rPr>
          <w:color w:val="000000" w:themeColor="text1"/>
          <w:lang w:val="en-US"/>
          <w14:textFill>
            <w14:solidFill>
              <w14:schemeClr w14:val="tx1"/>
            </w14:solidFill>
          </w14:textFill>
        </w:rPr>
        <w:t>总</w:t>
      </w:r>
      <w:r>
        <w:rPr>
          <w:color w:val="000000" w:themeColor="text1"/>
          <w14:textFill>
            <w14:solidFill>
              <w14:schemeClr w14:val="tx1"/>
            </w14:solidFill>
          </w14:textFill>
        </w:rPr>
        <w:t>量</w:t>
      </w:r>
      <w:r>
        <w:rPr>
          <w:rFonts w:hint="eastAsia"/>
          <w:color w:val="000000" w:themeColor="text1"/>
          <w:lang w:val="en-US" w:eastAsia="zh-CN"/>
          <w14:textFill>
            <w14:solidFill>
              <w14:schemeClr w14:val="tx1"/>
            </w14:solidFill>
          </w14:textFill>
        </w:rPr>
        <w:t>1.338</w:t>
      </w:r>
      <w:r>
        <w:rPr>
          <w:color w:val="000000" w:themeColor="text1"/>
          <w14:textFill>
            <w14:solidFill>
              <w14:schemeClr w14:val="tx1"/>
            </w14:solidFill>
          </w14:textFill>
        </w:rPr>
        <w:t>t/a、NH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-N排放</w:t>
      </w:r>
      <w:r>
        <w:rPr>
          <w:color w:val="000000" w:themeColor="text1"/>
          <w:lang w:val="en-US"/>
          <w14:textFill>
            <w14:solidFill>
              <w14:schemeClr w14:val="tx1"/>
            </w14:solidFill>
          </w14:textFill>
        </w:rPr>
        <w:t>总</w:t>
      </w:r>
      <w:r>
        <w:rPr>
          <w:color w:val="000000" w:themeColor="text1"/>
          <w14:textFill>
            <w14:solidFill>
              <w14:schemeClr w14:val="tx1"/>
            </w14:solidFill>
          </w14:textFill>
        </w:rPr>
        <w:t>量</w:t>
      </w:r>
      <w:r>
        <w:rPr>
          <w:rFonts w:hint="eastAsia"/>
          <w:color w:val="000000" w:themeColor="text1"/>
          <w:lang w:val="en-US" w:eastAsia="zh-CN"/>
          <w14:textFill>
            <w14:solidFill>
              <w14:schemeClr w14:val="tx1"/>
            </w14:solidFill>
          </w14:textFill>
        </w:rPr>
        <w:t>0.011</w:t>
      </w:r>
      <w:r>
        <w:rPr>
          <w:color w:val="000000" w:themeColor="text1"/>
          <w14:textFill>
            <w14:solidFill>
              <w14:schemeClr w14:val="tx1"/>
            </w14:solidFill>
          </w14:textFill>
        </w:rPr>
        <w:t>t/a。各</w:t>
      </w:r>
      <w:r>
        <w:rPr>
          <w:color w:val="000000" w:themeColor="text1"/>
          <w:lang w:val="en-US"/>
          <w14:textFill>
            <w14:solidFill>
              <w14:schemeClr w14:val="tx1"/>
            </w14:solidFill>
          </w14:textFill>
        </w:rPr>
        <w:t>水</w:t>
      </w:r>
      <w:r>
        <w:rPr>
          <w:color w:val="000000" w:themeColor="text1"/>
          <w14:textFill>
            <w14:solidFill>
              <w14:schemeClr w14:val="tx1"/>
            </w14:solidFill>
          </w14:textFill>
        </w:rPr>
        <w:t>污染物</w:t>
      </w:r>
      <w:r>
        <w:rPr>
          <w:color w:val="000000" w:themeColor="text1"/>
          <w:lang w:val="en-US"/>
          <w14:textFill>
            <w14:solidFill>
              <w14:schemeClr w14:val="tx1"/>
            </w14:solidFill>
          </w14:textFill>
        </w:rPr>
        <w:t>排放量</w:t>
      </w:r>
      <w:r>
        <w:rPr>
          <w:color w:val="000000" w:themeColor="text1"/>
          <w14:textFill>
            <w14:solidFill>
              <w14:schemeClr w14:val="tx1"/>
            </w14:solidFill>
          </w14:textFill>
        </w:rPr>
        <w:t>均符合环评</w:t>
      </w:r>
      <w:r>
        <w:rPr>
          <w:color w:val="000000" w:themeColor="text1"/>
          <w:lang w:val="en-US"/>
          <w14:textFill>
            <w14:solidFill>
              <w14:schemeClr w14:val="tx1"/>
            </w14:solidFill>
          </w14:textFill>
        </w:rPr>
        <w:t>及批复</w:t>
      </w:r>
      <w:r>
        <w:rPr>
          <w:color w:val="000000" w:themeColor="text1"/>
          <w14:textFill>
            <w14:solidFill>
              <w14:schemeClr w14:val="tx1"/>
            </w14:solidFill>
          </w14:textFill>
        </w:rPr>
        <w:t>中提出的</w:t>
      </w:r>
      <w:r>
        <w:rPr>
          <w:color w:val="000000" w:themeColor="text1"/>
          <w:lang w:val="en-US"/>
          <w14:textFill>
            <w14:solidFill>
              <w14:schemeClr w14:val="tx1"/>
            </w14:solidFill>
          </w14:textFill>
        </w:rPr>
        <w:t>水</w:t>
      </w:r>
      <w:r>
        <w:rPr>
          <w:color w:val="000000" w:themeColor="text1"/>
          <w14:textFill>
            <w14:solidFill>
              <w14:schemeClr w14:val="tx1"/>
            </w14:solidFill>
          </w14:textFill>
        </w:rPr>
        <w:t>污染物排放量控制指标要求；</w:t>
      </w:r>
      <w:r>
        <w:rPr>
          <w:color w:val="000000" w:themeColor="text1"/>
          <w:lang w:val="en-US"/>
          <w14:textFill>
            <w14:solidFill>
              <w14:schemeClr w14:val="tx1"/>
            </w14:solidFill>
          </w14:textFill>
        </w:rPr>
        <w:t>NMHC排放总量</w:t>
      </w:r>
      <w:r>
        <w:rPr>
          <w:rFonts w:hint="eastAsia"/>
          <w:color w:val="000000" w:themeColor="text1"/>
          <w:lang w:val="en-US" w:eastAsia="zh-CN"/>
          <w14:textFill>
            <w14:solidFill>
              <w14:schemeClr w14:val="tx1"/>
            </w14:solidFill>
          </w14:textFill>
        </w:rPr>
        <w:t>19.835</w:t>
      </w:r>
      <w:r>
        <w:rPr>
          <w:color w:val="000000" w:themeColor="text1"/>
          <w:lang w:val="en-US"/>
          <w14:textFill>
            <w14:solidFill>
              <w14:schemeClr w14:val="tx1"/>
            </w14:solidFill>
          </w14:textFill>
        </w:rPr>
        <w:t>t/a</w:t>
      </w:r>
      <w:r>
        <w:rPr>
          <w:color w:val="000000" w:themeColor="text1"/>
          <w14:textFill>
            <w14:solidFill>
              <w14:schemeClr w14:val="tx1"/>
            </w14:solidFill>
          </w14:textFill>
        </w:rPr>
        <w:t>，符合环评</w:t>
      </w:r>
      <w:r>
        <w:rPr>
          <w:color w:val="000000" w:themeColor="text1"/>
          <w:lang w:val="en-US"/>
          <w14:textFill>
            <w14:solidFill>
              <w14:schemeClr w14:val="tx1"/>
            </w14:solidFill>
          </w14:textFill>
        </w:rPr>
        <w:t>及批复</w:t>
      </w:r>
      <w:r>
        <w:rPr>
          <w:color w:val="000000" w:themeColor="text1"/>
          <w14:textFill>
            <w14:solidFill>
              <w14:schemeClr w14:val="tx1"/>
            </w14:solidFill>
          </w14:textFill>
        </w:rPr>
        <w:t>中提出的</w:t>
      </w:r>
      <w:r>
        <w:rPr>
          <w:color w:val="000000" w:themeColor="text1"/>
          <w:lang w:val="en-US"/>
          <w14:textFill>
            <w14:solidFill>
              <w14:schemeClr w14:val="tx1"/>
            </w14:solidFill>
          </w14:textFill>
        </w:rPr>
        <w:t>VOCs</w:t>
      </w:r>
      <w:r>
        <w:rPr>
          <w:color w:val="000000" w:themeColor="text1"/>
          <w14:textFill>
            <w14:solidFill>
              <w14:schemeClr w14:val="tx1"/>
            </w14:solidFill>
          </w14:textFill>
        </w:rPr>
        <w:t>排放量控制指标要求，</w:t>
      </w:r>
      <w:r>
        <w:rPr>
          <w:color w:val="000000" w:themeColor="text1"/>
          <w:lang w:val="en-US"/>
          <w14:textFill>
            <w14:solidFill>
              <w14:schemeClr w14:val="tx1"/>
            </w14:solidFill>
          </w14:textFill>
        </w:rPr>
        <w:t>亦符合排污许可证提出的VOCs控制指标要求</w:t>
      </w:r>
      <w:r>
        <w:rPr>
          <w:color w:val="000000" w:themeColor="text1"/>
          <w14:textFill>
            <w14:solidFill>
              <w14:schemeClr w14:val="tx1"/>
            </w14:solidFill>
          </w14:textFill>
        </w:rPr>
        <w:t>。</w:t>
      </w:r>
      <w:bookmarkEnd w:id="251"/>
    </w:p>
    <w:p>
      <w:pPr>
        <w:pStyle w:val="17"/>
        <w:rPr>
          <w:color w:val="000000" w:themeColor="text1"/>
          <w14:textFill>
            <w14:solidFill>
              <w14:schemeClr w14:val="tx1"/>
            </w14:solidFill>
          </w14:textFill>
        </w:rPr>
      </w:pPr>
      <w:bookmarkStart w:id="252" w:name="_Toc29924"/>
      <w:r>
        <w:rPr>
          <w:color w:val="000000" w:themeColor="text1"/>
          <w14:textFill>
            <w14:solidFill>
              <w14:schemeClr w14:val="tx1"/>
            </w14:solidFill>
          </w14:textFill>
        </w:rPr>
        <w:t>12.2 工程建设对环境的影响</w:t>
      </w:r>
      <w:bookmarkEnd w:id="252"/>
    </w:p>
    <w:p>
      <w:pPr>
        <w:pStyle w:val="25"/>
        <w:bidi w:val="0"/>
        <w:rPr>
          <w:color w:val="000000" w:themeColor="text1"/>
          <w14:textFill>
            <w14:solidFill>
              <w14:schemeClr w14:val="tx1"/>
            </w14:solidFill>
          </w14:textFill>
        </w:rPr>
      </w:pPr>
      <w:bookmarkStart w:id="253" w:name="_Hlk25097396"/>
      <w:r>
        <w:t>12.</w:t>
      </w:r>
      <w:r>
        <w:rPr>
          <w:rFonts w:hint="eastAsia"/>
          <w:lang w:val="en-US" w:eastAsia="zh-CN"/>
        </w:rPr>
        <w:t>2</w:t>
      </w:r>
      <w:r>
        <w:t>.1</w:t>
      </w:r>
      <w:r>
        <w:rPr>
          <w:rFonts w:hint="eastAsia"/>
          <w:lang w:val="en-US" w:eastAsia="zh-CN"/>
        </w:rPr>
        <w:t xml:space="preserve"> </w:t>
      </w:r>
      <w:r>
        <w:t>环境空气</w:t>
      </w:r>
    </w:p>
    <w:p>
      <w:pPr>
        <w:pStyle w:val="19"/>
        <w:bidi w:val="0"/>
      </w:pPr>
      <w:r>
        <w:rPr>
          <w:lang w:val="en-US"/>
        </w:rPr>
        <w:t>监测结果表明</w:t>
      </w:r>
      <w:r>
        <w:t>，</w:t>
      </w:r>
      <w:r>
        <w:rPr>
          <w:lang w:val="en-US"/>
        </w:rPr>
        <w:t>环境空气监测点</w:t>
      </w:r>
      <w:r>
        <w:t>（</w:t>
      </w:r>
      <w:r>
        <w:rPr>
          <w:lang w:val="en-US"/>
        </w:rPr>
        <w:t>杜厝村</w:t>
      </w:r>
      <w:r>
        <w:t>）</w:t>
      </w:r>
      <w:r>
        <w:rPr>
          <w:rFonts w:hint="eastAsia"/>
          <w:lang w:val="en-US" w:eastAsia="zh-CN"/>
        </w:rPr>
        <w:t>苯、甲苯、二甲苯</w:t>
      </w:r>
      <w:r>
        <w:t>、</w:t>
      </w:r>
      <w:r>
        <w:rPr>
          <w:lang w:val="en-US"/>
        </w:rPr>
        <w:t>TVOC</w:t>
      </w:r>
      <w:r>
        <w:rPr>
          <w:rFonts w:hint="eastAsia"/>
          <w:lang w:val="en-US" w:eastAsia="zh-CN"/>
        </w:rPr>
        <w:t>(8h均值)</w:t>
      </w:r>
      <w:r>
        <w:rPr>
          <w:lang w:val="en-US"/>
        </w:rPr>
        <w:t>均符合</w:t>
      </w:r>
      <w:r>
        <w:t>《环境影响评价技术导则 大气环境》（HJ2.2-2018）中</w:t>
      </w:r>
      <w:r>
        <w:rPr>
          <w:lang w:val="en-GB"/>
        </w:rPr>
        <w:t>相关规定及附录D</w:t>
      </w:r>
      <w:r>
        <w:t>限值</w:t>
      </w:r>
      <w:r>
        <w:rPr>
          <w:lang w:val="en-US"/>
        </w:rPr>
        <w:t>要求</w:t>
      </w:r>
      <w:r>
        <w:t>；</w:t>
      </w:r>
      <w:r>
        <w:rPr>
          <w:rFonts w:hint="eastAsia"/>
        </w:rPr>
        <w:t>非甲烷总烃</w:t>
      </w:r>
      <w:r>
        <w:rPr>
          <w:lang w:val="en-US"/>
        </w:rPr>
        <w:t>浓度符合《大气污染物综合排放标准详解》中的限值要求</w:t>
      </w:r>
      <w:r>
        <w:t>。</w:t>
      </w:r>
      <w:r>
        <w:rPr>
          <w:lang w:val="en-US"/>
        </w:rPr>
        <w:t>项目建设对周边环境影响较小。</w:t>
      </w:r>
    </w:p>
    <w:p>
      <w:pPr>
        <w:pStyle w:val="25"/>
        <w:bidi w:val="0"/>
      </w:pPr>
      <w:r>
        <w:t>12.</w:t>
      </w:r>
      <w:r>
        <w:rPr>
          <w:rFonts w:hint="eastAsia"/>
          <w:lang w:val="en-US" w:eastAsia="zh-CN"/>
        </w:rPr>
        <w:t>2</w:t>
      </w:r>
      <w:r>
        <w:t>.2</w:t>
      </w:r>
      <w:r>
        <w:rPr>
          <w:rFonts w:hint="eastAsia"/>
          <w:lang w:val="en-US" w:eastAsia="zh-CN"/>
        </w:rPr>
        <w:t xml:space="preserve"> </w:t>
      </w:r>
      <w:r>
        <w:t>地下水</w:t>
      </w:r>
    </w:p>
    <w:p>
      <w:pPr>
        <w:pStyle w:val="19"/>
        <w:bidi w:val="0"/>
        <w:rPr>
          <w:rFonts w:hint="eastAsia" w:eastAsia="宋体"/>
          <w:lang w:val="en-US" w:eastAsia="zh-CN"/>
        </w:rPr>
      </w:pPr>
      <w:r>
        <w:t>5</w:t>
      </w:r>
      <w:r>
        <w:rPr>
          <w:lang w:val="en-US"/>
        </w:rPr>
        <w:t>个</w:t>
      </w:r>
      <w:r>
        <w:t>地下水监测</w:t>
      </w:r>
      <w:r>
        <w:rPr>
          <w:lang w:val="en-US"/>
        </w:rPr>
        <w:t>点位中</w:t>
      </w:r>
      <w:r>
        <w:t>，</w:t>
      </w:r>
      <w:r>
        <w:rPr>
          <w:rFonts w:hint="eastAsia"/>
          <w:lang w:eastAsia="zh-CN"/>
        </w:rPr>
        <w:t>苯、甲苯、二甲苯、石油类等</w:t>
      </w:r>
      <w:r>
        <w:rPr>
          <w:rFonts w:hint="eastAsia"/>
        </w:rPr>
        <w:t>特征污染物监测浓度均符合《地下水质量标准》（GB14848-2017）中Ⅲ类标准。</w:t>
      </w:r>
    </w:p>
    <w:p>
      <w:pPr>
        <w:pStyle w:val="25"/>
        <w:bidi w:val="0"/>
      </w:pPr>
      <w:r>
        <w:t>12.</w:t>
      </w:r>
      <w:r>
        <w:rPr>
          <w:rFonts w:hint="eastAsia"/>
          <w:lang w:val="en-US" w:eastAsia="zh-CN"/>
        </w:rPr>
        <w:t>2</w:t>
      </w:r>
      <w:r>
        <w:t>.3 土壤</w:t>
      </w:r>
    </w:p>
    <w:p>
      <w:pPr>
        <w:pStyle w:val="19"/>
        <w:bidi w:val="0"/>
      </w:pPr>
      <w:r>
        <w:rPr>
          <w:rFonts w:hint="eastAsia"/>
          <w:lang w:val="en-US" w:eastAsia="zh-CN"/>
        </w:rPr>
        <w:t>4</w:t>
      </w:r>
      <w:r>
        <w:rPr>
          <w:lang w:val="en-US"/>
        </w:rPr>
        <w:t>个</w:t>
      </w:r>
      <w:r>
        <w:t>土壤监测点中，</w:t>
      </w:r>
      <w:r>
        <w:rPr>
          <w:rFonts w:hint="eastAsia"/>
          <w:lang w:val="en-US" w:eastAsia="zh-CN"/>
        </w:rPr>
        <w:t>1~4#罐区、5～8#罐区、</w:t>
      </w:r>
      <w:r>
        <w:rPr>
          <w:rFonts w:hint="eastAsia"/>
          <w:lang w:val="en-US" w:eastAsia="zh-Hans"/>
        </w:rPr>
        <w:t>废气处理</w:t>
      </w:r>
      <w:r>
        <w:rPr>
          <w:lang w:val="en-US"/>
        </w:rPr>
        <w:t>装置</w:t>
      </w:r>
      <w:r>
        <w:rPr>
          <w:rFonts w:hint="eastAsia"/>
          <w:lang w:val="en-US" w:eastAsia="zh-CN"/>
        </w:rPr>
        <w:t>3</w:t>
      </w:r>
      <w:r>
        <w:rPr>
          <w:lang w:val="en-US"/>
        </w:rPr>
        <w:t>个监测点</w:t>
      </w:r>
      <w:r>
        <w:t>各指标均符合《土壤环境质量 建设用地土壤污染风险管控标准》（GB36600-2018）相关标准限值要求；</w:t>
      </w:r>
      <w:r>
        <w:rPr>
          <w:lang w:val="en-US"/>
        </w:rPr>
        <w:t>杜厝村监测点</w:t>
      </w:r>
      <w:r>
        <w:t>各指标均符合《土壤环境质量 农用地土壤污染风险管控标准》（GB15618-2018）相关标准限值要求。</w:t>
      </w:r>
      <w:bookmarkEnd w:id="253"/>
    </w:p>
    <w:p>
      <w:pPr>
        <w:pStyle w:val="25"/>
        <w:bidi w:val="0"/>
      </w:pPr>
      <w:r>
        <w:t>12.</w:t>
      </w:r>
      <w:r>
        <w:rPr>
          <w:rFonts w:hint="eastAsia"/>
          <w:lang w:val="en-US" w:eastAsia="zh-CN"/>
        </w:rPr>
        <w:t>2</w:t>
      </w:r>
      <w:r>
        <w:t xml:space="preserve">.4 </w:t>
      </w:r>
      <w:r>
        <w:rPr>
          <w:lang w:val="en-US"/>
        </w:rPr>
        <w:t>声环境</w:t>
      </w:r>
    </w:p>
    <w:p>
      <w:pPr>
        <w:pStyle w:val="19"/>
        <w:ind w:firstLine="480"/>
        <w:rPr>
          <w:color w:val="000000" w:themeColor="text1"/>
          <w14:textFill>
            <w14:solidFill>
              <w14:schemeClr w14:val="tx1"/>
            </w14:solidFill>
          </w14:textFill>
        </w:rPr>
      </w:pPr>
      <w:r>
        <w:rPr>
          <w:color w:val="000000" w:themeColor="text1"/>
          <w:lang w:val="en-US"/>
          <w14:textFill>
            <w14:solidFill>
              <w14:schemeClr w14:val="tx1"/>
            </w14:solidFill>
          </w14:textFill>
        </w:rPr>
        <w:t>声环境监测结果表明</w:t>
      </w:r>
      <w:r>
        <w:rPr>
          <w:color w:val="000000" w:themeColor="text1"/>
          <w14:textFill>
            <w14:solidFill>
              <w14:schemeClr w14:val="tx1"/>
            </w14:solidFill>
          </w14:textFill>
        </w:rPr>
        <w:t>，</w:t>
      </w:r>
      <w:r>
        <w:rPr>
          <w:color w:val="000000" w:themeColor="text1"/>
          <w:lang w:val="en-US"/>
          <w14:textFill>
            <w14:solidFill>
              <w14:schemeClr w14:val="tx1"/>
            </w14:solidFill>
          </w14:textFill>
        </w:rPr>
        <w:t>敏感点杜厝村环境噪声监测值均符合</w:t>
      </w:r>
      <w:r>
        <w:rPr>
          <w:color w:val="000000" w:themeColor="text1"/>
          <w14:textFill>
            <w14:solidFill>
              <w14:schemeClr w14:val="tx1"/>
            </w14:solidFill>
          </w14:textFill>
        </w:rPr>
        <w:t>《声环境质量标准》（GB3096-2008）</w:t>
      </w:r>
      <w:r>
        <w:rPr>
          <w:color w:val="000000" w:themeColor="text1"/>
          <w:lang w:val="en-US"/>
          <w14:textFill>
            <w14:solidFill>
              <w14:schemeClr w14:val="tx1"/>
            </w14:solidFill>
          </w14:textFill>
        </w:rPr>
        <w:t>2</w:t>
      </w:r>
      <w:r>
        <w:rPr>
          <w:color w:val="000000" w:themeColor="text1"/>
          <w14:textFill>
            <w14:solidFill>
              <w14:schemeClr w14:val="tx1"/>
            </w14:solidFill>
          </w14:textFill>
        </w:rPr>
        <w:t>类</w:t>
      </w:r>
      <w:r>
        <w:rPr>
          <w:color w:val="000000" w:themeColor="text1"/>
          <w:lang w:val="en-US"/>
          <w14:textFill>
            <w14:solidFill>
              <w14:schemeClr w14:val="tx1"/>
            </w14:solidFill>
          </w14:textFill>
        </w:rPr>
        <w:t>限值要求</w:t>
      </w:r>
      <w:r>
        <w:rPr>
          <w:color w:val="000000" w:themeColor="text1"/>
          <w14:textFill>
            <w14:solidFill>
              <w14:schemeClr w14:val="tx1"/>
            </w14:solidFill>
          </w14:textFill>
        </w:rPr>
        <w:t>。</w:t>
      </w:r>
    </w:p>
    <w:p>
      <w:pPr>
        <w:pStyle w:val="25"/>
        <w:bidi w:val="0"/>
        <w:rPr>
          <w:rFonts w:hint="eastAsia" w:ascii="Times New Roman" w:hAnsi="Times New Roman" w:cs="Times New Roman"/>
          <w:lang w:val="en-US" w:eastAsia="zh-CN"/>
        </w:rPr>
      </w:pPr>
      <w:r>
        <w:rPr>
          <w:rFonts w:hint="eastAsia" w:ascii="Times New Roman" w:hAnsi="Times New Roman" w:cs="Times New Roman"/>
          <w:lang w:val="en-US" w:eastAsia="zh-CN"/>
        </w:rPr>
        <w:t>12.2.5 海洋环境</w:t>
      </w:r>
    </w:p>
    <w:p>
      <w:pPr>
        <w:pStyle w:val="19"/>
        <w:ind w:firstLine="480"/>
        <w:rPr>
          <w:rFonts w:hint="default"/>
          <w:lang w:val="en-US" w:eastAsia="zh-CN"/>
        </w:rPr>
      </w:pPr>
      <w:r>
        <w:rPr>
          <w:rFonts w:hint="eastAsia"/>
          <w:lang w:val="en-US" w:eastAsia="zh-CN"/>
        </w:rPr>
        <w:t>（1）项目周边海域8个海水监测站位中除活性磷酸盐以外，其余指标均符合</w:t>
      </w:r>
      <w:r>
        <w:rPr>
          <w:rFonts w:hint="eastAsia"/>
          <w:lang w:eastAsia="zh-CN"/>
        </w:rPr>
        <w:t>《</w:t>
      </w:r>
      <w:r>
        <w:rPr>
          <w:rFonts w:hint="default"/>
        </w:rPr>
        <w:t>海水水质标准</w:t>
      </w:r>
      <w:r>
        <w:rPr>
          <w:rFonts w:hint="eastAsia"/>
          <w:lang w:eastAsia="zh-CN"/>
        </w:rPr>
        <w:t>》（</w:t>
      </w:r>
      <w:r>
        <w:rPr>
          <w:rFonts w:hint="default"/>
        </w:rPr>
        <w:t>GB 3097-1997</w:t>
      </w:r>
      <w:r>
        <w:rPr>
          <w:rFonts w:hint="eastAsia"/>
          <w:lang w:eastAsia="zh-CN"/>
        </w:rPr>
        <w:t>）表</w:t>
      </w:r>
      <w:r>
        <w:rPr>
          <w:rFonts w:hint="eastAsia"/>
          <w:lang w:val="en-US" w:eastAsia="zh-CN"/>
        </w:rPr>
        <w:t>1第三类标准，超标原因主要是受江河入海携带的营养盐等污染物的影响。4个沉积物站位各指标均符合《海洋沉积物质量标准》（GB 18668-2002）第二类标准，沉积物环境质量较好。</w:t>
      </w:r>
    </w:p>
    <w:p>
      <w:pPr>
        <w:pStyle w:val="19"/>
        <w:ind w:firstLine="480"/>
        <w:rPr>
          <w:rFonts w:hint="eastAsia" w:ascii="Times New Roman" w:hAnsi="Times New Roman" w:cs="Times New Roman"/>
          <w:lang w:val="en-US" w:eastAsia="zh-CN"/>
        </w:rPr>
      </w:pPr>
      <w:r>
        <w:rPr>
          <w:rFonts w:hint="eastAsia" w:cs="Times New Roman"/>
          <w:lang w:val="en-US" w:eastAsia="zh-CN"/>
        </w:rPr>
        <w:t>（2）</w:t>
      </w:r>
      <w:r>
        <w:rPr>
          <w:rFonts w:hint="eastAsia" w:ascii="Times New Roman" w:hAnsi="Times New Roman" w:cs="Times New Roman"/>
          <w:lang w:val="en-US" w:eastAsia="zh-CN"/>
        </w:rPr>
        <w:t>结合历年调查结果表明，项目周边海域的叶绿素a、浮游植物、浮游动物及底栖生物均未发生明显变化，项目建设对周边海域的生态环境影响较小。</w:t>
      </w:r>
    </w:p>
    <w:p>
      <w:pPr>
        <w:pStyle w:val="19"/>
        <w:ind w:firstLine="480"/>
        <w:rPr>
          <w:rFonts w:hint="eastAsia" w:ascii="Times New Roman" w:hAnsi="Times New Roman" w:cs="Times New Roman"/>
          <w:lang w:val="en-US" w:eastAsia="zh-CN"/>
        </w:rPr>
      </w:pPr>
      <w:r>
        <w:rPr>
          <w:rFonts w:hint="eastAsia" w:cs="Times New Roman"/>
          <w:lang w:val="en-US" w:eastAsia="zh-CN"/>
        </w:rPr>
        <w:t>（3）</w:t>
      </w:r>
      <w:r>
        <w:rPr>
          <w:rFonts w:hint="eastAsia" w:ascii="Times New Roman" w:hAnsi="Times New Roman" w:cs="Times New Roman"/>
          <w:lang w:val="en-US" w:eastAsia="zh-CN"/>
        </w:rPr>
        <w:t>项目周边海域中贝类（牡蛎）生物体内的</w:t>
      </w:r>
      <w:r>
        <w:rPr>
          <w:rFonts w:hint="eastAsia" w:cs="Times New Roman"/>
          <w:lang w:val="en-US" w:eastAsia="zh-CN"/>
        </w:rPr>
        <w:t>特征污染物石油烃浓度符合</w:t>
      </w:r>
      <w:r>
        <w:rPr>
          <w:rFonts w:hint="eastAsia" w:ascii="Times New Roman" w:hAnsi="Times New Roman" w:cs="Times New Roman"/>
          <w:lang w:val="en-US" w:eastAsia="zh-CN"/>
        </w:rPr>
        <w:t>《海洋生物质量》（GB 18421-2001）中第二类标准</w:t>
      </w:r>
      <w:r>
        <w:rPr>
          <w:rFonts w:hint="eastAsia" w:cs="Times New Roman"/>
          <w:lang w:val="en-US" w:eastAsia="zh-CN"/>
        </w:rPr>
        <w:t>。</w:t>
      </w:r>
    </w:p>
    <w:p>
      <w:pPr>
        <w:pStyle w:val="17"/>
        <w:rPr>
          <w:color w:val="000000" w:themeColor="text1"/>
          <w14:textFill>
            <w14:solidFill>
              <w14:schemeClr w14:val="tx1"/>
            </w14:solidFill>
          </w14:textFill>
        </w:rPr>
      </w:pPr>
      <w:bookmarkStart w:id="254" w:name="_Toc13441"/>
      <w:r>
        <w:rPr>
          <w:color w:val="000000" w:themeColor="text1"/>
          <w14:textFill>
            <w14:solidFill>
              <w14:schemeClr w14:val="tx1"/>
            </w14:solidFill>
          </w14:textFill>
        </w:rPr>
        <w:t>12.3</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建议</w:t>
      </w:r>
      <w:bookmarkEnd w:id="245"/>
      <w:bookmarkEnd w:id="246"/>
      <w:bookmarkEnd w:id="254"/>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）加强日常运行管理维护</w:t>
      </w:r>
      <w:r>
        <w:rPr>
          <w:color w:val="000000" w:themeColor="text1"/>
          <w:lang w:val="en-US"/>
          <w14:textFill>
            <w14:solidFill>
              <w14:schemeClr w14:val="tx1"/>
            </w14:solidFill>
          </w14:textFill>
        </w:rPr>
        <w:t>与</w:t>
      </w:r>
      <w:r>
        <w:rPr>
          <w:color w:val="000000" w:themeColor="text1"/>
          <w14:textFill>
            <w14:solidFill>
              <w14:schemeClr w14:val="tx1"/>
            </w14:solidFill>
          </w14:textFill>
        </w:rPr>
        <w:t>日常检修，确保环境保护设施/措施正常稳定运行。</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r>
        <w:rPr>
          <w:color w:val="000000" w:themeColor="text1"/>
          <w:lang w:val="en-US"/>
          <w14:textFill>
            <w14:solidFill>
              <w14:schemeClr w14:val="tx1"/>
            </w14:solidFill>
          </w14:textFill>
        </w:rPr>
        <w:t>重视落实</w:t>
      </w:r>
      <w:r>
        <w:rPr>
          <w:color w:val="000000" w:themeColor="text1"/>
          <w14:textFill>
            <w14:solidFill>
              <w14:schemeClr w14:val="tx1"/>
            </w14:solidFill>
          </w14:textFill>
        </w:rPr>
        <w:t>设备与管线组件的定期巡查制度，</w:t>
      </w:r>
      <w:r>
        <w:rPr>
          <w:color w:val="000000" w:themeColor="text1"/>
          <w:lang w:val="en-US"/>
          <w14:textFill>
            <w14:solidFill>
              <w14:schemeClr w14:val="tx1"/>
            </w14:solidFill>
          </w14:textFill>
        </w:rPr>
        <w:t>定期</w:t>
      </w:r>
      <w:r>
        <w:rPr>
          <w:color w:val="000000" w:themeColor="text1"/>
          <w14:textFill>
            <w14:solidFill>
              <w14:schemeClr w14:val="tx1"/>
            </w14:solidFill>
          </w14:textFill>
        </w:rPr>
        <w:t>开展泄漏检测与修复工作（LDAR），及时发现泄漏问题及时维护保养。</w:t>
      </w:r>
    </w:p>
    <w:p>
      <w:pPr>
        <w:pStyle w:val="19"/>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）强化环境风险防控</w:t>
      </w:r>
      <w:r>
        <w:rPr>
          <w:rFonts w:hint="eastAsia"/>
          <w:color w:val="000000" w:themeColor="text1"/>
          <w:lang w:val="en-US" w:eastAsia="zh-Hans"/>
          <w14:textFill>
            <w14:solidFill>
              <w14:schemeClr w14:val="tx1"/>
            </w14:solidFill>
          </w14:textFill>
        </w:rPr>
        <w:t>和应急联动</w:t>
      </w:r>
      <w:r>
        <w:rPr>
          <w:color w:val="000000" w:themeColor="text1"/>
          <w14:textFill>
            <w14:solidFill>
              <w14:schemeClr w14:val="tx1"/>
            </w14:solidFill>
          </w14:textFill>
        </w:rPr>
        <w:t>，</w:t>
      </w:r>
      <w:r>
        <w:rPr>
          <w:color w:val="000000" w:themeColor="text1"/>
          <w:lang w:val="en-US"/>
          <w14:textFill>
            <w14:solidFill>
              <w14:schemeClr w14:val="tx1"/>
            </w14:solidFill>
          </w14:textFill>
        </w:rPr>
        <w:t>定期组织</w:t>
      </w:r>
      <w:r>
        <w:rPr>
          <w:color w:val="000000" w:themeColor="text1"/>
          <w14:textFill>
            <w14:solidFill>
              <w14:schemeClr w14:val="tx1"/>
            </w14:solidFill>
          </w14:textFill>
        </w:rPr>
        <w:t>应急演练，</w:t>
      </w:r>
      <w:r>
        <w:rPr>
          <w:rFonts w:hint="eastAsia"/>
          <w:color w:val="000000" w:themeColor="text1"/>
          <w:lang w:val="en-US" w:eastAsia="zh-Hans"/>
          <w14:textFill>
            <w14:solidFill>
              <w14:schemeClr w14:val="tx1"/>
            </w14:solidFill>
          </w14:textFill>
        </w:rPr>
        <w:t>做好</w:t>
      </w:r>
      <w:r>
        <w:rPr>
          <w:color w:val="000000" w:themeColor="text1"/>
          <w14:textFill>
            <w14:solidFill>
              <w14:schemeClr w14:val="tx1"/>
            </w14:solidFill>
          </w14:textFill>
        </w:rPr>
        <w:t>库区应急物资</w:t>
      </w:r>
      <w:r>
        <w:rPr>
          <w:rFonts w:hint="eastAsia"/>
          <w:color w:val="000000" w:themeColor="text1"/>
          <w:lang w:val="en-US" w:eastAsia="zh-Hans"/>
          <w14:textFill>
            <w14:solidFill>
              <w14:schemeClr w14:val="tx1"/>
            </w14:solidFill>
          </w14:textFill>
        </w:rPr>
        <w:t>管理维护</w:t>
      </w:r>
      <w:r>
        <w:rPr>
          <w:color w:val="000000" w:themeColor="text1"/>
          <w14:textFill>
            <w14:solidFill>
              <w14:schemeClr w14:val="tx1"/>
            </w14:solidFill>
          </w14:textFill>
        </w:rPr>
        <w:t>。</w:t>
      </w:r>
    </w:p>
    <w:p>
      <w:pPr>
        <w:pStyle w:val="19"/>
        <w:ind w:firstLine="480"/>
        <w:rPr>
          <w:rFonts w:hint="eastAsia" w:eastAsia="宋体"/>
          <w:color w:val="FF0000"/>
          <w:lang w:val="en-US" w:eastAsia="zh-Hans"/>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）定期发布企业环境信息，并主动接受社会监督。</w:t>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Times New Roman Regular">
    <w:altName w:val="Times New Roman"/>
    <w:panose1 w:val="02020603050405020304"/>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snapToGrid w:val="0"/>
                            <w:rPr>
                              <w:rFonts w:hint="eastAsia" w:ascii="Times New Roman Regular" w:hAnsi="Times New Roman Regular" w:cs="Times New Roman Regular"/>
                              <w:sz w:val="18"/>
                            </w:rPr>
                          </w:pPr>
                          <w:r>
                            <w:rPr>
                              <w:rFonts w:ascii="Times New Roman Regular" w:hAnsi="Times New Roman Regular" w:cs="Times New Roman Regular"/>
                              <w:sz w:val="18"/>
                            </w:rPr>
                            <w:fldChar w:fldCharType="begin"/>
                          </w:r>
                          <w:r>
                            <w:rPr>
                              <w:rFonts w:ascii="Times New Roman Regular" w:hAnsi="Times New Roman Regular" w:cs="Times New Roman Regular"/>
                              <w:sz w:val="18"/>
                            </w:rPr>
                            <w:instrText xml:space="preserve"> PAGE  \* MERGEFORMAT </w:instrText>
                          </w:r>
                          <w:r>
                            <w:rPr>
                              <w:rFonts w:ascii="Times New Roman Regular" w:hAnsi="Times New Roman Regular" w:cs="Times New Roman Regular"/>
                              <w:sz w:val="18"/>
                            </w:rPr>
                            <w:fldChar w:fldCharType="separate"/>
                          </w:r>
                          <w:r>
                            <w:rPr>
                              <w:rFonts w:hint="eastAsia" w:ascii="Times New Roman Regular" w:hAnsi="Times New Roman Regular" w:cs="Times New Roman Regular"/>
                              <w:sz w:val="18"/>
                            </w:rPr>
                            <w:t>36</w:t>
                          </w:r>
                          <w:r>
                            <w:rPr>
                              <w:rFonts w:ascii="Times New Roman Regular" w:hAnsi="Times New Roman Regular" w:cs="Times New Roman Regula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GnihkFgIAABcEAAAOAAAAAAAA&#10;AAEAIAAAAB8BAABkcnMvZTJvRG9jLnhtbFBLBQYAAAAABgAGAFkBAACnBQAAAAA=&#10;">
              <v:fill on="f" focussize="0,0"/>
              <v:stroke on="f" weight="0.5pt"/>
              <v:imagedata o:title=""/>
              <o:lock v:ext="edit" aspectratio="f"/>
              <v:textbox inset="0mm,0mm,0mm,0mm" style="mso-fit-shape-to-text:t;">
                <w:txbxContent>
                  <w:p>
                    <w:pPr>
                      <w:snapToGrid w:val="0"/>
                      <w:rPr>
                        <w:rFonts w:hint="eastAsia" w:ascii="Times New Roman Regular" w:hAnsi="Times New Roman Regular" w:cs="Times New Roman Regular"/>
                        <w:sz w:val="18"/>
                      </w:rPr>
                    </w:pPr>
                    <w:r>
                      <w:rPr>
                        <w:rFonts w:ascii="Times New Roman Regular" w:hAnsi="Times New Roman Regular" w:cs="Times New Roman Regular"/>
                        <w:sz w:val="18"/>
                      </w:rPr>
                      <w:fldChar w:fldCharType="begin"/>
                    </w:r>
                    <w:r>
                      <w:rPr>
                        <w:rFonts w:ascii="Times New Roman Regular" w:hAnsi="Times New Roman Regular" w:cs="Times New Roman Regular"/>
                        <w:sz w:val="18"/>
                      </w:rPr>
                      <w:instrText xml:space="preserve"> PAGE  \* MERGEFORMAT </w:instrText>
                    </w:r>
                    <w:r>
                      <w:rPr>
                        <w:rFonts w:ascii="Times New Roman Regular" w:hAnsi="Times New Roman Regular" w:cs="Times New Roman Regular"/>
                        <w:sz w:val="18"/>
                      </w:rPr>
                      <w:fldChar w:fldCharType="separate"/>
                    </w:r>
                    <w:r>
                      <w:rPr>
                        <w:rFonts w:hint="eastAsia" w:ascii="Times New Roman Regular" w:hAnsi="Times New Roman Regular" w:cs="Times New Roman Regular"/>
                        <w:sz w:val="18"/>
                      </w:rPr>
                      <w:t>36</w:t>
                    </w:r>
                    <w:r>
                      <w:rPr>
                        <w:rFonts w:ascii="Times New Roman Regular" w:hAnsi="Times New Roman Regular" w:cs="Times New Roman Regular"/>
                        <w:sz w:val="1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snapToGrid w:val="0"/>
                            <w:rPr>
                              <w:rFonts w:hint="eastAsia" w:ascii="Times New Roman Regular" w:hAnsi="Times New Roman Regular" w:cs="Times New Roman Regular"/>
                              <w:sz w:val="18"/>
                            </w:rPr>
                          </w:pPr>
                          <w:r>
                            <w:rPr>
                              <w:rFonts w:ascii="Times New Roman Regular" w:hAnsi="Times New Roman Regular" w:cs="Times New Roman Regular"/>
                              <w:sz w:val="18"/>
                            </w:rPr>
                            <w:fldChar w:fldCharType="begin"/>
                          </w:r>
                          <w:r>
                            <w:rPr>
                              <w:rFonts w:ascii="Times New Roman Regular" w:hAnsi="Times New Roman Regular" w:cs="Times New Roman Regular"/>
                              <w:sz w:val="18"/>
                            </w:rPr>
                            <w:instrText xml:space="preserve"> PAGE  \* MERGEFORMAT </w:instrText>
                          </w:r>
                          <w:r>
                            <w:rPr>
                              <w:rFonts w:ascii="Times New Roman Regular" w:hAnsi="Times New Roman Regular" w:cs="Times New Roman Regular"/>
                              <w:sz w:val="18"/>
                            </w:rPr>
                            <w:fldChar w:fldCharType="separate"/>
                          </w:r>
                          <w:r>
                            <w:rPr>
                              <w:rFonts w:hint="eastAsia" w:ascii="Times New Roman Regular" w:hAnsi="Times New Roman Regular" w:cs="Times New Roman Regular"/>
                              <w:sz w:val="18"/>
                            </w:rPr>
                            <w:t>72</w:t>
                          </w:r>
                          <w:r>
                            <w:rPr>
                              <w:rFonts w:ascii="Times New Roman Regular" w:hAnsi="Times New Roman Regular" w:cs="Times New Roman Regula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4E3z8RQCAAAXBAAADgAAAAAAAAAB&#10;ACAAAAAfAQAAZHJzL2Uyb0RvYy54bWxQSwUGAAAAAAYABgBZAQAApQUAAAAA&#10;">
              <v:fill on="f" focussize="0,0"/>
              <v:stroke on="f" weight="0.5pt"/>
              <v:imagedata o:title=""/>
              <o:lock v:ext="edit" aspectratio="f"/>
              <v:textbox inset="0mm,0mm,0mm,0mm" style="mso-fit-shape-to-text:t;">
                <w:txbxContent>
                  <w:p>
                    <w:pPr>
                      <w:snapToGrid w:val="0"/>
                      <w:rPr>
                        <w:rFonts w:hint="eastAsia" w:ascii="Times New Roman Regular" w:hAnsi="Times New Roman Regular" w:cs="Times New Roman Regular"/>
                        <w:sz w:val="18"/>
                      </w:rPr>
                    </w:pPr>
                    <w:r>
                      <w:rPr>
                        <w:rFonts w:ascii="Times New Roman Regular" w:hAnsi="Times New Roman Regular" w:cs="Times New Roman Regular"/>
                        <w:sz w:val="18"/>
                      </w:rPr>
                      <w:fldChar w:fldCharType="begin"/>
                    </w:r>
                    <w:r>
                      <w:rPr>
                        <w:rFonts w:ascii="Times New Roman Regular" w:hAnsi="Times New Roman Regular" w:cs="Times New Roman Regular"/>
                        <w:sz w:val="18"/>
                      </w:rPr>
                      <w:instrText xml:space="preserve"> PAGE  \* MERGEFORMAT </w:instrText>
                    </w:r>
                    <w:r>
                      <w:rPr>
                        <w:rFonts w:ascii="Times New Roman Regular" w:hAnsi="Times New Roman Regular" w:cs="Times New Roman Regular"/>
                        <w:sz w:val="18"/>
                      </w:rPr>
                      <w:fldChar w:fldCharType="separate"/>
                    </w:r>
                    <w:r>
                      <w:rPr>
                        <w:rFonts w:hint="eastAsia" w:ascii="Times New Roman Regular" w:hAnsi="Times New Roman Regular" w:cs="Times New Roman Regular"/>
                        <w:sz w:val="18"/>
                      </w:rPr>
                      <w:t>72</w:t>
                    </w:r>
                    <w:r>
                      <w:rPr>
                        <w:rFonts w:ascii="Times New Roman Regular" w:hAnsi="Times New Roman Regular" w:cs="Times New Roman Regular"/>
                        <w:sz w:val="1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rPr>
        <w:rFonts w:ascii="Times New Roman" w:hAnsi="Times New Roman" w:eastAsia="Times New Roman"/>
        <w:sz w:val="17"/>
        <w:szCs w:val="17"/>
      </w:rPr>
    </w:pPr>
    <w:r>
      <w:rPr>
        <w:sz w:val="17"/>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snapToGrid w:val="0"/>
                            <w:rPr>
                              <w:rFonts w:hint="eastAsia" w:ascii="Times New Roman Regular" w:hAnsi="Times New Roman Regular" w:cs="Times New Roman Regular"/>
                              <w:sz w:val="18"/>
                            </w:rPr>
                          </w:pPr>
                          <w:r>
                            <w:rPr>
                              <w:rFonts w:ascii="Times New Roman Regular" w:hAnsi="Times New Roman Regular" w:cs="Times New Roman Regular"/>
                              <w:sz w:val="18"/>
                            </w:rPr>
                            <w:fldChar w:fldCharType="begin"/>
                          </w:r>
                          <w:r>
                            <w:rPr>
                              <w:rFonts w:ascii="Times New Roman Regular" w:hAnsi="Times New Roman Regular" w:cs="Times New Roman Regular"/>
                              <w:sz w:val="18"/>
                            </w:rPr>
                            <w:instrText xml:space="preserve"> PAGE  \* MERGEFORMAT </w:instrText>
                          </w:r>
                          <w:r>
                            <w:rPr>
                              <w:rFonts w:ascii="Times New Roman Regular" w:hAnsi="Times New Roman Regular" w:cs="Times New Roman Regular"/>
                              <w:sz w:val="18"/>
                            </w:rPr>
                            <w:fldChar w:fldCharType="separate"/>
                          </w:r>
                          <w:r>
                            <w:rPr>
                              <w:rFonts w:hint="eastAsia" w:ascii="Times New Roman Regular" w:hAnsi="Times New Roman Regular" w:cs="Times New Roman Regular"/>
                              <w:sz w:val="18"/>
                            </w:rPr>
                            <w:t>143</w:t>
                          </w:r>
                          <w:r>
                            <w:rPr>
                              <w:rFonts w:ascii="Times New Roman Regular" w:hAnsi="Times New Roman Regular" w:cs="Times New Roman Regula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3J/7pxcCAAAXBAAADgAAAAAA&#10;AAABACAAAAAfAQAAZHJzL2Uyb0RvYy54bWxQSwUGAAAAAAYABgBZAQAAqAUAAAAA&#10;">
              <v:fill on="f" focussize="0,0"/>
              <v:stroke on="f" weight="0.5pt"/>
              <v:imagedata o:title=""/>
              <o:lock v:ext="edit" aspectratio="f"/>
              <v:textbox inset="0mm,0mm,0mm,0mm" style="mso-fit-shape-to-text:t;">
                <w:txbxContent>
                  <w:p>
                    <w:pPr>
                      <w:snapToGrid w:val="0"/>
                      <w:rPr>
                        <w:rFonts w:hint="eastAsia" w:ascii="Times New Roman Regular" w:hAnsi="Times New Roman Regular" w:cs="Times New Roman Regular"/>
                        <w:sz w:val="18"/>
                      </w:rPr>
                    </w:pPr>
                    <w:r>
                      <w:rPr>
                        <w:rFonts w:ascii="Times New Roman Regular" w:hAnsi="Times New Roman Regular" w:cs="Times New Roman Regular"/>
                        <w:sz w:val="18"/>
                      </w:rPr>
                      <w:fldChar w:fldCharType="begin"/>
                    </w:r>
                    <w:r>
                      <w:rPr>
                        <w:rFonts w:ascii="Times New Roman Regular" w:hAnsi="Times New Roman Regular" w:cs="Times New Roman Regular"/>
                        <w:sz w:val="18"/>
                      </w:rPr>
                      <w:instrText xml:space="preserve"> PAGE  \* MERGEFORMAT </w:instrText>
                    </w:r>
                    <w:r>
                      <w:rPr>
                        <w:rFonts w:ascii="Times New Roman Regular" w:hAnsi="Times New Roman Regular" w:cs="Times New Roman Regular"/>
                        <w:sz w:val="18"/>
                      </w:rPr>
                      <w:fldChar w:fldCharType="separate"/>
                    </w:r>
                    <w:r>
                      <w:rPr>
                        <w:rFonts w:hint="eastAsia" w:ascii="Times New Roman Regular" w:hAnsi="Times New Roman Regular" w:cs="Times New Roman Regular"/>
                        <w:sz w:val="18"/>
                      </w:rPr>
                      <w:t>143</w:t>
                    </w:r>
                    <w:r>
                      <w:rPr>
                        <w:rFonts w:ascii="Times New Roman Regular" w:hAnsi="Times New Roman Regular" w:cs="Times New Roman Regular"/>
                        <w:sz w:val="18"/>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0D63E2E"/>
    <w:multiLevelType w:val="singleLevel"/>
    <w:tmpl w:val="E0D63E2E"/>
    <w:lvl w:ilvl="0" w:tentative="0">
      <w:start w:val="2"/>
      <w:numFmt w:val="decimal"/>
      <w:suff w:val="nothing"/>
      <w:lvlText w:val="%1-"/>
      <w:lvlJc w:val="left"/>
    </w:lvl>
  </w:abstractNum>
  <w:abstractNum w:abstractNumId="1">
    <w:nsid w:val="0E6A3463"/>
    <w:multiLevelType w:val="multilevel"/>
    <w:tmpl w:val="0E6A3463"/>
    <w:lvl w:ilvl="0" w:tentative="0">
      <w:start w:val="1"/>
      <w:numFmt w:val="chineseCountingThousand"/>
      <w:lvlText w:val="第%1章"/>
      <w:lvlJc w:val="left"/>
      <w:pPr>
        <w:ind w:left="0" w:firstLine="0"/>
      </w:pPr>
      <w:rPr>
        <w:rFonts w:hint="eastAsia"/>
        <w:b/>
        <w:i w:val="0"/>
        <w:snapToGrid w:val="0"/>
        <w:color w:val="auto"/>
        <w:kern w:val="0"/>
        <w:sz w:val="36"/>
      </w:rPr>
    </w:lvl>
    <w:lvl w:ilvl="1" w:tentative="0">
      <w:start w:val="1"/>
      <w:numFmt w:val="decimal"/>
      <w:isLgl/>
      <w:suff w:val="space"/>
      <w:lvlText w:val="%1.%2"/>
      <w:lvlJc w:val="left"/>
      <w:pPr>
        <w:ind w:left="0" w:firstLine="0"/>
      </w:pPr>
      <w:rPr>
        <w:rFonts w:hint="default" w:ascii="Times New Roman" w:hAnsi="Times New Roman" w:eastAsia="黑体"/>
        <w:b/>
        <w:i w:val="0"/>
        <w:sz w:val="32"/>
      </w:rPr>
    </w:lvl>
    <w:lvl w:ilvl="2" w:tentative="0">
      <w:start w:val="1"/>
      <w:numFmt w:val="decimal"/>
      <w:isLgl/>
      <w:suff w:val="space"/>
      <w:lvlText w:val="%1.%2.%3"/>
      <w:lvlJc w:val="left"/>
      <w:pPr>
        <w:ind w:left="0" w:firstLine="0"/>
      </w:pPr>
      <w:rPr>
        <w:rFonts w:hint="default" w:ascii="Times New Roman" w:hAnsi="Times New Roman" w:eastAsia="黑体"/>
        <w:b/>
        <w:i w:val="0"/>
        <w:sz w:val="30"/>
      </w:rPr>
    </w:lvl>
    <w:lvl w:ilvl="3" w:tentative="0">
      <w:start w:val="1"/>
      <w:numFmt w:val="decimal"/>
      <w:isLgl/>
      <w:suff w:val="space"/>
      <w:lvlText w:val="%1.%2.%3.%4"/>
      <w:lvlJc w:val="left"/>
      <w:pPr>
        <w:ind w:left="0" w:firstLine="0"/>
      </w:pPr>
      <w:rPr>
        <w:rFonts w:hint="default" w:ascii="Times New Roman" w:hAnsi="Times New Roman" w:eastAsia="黑体"/>
        <w:b/>
        <w:i w:val="0"/>
        <w:sz w:val="28"/>
      </w:rPr>
    </w:lvl>
    <w:lvl w:ilvl="4" w:tentative="0">
      <w:start w:val="1"/>
      <w:numFmt w:val="decimal"/>
      <w:lvlRestart w:val="0"/>
      <w:pStyle w:val="6"/>
      <w:isLgl/>
      <w:suff w:val="space"/>
      <w:lvlText w:val="表%1-%5"/>
      <w:lvlJc w:val="left"/>
      <w:pPr>
        <w:ind w:left="0" w:firstLine="0"/>
      </w:pPr>
      <w:rPr>
        <w:rFonts w:hint="default" w:ascii="Times New Roman" w:hAnsi="Times New Roman" w:eastAsia="黑体" w:cs="Times New Roman"/>
        <w:b w:val="0"/>
        <w:bCs/>
        <w:i w:val="0"/>
        <w:snapToGrid w:val="0"/>
        <w:kern w:val="0"/>
        <w:sz w:val="24"/>
      </w:rPr>
    </w:lvl>
    <w:lvl w:ilvl="5" w:tentative="0">
      <w:start w:val="1"/>
      <w:numFmt w:val="decimal"/>
      <w:lvlRestart w:val="0"/>
      <w:pStyle w:val="13"/>
      <w:isLgl/>
      <w:suff w:val="space"/>
      <w:lvlText w:val="图%1-%6"/>
      <w:lvlJc w:val="left"/>
      <w:pPr>
        <w:ind w:left="0" w:firstLine="0"/>
      </w:pPr>
      <w:rPr>
        <w:rFonts w:hint="default" w:ascii="Times New Roman" w:hAnsi="Times New Roman" w:eastAsia="黑体" w:cs="Times New Roman"/>
        <w:sz w:val="24"/>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7A495B37"/>
    <w:multiLevelType w:val="singleLevel"/>
    <w:tmpl w:val="7A495B37"/>
    <w:lvl w:ilvl="0" w:tentative="0">
      <w:start w:val="2"/>
      <w:numFmt w:val="decimal"/>
      <w:suff w:val="nothing"/>
      <w:lvlText w:val="%1-"/>
      <w:lvlJc w:val="left"/>
    </w:lvl>
  </w:abstractNum>
  <w:abstractNum w:abstractNumId="3">
    <w:nsid w:val="7BB52C18"/>
    <w:multiLevelType w:val="multilevel"/>
    <w:tmpl w:val="7BB52C18"/>
    <w:lvl w:ilvl="0" w:tentative="0">
      <w:start w:val="1"/>
      <w:numFmt w:val="decimal"/>
      <w:pStyle w:val="3"/>
      <w:lvlText w:val="%1"/>
      <w:lvlJc w:val="left"/>
      <w:pPr>
        <w:tabs>
          <w:tab w:val="left" w:pos="425"/>
        </w:tabs>
        <w:ind w:left="425" w:hanging="425"/>
      </w:pPr>
      <w:rPr>
        <w:rFonts w:hint="eastAsia"/>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ljMWVlY2M0NWZiZDY0NWEwZmZhY2ZjOWRmMjBlNzkifQ=="/>
  </w:docVars>
  <w:rsids>
    <w:rsidRoot w:val="CF7B1615"/>
    <w:rsid w:val="002D43C9"/>
    <w:rsid w:val="00324C63"/>
    <w:rsid w:val="00395E2D"/>
    <w:rsid w:val="006D285F"/>
    <w:rsid w:val="00704331"/>
    <w:rsid w:val="007D727C"/>
    <w:rsid w:val="008329F9"/>
    <w:rsid w:val="008E0F51"/>
    <w:rsid w:val="00AC259F"/>
    <w:rsid w:val="00DE5E57"/>
    <w:rsid w:val="00FC64C0"/>
    <w:rsid w:val="012553D8"/>
    <w:rsid w:val="014E0CD6"/>
    <w:rsid w:val="016F6CF7"/>
    <w:rsid w:val="01864F8F"/>
    <w:rsid w:val="01EF103F"/>
    <w:rsid w:val="020026EC"/>
    <w:rsid w:val="027A50F6"/>
    <w:rsid w:val="031A1B80"/>
    <w:rsid w:val="03235FF9"/>
    <w:rsid w:val="03276AEA"/>
    <w:rsid w:val="03914262"/>
    <w:rsid w:val="048D2F4C"/>
    <w:rsid w:val="04F61294"/>
    <w:rsid w:val="053611EF"/>
    <w:rsid w:val="0542385B"/>
    <w:rsid w:val="05FD33FC"/>
    <w:rsid w:val="07510291"/>
    <w:rsid w:val="07A16191"/>
    <w:rsid w:val="083F7133"/>
    <w:rsid w:val="096B1A40"/>
    <w:rsid w:val="098D4851"/>
    <w:rsid w:val="0A751B56"/>
    <w:rsid w:val="0AA75569"/>
    <w:rsid w:val="0C1D2303"/>
    <w:rsid w:val="0D7F4759"/>
    <w:rsid w:val="0DDBEBBE"/>
    <w:rsid w:val="0E574582"/>
    <w:rsid w:val="0EB47971"/>
    <w:rsid w:val="0F0D3828"/>
    <w:rsid w:val="0F9F64F1"/>
    <w:rsid w:val="110B059F"/>
    <w:rsid w:val="116B2066"/>
    <w:rsid w:val="11954F3A"/>
    <w:rsid w:val="11BE2591"/>
    <w:rsid w:val="12A829A5"/>
    <w:rsid w:val="13587244"/>
    <w:rsid w:val="13837C13"/>
    <w:rsid w:val="13A817DA"/>
    <w:rsid w:val="140525C3"/>
    <w:rsid w:val="141749E5"/>
    <w:rsid w:val="147E1949"/>
    <w:rsid w:val="14FF4227"/>
    <w:rsid w:val="15516E1C"/>
    <w:rsid w:val="15534AA0"/>
    <w:rsid w:val="15D16B92"/>
    <w:rsid w:val="16A90393"/>
    <w:rsid w:val="16FF5669"/>
    <w:rsid w:val="17874792"/>
    <w:rsid w:val="17CB5C9E"/>
    <w:rsid w:val="17EC6D5F"/>
    <w:rsid w:val="18F445F6"/>
    <w:rsid w:val="191D4551"/>
    <w:rsid w:val="191F594F"/>
    <w:rsid w:val="19386C80"/>
    <w:rsid w:val="1944383C"/>
    <w:rsid w:val="197F114D"/>
    <w:rsid w:val="19A221F8"/>
    <w:rsid w:val="19E239A7"/>
    <w:rsid w:val="1A7E3710"/>
    <w:rsid w:val="1B2B1A61"/>
    <w:rsid w:val="1B93375A"/>
    <w:rsid w:val="1B985223"/>
    <w:rsid w:val="1DF6376A"/>
    <w:rsid w:val="1E0A2A81"/>
    <w:rsid w:val="1E471303"/>
    <w:rsid w:val="1F6F6BDE"/>
    <w:rsid w:val="1FF54B01"/>
    <w:rsid w:val="218914DC"/>
    <w:rsid w:val="24935A47"/>
    <w:rsid w:val="24FF7278"/>
    <w:rsid w:val="259E4331"/>
    <w:rsid w:val="2644755E"/>
    <w:rsid w:val="266138D4"/>
    <w:rsid w:val="26A9629B"/>
    <w:rsid w:val="26C137BB"/>
    <w:rsid w:val="27FB333A"/>
    <w:rsid w:val="28AB73F4"/>
    <w:rsid w:val="28CF38CA"/>
    <w:rsid w:val="292F13A8"/>
    <w:rsid w:val="29352C65"/>
    <w:rsid w:val="29746D9E"/>
    <w:rsid w:val="29E5262F"/>
    <w:rsid w:val="29EB14AF"/>
    <w:rsid w:val="29FF1354"/>
    <w:rsid w:val="2A6E581B"/>
    <w:rsid w:val="2A9E697F"/>
    <w:rsid w:val="2ABB6246"/>
    <w:rsid w:val="2AC41D4C"/>
    <w:rsid w:val="2AEE1CDF"/>
    <w:rsid w:val="2AF04F95"/>
    <w:rsid w:val="2AF072AA"/>
    <w:rsid w:val="2B3A7BF5"/>
    <w:rsid w:val="2B7444D2"/>
    <w:rsid w:val="2C225C6F"/>
    <w:rsid w:val="2CFE5078"/>
    <w:rsid w:val="2D067C4C"/>
    <w:rsid w:val="2E2F280E"/>
    <w:rsid w:val="2E3B47BD"/>
    <w:rsid w:val="2E8969FB"/>
    <w:rsid w:val="2E935214"/>
    <w:rsid w:val="2EAD65D1"/>
    <w:rsid w:val="2EFA0056"/>
    <w:rsid w:val="2EFF8E92"/>
    <w:rsid w:val="2F363381"/>
    <w:rsid w:val="2F5F87AF"/>
    <w:rsid w:val="3040756D"/>
    <w:rsid w:val="309B78CC"/>
    <w:rsid w:val="312A5233"/>
    <w:rsid w:val="313F100F"/>
    <w:rsid w:val="3186135C"/>
    <w:rsid w:val="319C3D25"/>
    <w:rsid w:val="31BD7BDF"/>
    <w:rsid w:val="32AF0CD3"/>
    <w:rsid w:val="33033DDE"/>
    <w:rsid w:val="335368CE"/>
    <w:rsid w:val="3358000F"/>
    <w:rsid w:val="338D6696"/>
    <w:rsid w:val="33BD77A6"/>
    <w:rsid w:val="33C73482"/>
    <w:rsid w:val="341A5EA0"/>
    <w:rsid w:val="35166CD8"/>
    <w:rsid w:val="3549064E"/>
    <w:rsid w:val="354F23D9"/>
    <w:rsid w:val="35532220"/>
    <w:rsid w:val="357F6ED7"/>
    <w:rsid w:val="35A0D08E"/>
    <w:rsid w:val="35A231F3"/>
    <w:rsid w:val="361121B8"/>
    <w:rsid w:val="36BC1865"/>
    <w:rsid w:val="37EB4058"/>
    <w:rsid w:val="37FFD70F"/>
    <w:rsid w:val="388D1338"/>
    <w:rsid w:val="389F13BE"/>
    <w:rsid w:val="389F4A36"/>
    <w:rsid w:val="394D5DAC"/>
    <w:rsid w:val="398E2824"/>
    <w:rsid w:val="39933F9C"/>
    <w:rsid w:val="39B61C6A"/>
    <w:rsid w:val="3B174217"/>
    <w:rsid w:val="3B4B2668"/>
    <w:rsid w:val="3BAE2C45"/>
    <w:rsid w:val="3BB94246"/>
    <w:rsid w:val="3C1E0A96"/>
    <w:rsid w:val="3C2823C2"/>
    <w:rsid w:val="3C6A4BE3"/>
    <w:rsid w:val="3C6D97BD"/>
    <w:rsid w:val="3D27350C"/>
    <w:rsid w:val="3D47657E"/>
    <w:rsid w:val="3DB55A3F"/>
    <w:rsid w:val="3DDFC6DE"/>
    <w:rsid w:val="3DFF1179"/>
    <w:rsid w:val="3E161005"/>
    <w:rsid w:val="3E3EB46C"/>
    <w:rsid w:val="3E682515"/>
    <w:rsid w:val="3ECFEA25"/>
    <w:rsid w:val="3EFDE59F"/>
    <w:rsid w:val="3F1B7595"/>
    <w:rsid w:val="3F37F5B1"/>
    <w:rsid w:val="3FAE58B6"/>
    <w:rsid w:val="3FBE1C9F"/>
    <w:rsid w:val="3FC426E4"/>
    <w:rsid w:val="3FF917B3"/>
    <w:rsid w:val="3FFB55D1"/>
    <w:rsid w:val="3FFCF0AA"/>
    <w:rsid w:val="405064C6"/>
    <w:rsid w:val="406D237D"/>
    <w:rsid w:val="4085387B"/>
    <w:rsid w:val="40A86729"/>
    <w:rsid w:val="40F60BA7"/>
    <w:rsid w:val="41406254"/>
    <w:rsid w:val="41A06782"/>
    <w:rsid w:val="41E8390E"/>
    <w:rsid w:val="437F296F"/>
    <w:rsid w:val="4488186A"/>
    <w:rsid w:val="449E18D4"/>
    <w:rsid w:val="44C473F6"/>
    <w:rsid w:val="44EB555F"/>
    <w:rsid w:val="45AC4EC2"/>
    <w:rsid w:val="465328BC"/>
    <w:rsid w:val="47066FA9"/>
    <w:rsid w:val="47251833"/>
    <w:rsid w:val="4876480C"/>
    <w:rsid w:val="48CA3BDF"/>
    <w:rsid w:val="492F2317"/>
    <w:rsid w:val="49403D2E"/>
    <w:rsid w:val="494F1CF9"/>
    <w:rsid w:val="495E6C6D"/>
    <w:rsid w:val="49F94530"/>
    <w:rsid w:val="4A593880"/>
    <w:rsid w:val="4B5C77FE"/>
    <w:rsid w:val="4C085456"/>
    <w:rsid w:val="4C38130D"/>
    <w:rsid w:val="4C752C9E"/>
    <w:rsid w:val="4CCA0A61"/>
    <w:rsid w:val="4CF578FF"/>
    <w:rsid w:val="4D42046C"/>
    <w:rsid w:val="4DF827BB"/>
    <w:rsid w:val="4DFBA2D1"/>
    <w:rsid w:val="4DFD5D47"/>
    <w:rsid w:val="4E927AAC"/>
    <w:rsid w:val="4EF60EE6"/>
    <w:rsid w:val="4EF95FE2"/>
    <w:rsid w:val="4F7B02DA"/>
    <w:rsid w:val="4F9C20C7"/>
    <w:rsid w:val="5005442D"/>
    <w:rsid w:val="50241526"/>
    <w:rsid w:val="50CD3948"/>
    <w:rsid w:val="512F059E"/>
    <w:rsid w:val="519E02A8"/>
    <w:rsid w:val="51FF6894"/>
    <w:rsid w:val="527BFC17"/>
    <w:rsid w:val="52A440BF"/>
    <w:rsid w:val="52D25384"/>
    <w:rsid w:val="53649C48"/>
    <w:rsid w:val="539F5460"/>
    <w:rsid w:val="53AD796B"/>
    <w:rsid w:val="53BD715F"/>
    <w:rsid w:val="53C92F82"/>
    <w:rsid w:val="54423D7C"/>
    <w:rsid w:val="550A17D8"/>
    <w:rsid w:val="55390BA8"/>
    <w:rsid w:val="55674B38"/>
    <w:rsid w:val="557F0938"/>
    <w:rsid w:val="56547917"/>
    <w:rsid w:val="58C5723D"/>
    <w:rsid w:val="58DC635E"/>
    <w:rsid w:val="58EF4283"/>
    <w:rsid w:val="58F00A78"/>
    <w:rsid w:val="590B206B"/>
    <w:rsid w:val="59C93C29"/>
    <w:rsid w:val="59F96C49"/>
    <w:rsid w:val="5A0F3CCD"/>
    <w:rsid w:val="5AB43E8B"/>
    <w:rsid w:val="5AEF3989"/>
    <w:rsid w:val="5AFB17E7"/>
    <w:rsid w:val="5B2DB038"/>
    <w:rsid w:val="5BB3D616"/>
    <w:rsid w:val="5BCB12F7"/>
    <w:rsid w:val="5BE1E244"/>
    <w:rsid w:val="5BF007F0"/>
    <w:rsid w:val="5BF719FD"/>
    <w:rsid w:val="5BFE1802"/>
    <w:rsid w:val="5BFE320A"/>
    <w:rsid w:val="5C4C26D6"/>
    <w:rsid w:val="5CC6530D"/>
    <w:rsid w:val="5D69B445"/>
    <w:rsid w:val="5D7E95EA"/>
    <w:rsid w:val="5DAC016C"/>
    <w:rsid w:val="5DD7501E"/>
    <w:rsid w:val="5DE7A6D2"/>
    <w:rsid w:val="5DFB2167"/>
    <w:rsid w:val="5E3A5F79"/>
    <w:rsid w:val="5E576178"/>
    <w:rsid w:val="5E816091"/>
    <w:rsid w:val="5EA478D4"/>
    <w:rsid w:val="5EEB06EB"/>
    <w:rsid w:val="5EFA0E7C"/>
    <w:rsid w:val="5EFFBEA9"/>
    <w:rsid w:val="5F5F49D0"/>
    <w:rsid w:val="5F7FD846"/>
    <w:rsid w:val="5F9E6ED2"/>
    <w:rsid w:val="5FB97FF7"/>
    <w:rsid w:val="5FDFFF29"/>
    <w:rsid w:val="5FEFA8D1"/>
    <w:rsid w:val="5FF3BB69"/>
    <w:rsid w:val="5FFFD286"/>
    <w:rsid w:val="604A77D9"/>
    <w:rsid w:val="61491486"/>
    <w:rsid w:val="626D33A6"/>
    <w:rsid w:val="62A768B8"/>
    <w:rsid w:val="636EBC41"/>
    <w:rsid w:val="63AC6381"/>
    <w:rsid w:val="649D3512"/>
    <w:rsid w:val="64F97D1B"/>
    <w:rsid w:val="65752E25"/>
    <w:rsid w:val="667A39F3"/>
    <w:rsid w:val="66D41A34"/>
    <w:rsid w:val="67466BDD"/>
    <w:rsid w:val="676F9089"/>
    <w:rsid w:val="67A1A5F0"/>
    <w:rsid w:val="67EEC80E"/>
    <w:rsid w:val="67F762E4"/>
    <w:rsid w:val="67FDBDDA"/>
    <w:rsid w:val="685A7E0D"/>
    <w:rsid w:val="688178F9"/>
    <w:rsid w:val="688B0453"/>
    <w:rsid w:val="68DF0CD0"/>
    <w:rsid w:val="68F74E24"/>
    <w:rsid w:val="69890438"/>
    <w:rsid w:val="69B90B20"/>
    <w:rsid w:val="69BB507A"/>
    <w:rsid w:val="69F5FE7F"/>
    <w:rsid w:val="6A0A5403"/>
    <w:rsid w:val="6A3ECF7A"/>
    <w:rsid w:val="6A632BE5"/>
    <w:rsid w:val="6A75507C"/>
    <w:rsid w:val="6A795939"/>
    <w:rsid w:val="6AC0040C"/>
    <w:rsid w:val="6AD12080"/>
    <w:rsid w:val="6AF2188E"/>
    <w:rsid w:val="6B583430"/>
    <w:rsid w:val="6BA58128"/>
    <w:rsid w:val="6BD9E0A8"/>
    <w:rsid w:val="6BF7AD5E"/>
    <w:rsid w:val="6C34718A"/>
    <w:rsid w:val="6CC12EB2"/>
    <w:rsid w:val="6CCB33A4"/>
    <w:rsid w:val="6D0317DA"/>
    <w:rsid w:val="6DB7A761"/>
    <w:rsid w:val="6DC102F9"/>
    <w:rsid w:val="6DD07DC4"/>
    <w:rsid w:val="6DFF2FE1"/>
    <w:rsid w:val="6E9E2644"/>
    <w:rsid w:val="6EB68700"/>
    <w:rsid w:val="6EFF0F18"/>
    <w:rsid w:val="6EFFACD1"/>
    <w:rsid w:val="6F3556D0"/>
    <w:rsid w:val="6F3D4385"/>
    <w:rsid w:val="6F7FF74B"/>
    <w:rsid w:val="6FDA4ACE"/>
    <w:rsid w:val="6FDEFB6B"/>
    <w:rsid w:val="6FE57571"/>
    <w:rsid w:val="6FEBD174"/>
    <w:rsid w:val="6FF12D71"/>
    <w:rsid w:val="6FF7730F"/>
    <w:rsid w:val="6FF7DFFF"/>
    <w:rsid w:val="7043031F"/>
    <w:rsid w:val="70513B24"/>
    <w:rsid w:val="706E07BF"/>
    <w:rsid w:val="715873A9"/>
    <w:rsid w:val="715F13E9"/>
    <w:rsid w:val="7173E16B"/>
    <w:rsid w:val="71798CA6"/>
    <w:rsid w:val="717E7C24"/>
    <w:rsid w:val="71D306FC"/>
    <w:rsid w:val="71DD4686"/>
    <w:rsid w:val="71FFF4F8"/>
    <w:rsid w:val="727F4537"/>
    <w:rsid w:val="729876FA"/>
    <w:rsid w:val="72A865D5"/>
    <w:rsid w:val="733F1DDF"/>
    <w:rsid w:val="73946F8F"/>
    <w:rsid w:val="73AF2DAD"/>
    <w:rsid w:val="73CF4520"/>
    <w:rsid w:val="73DF549D"/>
    <w:rsid w:val="74116912"/>
    <w:rsid w:val="74495C4F"/>
    <w:rsid w:val="7470301E"/>
    <w:rsid w:val="747E29C9"/>
    <w:rsid w:val="74814655"/>
    <w:rsid w:val="750D48D4"/>
    <w:rsid w:val="750EB38A"/>
    <w:rsid w:val="757B3BC9"/>
    <w:rsid w:val="75841C4D"/>
    <w:rsid w:val="75BE0361"/>
    <w:rsid w:val="75EB8C1E"/>
    <w:rsid w:val="75EDFE34"/>
    <w:rsid w:val="75EE0642"/>
    <w:rsid w:val="75FBF16C"/>
    <w:rsid w:val="75FDECB7"/>
    <w:rsid w:val="75FF8BDD"/>
    <w:rsid w:val="763D66C6"/>
    <w:rsid w:val="76EE2D7D"/>
    <w:rsid w:val="76F75643"/>
    <w:rsid w:val="76FB9B69"/>
    <w:rsid w:val="76FF0AC1"/>
    <w:rsid w:val="77360920"/>
    <w:rsid w:val="77A66842"/>
    <w:rsid w:val="77BB723B"/>
    <w:rsid w:val="77DFE381"/>
    <w:rsid w:val="77F71942"/>
    <w:rsid w:val="77F9705E"/>
    <w:rsid w:val="77FEA815"/>
    <w:rsid w:val="78A23F10"/>
    <w:rsid w:val="78BD0A08"/>
    <w:rsid w:val="78F82E4E"/>
    <w:rsid w:val="792E5507"/>
    <w:rsid w:val="79797239"/>
    <w:rsid w:val="799C04E9"/>
    <w:rsid w:val="79BD632E"/>
    <w:rsid w:val="79DF3EDE"/>
    <w:rsid w:val="7A932A9D"/>
    <w:rsid w:val="7B1EDD5E"/>
    <w:rsid w:val="7B57A946"/>
    <w:rsid w:val="7B7319D2"/>
    <w:rsid w:val="7B7D9098"/>
    <w:rsid w:val="7B956D2D"/>
    <w:rsid w:val="7BABD37E"/>
    <w:rsid w:val="7BB70DD1"/>
    <w:rsid w:val="7BDF82F2"/>
    <w:rsid w:val="7BE7B774"/>
    <w:rsid w:val="7BF1B5CF"/>
    <w:rsid w:val="7BFEFA43"/>
    <w:rsid w:val="7BFF2DA0"/>
    <w:rsid w:val="7CBF8916"/>
    <w:rsid w:val="7CE7BC8E"/>
    <w:rsid w:val="7CFA4954"/>
    <w:rsid w:val="7CFDDE28"/>
    <w:rsid w:val="7CFEEDC9"/>
    <w:rsid w:val="7D4E2851"/>
    <w:rsid w:val="7DA4029E"/>
    <w:rsid w:val="7DB52AE1"/>
    <w:rsid w:val="7DBA241A"/>
    <w:rsid w:val="7DBF74C5"/>
    <w:rsid w:val="7DEEB78F"/>
    <w:rsid w:val="7DF7846C"/>
    <w:rsid w:val="7DFB934E"/>
    <w:rsid w:val="7DFC7E93"/>
    <w:rsid w:val="7DFE78EC"/>
    <w:rsid w:val="7DFF3B88"/>
    <w:rsid w:val="7DFF61D5"/>
    <w:rsid w:val="7E1F98AB"/>
    <w:rsid w:val="7E5FCBA2"/>
    <w:rsid w:val="7E755DFF"/>
    <w:rsid w:val="7E801E9A"/>
    <w:rsid w:val="7E815916"/>
    <w:rsid w:val="7EA844A8"/>
    <w:rsid w:val="7EDE4F77"/>
    <w:rsid w:val="7EF76A78"/>
    <w:rsid w:val="7EFF5529"/>
    <w:rsid w:val="7EFF94A3"/>
    <w:rsid w:val="7F0BCD9D"/>
    <w:rsid w:val="7F1B5120"/>
    <w:rsid w:val="7F1F953F"/>
    <w:rsid w:val="7F35A3BA"/>
    <w:rsid w:val="7F3DF3AD"/>
    <w:rsid w:val="7F3F0689"/>
    <w:rsid w:val="7F4DDD0E"/>
    <w:rsid w:val="7F6A2746"/>
    <w:rsid w:val="7F7E1641"/>
    <w:rsid w:val="7F7F84F5"/>
    <w:rsid w:val="7F7F8512"/>
    <w:rsid w:val="7F97145B"/>
    <w:rsid w:val="7FA597D4"/>
    <w:rsid w:val="7FBA92C6"/>
    <w:rsid w:val="7FBF9581"/>
    <w:rsid w:val="7FCAA597"/>
    <w:rsid w:val="7FD568B5"/>
    <w:rsid w:val="7FDDE849"/>
    <w:rsid w:val="7FDEE48D"/>
    <w:rsid w:val="7FDF0376"/>
    <w:rsid w:val="7FDF0F7A"/>
    <w:rsid w:val="7FDF3B05"/>
    <w:rsid w:val="7FE6072D"/>
    <w:rsid w:val="7FED7605"/>
    <w:rsid w:val="7FEF3DD0"/>
    <w:rsid w:val="7FF73397"/>
    <w:rsid w:val="7FFB3F3A"/>
    <w:rsid w:val="7FFCFEA3"/>
    <w:rsid w:val="7FFE48AC"/>
    <w:rsid w:val="7FFF6D04"/>
    <w:rsid w:val="7FFF8319"/>
    <w:rsid w:val="7FFFA31F"/>
    <w:rsid w:val="866EA8B3"/>
    <w:rsid w:val="87DD6698"/>
    <w:rsid w:val="8DEFEA13"/>
    <w:rsid w:val="8E5E0F26"/>
    <w:rsid w:val="8F6CBB77"/>
    <w:rsid w:val="9CEDD1E7"/>
    <w:rsid w:val="9E9FB795"/>
    <w:rsid w:val="9FF5946D"/>
    <w:rsid w:val="9FFB1C76"/>
    <w:rsid w:val="9FFEACF3"/>
    <w:rsid w:val="ABF78920"/>
    <w:rsid w:val="ACDB26CE"/>
    <w:rsid w:val="ACFF01BF"/>
    <w:rsid w:val="AD35F6F6"/>
    <w:rsid w:val="AD7F1406"/>
    <w:rsid w:val="AE69D09F"/>
    <w:rsid w:val="AEFD0C39"/>
    <w:rsid w:val="AFDB5ABB"/>
    <w:rsid w:val="AFEA3193"/>
    <w:rsid w:val="AFFD92AD"/>
    <w:rsid w:val="B3BF3FC1"/>
    <w:rsid w:val="B3DF5E7E"/>
    <w:rsid w:val="B695D57F"/>
    <w:rsid w:val="B6FB1F57"/>
    <w:rsid w:val="B7FCCD2E"/>
    <w:rsid w:val="B7FF650B"/>
    <w:rsid w:val="BAE7E06B"/>
    <w:rsid w:val="BBC1932E"/>
    <w:rsid w:val="BBC31439"/>
    <w:rsid w:val="BBE249CB"/>
    <w:rsid w:val="BCFD5E11"/>
    <w:rsid w:val="BDF5B219"/>
    <w:rsid w:val="BED37830"/>
    <w:rsid w:val="BEDFE41F"/>
    <w:rsid w:val="BEFFB003"/>
    <w:rsid w:val="BEFFD31F"/>
    <w:rsid w:val="BF3FA207"/>
    <w:rsid w:val="BF5EC7CE"/>
    <w:rsid w:val="BF9F1280"/>
    <w:rsid w:val="BFAB2A99"/>
    <w:rsid w:val="BFD37BE0"/>
    <w:rsid w:val="BFDFF2D9"/>
    <w:rsid w:val="BFF5C69D"/>
    <w:rsid w:val="BFFE9433"/>
    <w:rsid w:val="BFFF3C6F"/>
    <w:rsid w:val="BFFFBCF6"/>
    <w:rsid w:val="C7070B58"/>
    <w:rsid w:val="C7FE99E2"/>
    <w:rsid w:val="CA9FA2BE"/>
    <w:rsid w:val="CBDE8C5B"/>
    <w:rsid w:val="CBE341D0"/>
    <w:rsid w:val="CEDF05F7"/>
    <w:rsid w:val="CF7B1615"/>
    <w:rsid w:val="D1B7B900"/>
    <w:rsid w:val="D4BF427B"/>
    <w:rsid w:val="D4CF8204"/>
    <w:rsid w:val="D5FDF561"/>
    <w:rsid w:val="D5FF10BC"/>
    <w:rsid w:val="D69D7519"/>
    <w:rsid w:val="D7EF0C02"/>
    <w:rsid w:val="D8DFA759"/>
    <w:rsid w:val="D9DFA2B2"/>
    <w:rsid w:val="DBBF8ACE"/>
    <w:rsid w:val="DBC70317"/>
    <w:rsid w:val="DBF38584"/>
    <w:rsid w:val="DCD9CE09"/>
    <w:rsid w:val="DDAFB083"/>
    <w:rsid w:val="DDD10B0A"/>
    <w:rsid w:val="DDDF6D6E"/>
    <w:rsid w:val="DDF7B563"/>
    <w:rsid w:val="DDFC1394"/>
    <w:rsid w:val="DEEFBBA9"/>
    <w:rsid w:val="DEF72AD8"/>
    <w:rsid w:val="DEF7B1E3"/>
    <w:rsid w:val="DFBEFC1F"/>
    <w:rsid w:val="DFD6937F"/>
    <w:rsid w:val="DFDFFA4D"/>
    <w:rsid w:val="DFEA5B7D"/>
    <w:rsid w:val="DFFB2420"/>
    <w:rsid w:val="E07B6603"/>
    <w:rsid w:val="E1EF2B02"/>
    <w:rsid w:val="E4FF02B8"/>
    <w:rsid w:val="E5F6F252"/>
    <w:rsid w:val="E5FF3281"/>
    <w:rsid w:val="E6F7CCAE"/>
    <w:rsid w:val="E7574EF4"/>
    <w:rsid w:val="E7FFDAD4"/>
    <w:rsid w:val="E9F9E56D"/>
    <w:rsid w:val="EB5F3D1F"/>
    <w:rsid w:val="EBDE010B"/>
    <w:rsid w:val="EDE552CF"/>
    <w:rsid w:val="EDFF1391"/>
    <w:rsid w:val="EDFF4F65"/>
    <w:rsid w:val="EE37C9E4"/>
    <w:rsid w:val="EEFFA3DB"/>
    <w:rsid w:val="EFB73E99"/>
    <w:rsid w:val="EFBC82A4"/>
    <w:rsid w:val="EFE7AE1C"/>
    <w:rsid w:val="EFED1D2A"/>
    <w:rsid w:val="EFF489B8"/>
    <w:rsid w:val="F03A795C"/>
    <w:rsid w:val="F17781BE"/>
    <w:rsid w:val="F1FC9065"/>
    <w:rsid w:val="F33BAC38"/>
    <w:rsid w:val="F3B34113"/>
    <w:rsid w:val="F3BFC455"/>
    <w:rsid w:val="F3DFC764"/>
    <w:rsid w:val="F3E7CDA7"/>
    <w:rsid w:val="F5F52971"/>
    <w:rsid w:val="F6DF57AC"/>
    <w:rsid w:val="F6FC8BA4"/>
    <w:rsid w:val="F723739D"/>
    <w:rsid w:val="F7613863"/>
    <w:rsid w:val="F77E2378"/>
    <w:rsid w:val="F7B05824"/>
    <w:rsid w:val="F7B7CE8D"/>
    <w:rsid w:val="F7DD9BC8"/>
    <w:rsid w:val="F7DFC4F9"/>
    <w:rsid w:val="F7E9443B"/>
    <w:rsid w:val="F7EFAD61"/>
    <w:rsid w:val="F7F8CA00"/>
    <w:rsid w:val="F7FFCBE8"/>
    <w:rsid w:val="F9BD4ED1"/>
    <w:rsid w:val="F9EFC45C"/>
    <w:rsid w:val="F9F782FD"/>
    <w:rsid w:val="F9FDC931"/>
    <w:rsid w:val="FA5D7B45"/>
    <w:rsid w:val="FA670E83"/>
    <w:rsid w:val="FB8B46B4"/>
    <w:rsid w:val="FBB958EA"/>
    <w:rsid w:val="FBDF7EBA"/>
    <w:rsid w:val="FBED1D41"/>
    <w:rsid w:val="FBF542B6"/>
    <w:rsid w:val="FC3BA546"/>
    <w:rsid w:val="FC9F96F9"/>
    <w:rsid w:val="FCF71C4E"/>
    <w:rsid w:val="FCFE5261"/>
    <w:rsid w:val="FCFED3A4"/>
    <w:rsid w:val="FD7890D4"/>
    <w:rsid w:val="FDBB5299"/>
    <w:rsid w:val="FDCE2EC5"/>
    <w:rsid w:val="FDCF7107"/>
    <w:rsid w:val="FDD77C61"/>
    <w:rsid w:val="FDF563EF"/>
    <w:rsid w:val="FDFA9AC7"/>
    <w:rsid w:val="FDFBA7A3"/>
    <w:rsid w:val="FDFFD8A0"/>
    <w:rsid w:val="FEB5C49F"/>
    <w:rsid w:val="FEC3103C"/>
    <w:rsid w:val="FEDF156D"/>
    <w:rsid w:val="FEFE19B1"/>
    <w:rsid w:val="FF0FE4FE"/>
    <w:rsid w:val="FF2F9016"/>
    <w:rsid w:val="FF5F9307"/>
    <w:rsid w:val="FF753537"/>
    <w:rsid w:val="FF7F9E1D"/>
    <w:rsid w:val="FF8B2725"/>
    <w:rsid w:val="FFAFBFD8"/>
    <w:rsid w:val="FFB52CCE"/>
    <w:rsid w:val="FFBFE680"/>
    <w:rsid w:val="FFC56A96"/>
    <w:rsid w:val="FFCF8B9C"/>
    <w:rsid w:val="FFD9ADDA"/>
    <w:rsid w:val="FFDF8AD6"/>
    <w:rsid w:val="FFDFFBFD"/>
    <w:rsid w:val="FFE66F23"/>
    <w:rsid w:val="FFE68CF8"/>
    <w:rsid w:val="FFEB0ED4"/>
    <w:rsid w:val="FFEF03D2"/>
    <w:rsid w:val="FFEF0E2D"/>
    <w:rsid w:val="FFEF78AA"/>
    <w:rsid w:val="FFFBB886"/>
    <w:rsid w:val="FFFD6C76"/>
    <w:rsid w:val="FFFE688C"/>
    <w:rsid w:val="FFFF4A3D"/>
    <w:rsid w:val="FFFF86B0"/>
    <w:rsid w:val="FFFFB8D9"/>
    <w:rsid w:val="FFFFED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keepNext/>
      <w:keepLines/>
      <w:numPr>
        <w:ilvl w:val="0"/>
        <w:numId w:val="1"/>
      </w:numPr>
      <w:adjustRightInd w:val="0"/>
      <w:spacing w:before="240" w:after="240"/>
      <w:textAlignment w:val="baseline"/>
      <w:outlineLvl w:val="0"/>
    </w:pPr>
    <w:rPr>
      <w:rFonts w:ascii="Times New Roman" w:hAnsi="Times New Roman" w:eastAsia="黑体"/>
      <w:b/>
      <w:color w:val="000000"/>
      <w:spacing w:val="-12"/>
      <w:kern w:val="44"/>
      <w:sz w:val="44"/>
      <w:szCs w:val="20"/>
    </w:rPr>
  </w:style>
  <w:style w:type="paragraph" w:styleId="4">
    <w:name w:val="heading 3"/>
    <w:basedOn w:val="1"/>
    <w:next w:val="1"/>
    <w:unhideWhenUsed/>
    <w:qFormat/>
    <w:uiPriority w:val="0"/>
    <w:pPr>
      <w:keepNext/>
      <w:keepLines/>
      <w:spacing w:before="260" w:after="260" w:line="416" w:lineRule="auto"/>
      <w:outlineLvl w:val="2"/>
    </w:pPr>
    <w:rPr>
      <w:b/>
      <w:bCs/>
      <w:sz w:val="32"/>
      <w:szCs w:val="32"/>
    </w:rPr>
  </w:style>
  <w:style w:type="paragraph" w:styleId="5">
    <w:name w:val="heading 4"/>
    <w:basedOn w:val="1"/>
    <w:next w:val="1"/>
    <w:unhideWhenUsed/>
    <w:qFormat/>
    <w:uiPriority w:val="0"/>
    <w:pPr>
      <w:keepNext/>
      <w:keepLines/>
      <w:spacing w:before="280" w:after="290" w:line="376" w:lineRule="auto"/>
      <w:outlineLvl w:val="3"/>
    </w:pPr>
    <w:rPr>
      <w:rFonts w:ascii="Calibri Light" w:hAnsi="Calibri Light"/>
      <w:b/>
      <w:bCs/>
      <w:sz w:val="28"/>
      <w:szCs w:val="28"/>
    </w:rPr>
  </w:style>
  <w:style w:type="paragraph" w:styleId="6">
    <w:name w:val="heading 5"/>
    <w:next w:val="1"/>
    <w:unhideWhenUsed/>
    <w:qFormat/>
    <w:uiPriority w:val="9"/>
    <w:pPr>
      <w:keepNext/>
      <w:numPr>
        <w:ilvl w:val="4"/>
        <w:numId w:val="2"/>
      </w:numPr>
      <w:adjustRightInd w:val="0"/>
      <w:snapToGrid w:val="0"/>
      <w:spacing w:line="420" w:lineRule="atLeast"/>
      <w:jc w:val="center"/>
      <w:outlineLvl w:val="4"/>
    </w:pPr>
    <w:rPr>
      <w:rFonts w:ascii="Times New Roman" w:hAnsi="Times New Roman" w:eastAsia="黑体" w:cs="Times New Roman"/>
      <w:snapToGrid w:val="0"/>
      <w:sz w:val="24"/>
      <w:szCs w:val="28"/>
      <w:lang w:val="en-US" w:eastAsia="zh-CN" w:bidi="ar-SA"/>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Layout w:type="fixed"/>
      <w:tblCellMar>
        <w:top w:w="0" w:type="dxa"/>
        <w:left w:w="108" w:type="dxa"/>
        <w:bottom w:w="0" w:type="dxa"/>
        <w:right w:w="108" w:type="dxa"/>
      </w:tblCellMar>
    </w:tblPr>
  </w:style>
  <w:style w:type="paragraph" w:styleId="2">
    <w:name w:val="Plain Text"/>
    <w:basedOn w:val="1"/>
    <w:next w:val="1"/>
    <w:qFormat/>
    <w:uiPriority w:val="0"/>
    <w:rPr>
      <w:rFonts w:ascii="宋体" w:hAnsi="Courier New"/>
    </w:rPr>
  </w:style>
  <w:style w:type="paragraph" w:styleId="7">
    <w:name w:val="Normal Indent"/>
    <w:basedOn w:val="1"/>
    <w:next w:val="8"/>
    <w:unhideWhenUsed/>
    <w:qFormat/>
    <w:uiPriority w:val="99"/>
    <w:pPr>
      <w:spacing w:line="530" w:lineRule="exact"/>
      <w:ind w:firstLine="420" w:firstLineChars="200"/>
    </w:pPr>
    <w:rPr>
      <w:rFonts w:ascii="宋体"/>
      <w:sz w:val="32"/>
    </w:rPr>
  </w:style>
  <w:style w:type="paragraph" w:styleId="8">
    <w:name w:val="envelope return"/>
    <w:basedOn w:val="1"/>
    <w:qFormat/>
    <w:uiPriority w:val="0"/>
    <w:pPr>
      <w:snapToGrid w:val="0"/>
    </w:pPr>
    <w:rPr>
      <w:rFonts w:ascii="Arial" w:hAnsi="Arial"/>
    </w:rPr>
  </w:style>
  <w:style w:type="paragraph" w:styleId="9">
    <w:name w:val="annotation text"/>
    <w:basedOn w:val="1"/>
    <w:qFormat/>
    <w:uiPriority w:val="0"/>
    <w:pPr>
      <w:jc w:val="left"/>
    </w:pPr>
  </w:style>
  <w:style w:type="paragraph" w:styleId="10">
    <w:name w:val="Body Text"/>
    <w:basedOn w:val="1"/>
    <w:next w:val="2"/>
    <w:qFormat/>
    <w:uiPriority w:val="0"/>
    <w:pPr>
      <w:widowControl/>
      <w:ind w:firstLine="560"/>
      <w:jc w:val="left"/>
    </w:pPr>
    <w:rPr>
      <w:szCs w:val="21"/>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Title"/>
    <w:next w:val="1"/>
    <w:qFormat/>
    <w:uiPriority w:val="0"/>
    <w:pPr>
      <w:numPr>
        <w:ilvl w:val="5"/>
        <w:numId w:val="2"/>
      </w:numPr>
      <w:adjustRightInd w:val="0"/>
      <w:snapToGrid w:val="0"/>
      <w:spacing w:line="420" w:lineRule="atLeast"/>
      <w:jc w:val="center"/>
      <w:outlineLvl w:val="4"/>
    </w:pPr>
    <w:rPr>
      <w:rFonts w:ascii="Times New Roman" w:hAnsi="Times New Roman" w:eastAsia="黑体" w:cs="Times New Roman"/>
      <w:snapToGrid w:val="0"/>
      <w:sz w:val="24"/>
      <w:szCs w:val="32"/>
      <w:lang w:val="en-US" w:eastAsia="zh-CN" w:bidi="ar-SA"/>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7">
    <w:name w:val="SYS-标题2"/>
    <w:basedOn w:val="18"/>
    <w:qFormat/>
    <w:uiPriority w:val="0"/>
    <w:pPr>
      <w:tabs>
        <w:tab w:val="left" w:pos="644"/>
      </w:tabs>
      <w:outlineLvl w:val="1"/>
    </w:pPr>
    <w:rPr>
      <w:sz w:val="30"/>
    </w:rPr>
  </w:style>
  <w:style w:type="paragraph" w:customStyle="1" w:styleId="18">
    <w:name w:val="SYS-标题3"/>
    <w:basedOn w:val="4"/>
    <w:qFormat/>
    <w:uiPriority w:val="0"/>
    <w:pPr>
      <w:keepNext w:val="0"/>
      <w:keepLines w:val="0"/>
      <w:tabs>
        <w:tab w:val="left" w:pos="644"/>
      </w:tabs>
      <w:spacing w:before="0" w:after="0" w:line="360" w:lineRule="auto"/>
      <w:jc w:val="left"/>
    </w:pPr>
    <w:rPr>
      <w:rFonts w:ascii="Times New Roman" w:hAnsi="Times New Roman" w:eastAsia="黑体"/>
      <w:kern w:val="0"/>
      <w:sz w:val="28"/>
      <w:szCs w:val="30"/>
    </w:rPr>
  </w:style>
  <w:style w:type="paragraph" w:customStyle="1" w:styleId="19">
    <w:name w:val="SYS-正文"/>
    <w:basedOn w:val="1"/>
    <w:link w:val="22"/>
    <w:qFormat/>
    <w:uiPriority w:val="0"/>
    <w:pPr>
      <w:spacing w:line="360" w:lineRule="auto"/>
      <w:ind w:firstLine="200" w:firstLineChars="200"/>
    </w:pPr>
    <w:rPr>
      <w:rFonts w:ascii="Times New Roman" w:hAnsi="Times New Roman"/>
      <w:kern w:val="0"/>
      <w:sz w:val="24"/>
      <w:szCs w:val="24"/>
      <w:lang w:val="zh-CN"/>
    </w:rPr>
  </w:style>
  <w:style w:type="character" w:customStyle="1" w:styleId="20">
    <w:name w:val="SYS-标题1 Char"/>
    <w:link w:val="21"/>
    <w:qFormat/>
    <w:uiPriority w:val="0"/>
    <w:rPr>
      <w:bCs/>
      <w:kern w:val="0"/>
      <w:sz w:val="36"/>
      <w:szCs w:val="44"/>
    </w:rPr>
  </w:style>
  <w:style w:type="paragraph" w:customStyle="1" w:styleId="21">
    <w:name w:val="SYS-标题1"/>
    <w:basedOn w:val="3"/>
    <w:link w:val="20"/>
    <w:qFormat/>
    <w:uiPriority w:val="0"/>
    <w:pPr>
      <w:tabs>
        <w:tab w:val="left" w:pos="1960"/>
      </w:tabs>
      <w:adjustRightInd/>
      <w:spacing w:beforeLines="50" w:afterLines="50"/>
      <w:jc w:val="left"/>
    </w:pPr>
    <w:rPr>
      <w:b w:val="0"/>
      <w:bCs/>
      <w:kern w:val="0"/>
      <w:sz w:val="36"/>
      <w:szCs w:val="44"/>
    </w:rPr>
  </w:style>
  <w:style w:type="character" w:customStyle="1" w:styleId="22">
    <w:name w:val="SYS-正文 Char"/>
    <w:link w:val="19"/>
    <w:qFormat/>
    <w:uiPriority w:val="0"/>
    <w:rPr>
      <w:rFonts w:ascii="Times New Roman" w:hAnsi="Times New Roman"/>
      <w:kern w:val="0"/>
      <w:sz w:val="24"/>
      <w:szCs w:val="24"/>
      <w:lang w:val="zh-CN"/>
    </w:rPr>
  </w:style>
  <w:style w:type="paragraph" w:customStyle="1" w:styleId="23">
    <w:name w:val="SYS表（图）头"/>
    <w:basedOn w:val="1"/>
    <w:link w:val="26"/>
    <w:qFormat/>
    <w:uiPriority w:val="0"/>
    <w:pPr>
      <w:adjustRightInd w:val="0"/>
      <w:spacing w:before="120" w:after="120"/>
      <w:jc w:val="center"/>
      <w:outlineLvl w:val="4"/>
    </w:pPr>
    <w:rPr>
      <w:rFonts w:ascii="Times New Roman" w:hAnsi="Times New Roman" w:eastAsia="黑体"/>
      <w:b/>
      <w:kern w:val="0"/>
      <w:sz w:val="24"/>
      <w:szCs w:val="21"/>
    </w:rPr>
  </w:style>
  <w:style w:type="paragraph" w:customStyle="1" w:styleId="24">
    <w:name w:val="SYS表格内文字"/>
    <w:basedOn w:val="1"/>
    <w:qFormat/>
    <w:uiPriority w:val="0"/>
    <w:pPr>
      <w:adjustRightInd w:val="0"/>
      <w:snapToGrid w:val="0"/>
      <w:jc w:val="center"/>
    </w:pPr>
    <w:rPr>
      <w:rFonts w:ascii="Times New Roman" w:hAnsi="Times New Roman"/>
      <w:kern w:val="0"/>
      <w:sz w:val="20"/>
      <w:szCs w:val="21"/>
    </w:rPr>
  </w:style>
  <w:style w:type="paragraph" w:customStyle="1" w:styleId="25">
    <w:name w:val="SYS-标题4"/>
    <w:basedOn w:val="19"/>
    <w:qFormat/>
    <w:uiPriority w:val="0"/>
    <w:pPr>
      <w:ind w:firstLine="0" w:firstLineChars="0"/>
      <w:outlineLvl w:val="3"/>
    </w:pPr>
    <w:rPr>
      <w:b/>
    </w:rPr>
  </w:style>
  <w:style w:type="character" w:customStyle="1" w:styleId="26">
    <w:name w:val="SYS表（图）头 Char"/>
    <w:link w:val="23"/>
    <w:qFormat/>
    <w:uiPriority w:val="0"/>
    <w:rPr>
      <w:rFonts w:ascii="Times New Roman" w:hAnsi="Times New Roman" w:eastAsia="黑体"/>
      <w:b/>
      <w:kern w:val="0"/>
      <w:sz w:val="24"/>
      <w:szCs w:val="21"/>
    </w:rPr>
  </w:style>
  <w:style w:type="character" w:customStyle="1" w:styleId="27">
    <w:name w:val="font11"/>
    <w:basedOn w:val="16"/>
    <w:qFormat/>
    <w:uiPriority w:val="0"/>
    <w:rPr>
      <w:rFonts w:hint="eastAsia" w:ascii="宋体" w:hAnsi="宋体" w:eastAsia="宋体" w:cs="宋体"/>
      <w:color w:val="000000"/>
      <w:sz w:val="18"/>
      <w:szCs w:val="18"/>
      <w:u w:val="none"/>
    </w:rPr>
  </w:style>
  <w:style w:type="paragraph" w:customStyle="1" w:styleId="28">
    <w:name w:val="表格"/>
    <w:basedOn w:val="1"/>
    <w:next w:val="1"/>
    <w:qFormat/>
    <w:uiPriority w:val="0"/>
    <w:pPr>
      <w:spacing w:line="240" w:lineRule="auto"/>
      <w:jc w:val="center"/>
    </w:pPr>
    <w:rPr>
      <w:sz w:val="21"/>
    </w:rPr>
  </w:style>
  <w:style w:type="character" w:customStyle="1" w:styleId="29">
    <w:name w:val="font51"/>
    <w:basedOn w:val="16"/>
    <w:qFormat/>
    <w:uiPriority w:val="0"/>
    <w:rPr>
      <w:rFonts w:hint="eastAsia" w:ascii="宋体" w:hAnsi="宋体" w:eastAsia="宋体" w:cs="宋体"/>
      <w:color w:val="000000"/>
      <w:sz w:val="20"/>
      <w:szCs w:val="20"/>
      <w:u w:val="none"/>
    </w:rPr>
  </w:style>
  <w:style w:type="character" w:customStyle="1" w:styleId="30">
    <w:name w:val="font81"/>
    <w:basedOn w:val="16"/>
    <w:qFormat/>
    <w:uiPriority w:val="0"/>
    <w:rPr>
      <w:rFonts w:hint="default" w:ascii="Times New Roman" w:hAnsi="Times New Roman" w:cs="Times New Roman"/>
      <w:color w:val="000000"/>
      <w:sz w:val="21"/>
      <w:szCs w:val="21"/>
      <w:u w:val="none"/>
      <w:vertAlign w:val="superscript"/>
    </w:rPr>
  </w:style>
  <w:style w:type="character" w:customStyle="1" w:styleId="31">
    <w:name w:val="font31"/>
    <w:basedOn w:val="16"/>
    <w:qFormat/>
    <w:uiPriority w:val="0"/>
    <w:rPr>
      <w:rFonts w:hint="default" w:ascii="Times New Roman" w:hAnsi="Times New Roman" w:cs="Times New Roman"/>
      <w:color w:val="000000"/>
      <w:sz w:val="20"/>
      <w:szCs w:val="20"/>
      <w:u w:val="none"/>
      <w:vertAlign w:val="superscript"/>
    </w:rPr>
  </w:style>
  <w:style w:type="character" w:customStyle="1" w:styleId="32">
    <w:name w:val="font41"/>
    <w:basedOn w:val="16"/>
    <w:qFormat/>
    <w:uiPriority w:val="0"/>
    <w:rPr>
      <w:rFonts w:hint="default" w:ascii="Times New Roman" w:hAnsi="Times New Roman" w:cs="Times New Roman"/>
      <w:color w:val="000000"/>
      <w:sz w:val="20"/>
      <w:szCs w:val="20"/>
      <w:u w:val="none"/>
      <w:vertAlign w:val="superscript"/>
    </w:rPr>
  </w:style>
  <w:style w:type="character" w:customStyle="1" w:styleId="33">
    <w:name w:val="font21"/>
    <w:basedOn w:val="16"/>
    <w:qFormat/>
    <w:uiPriority w:val="0"/>
    <w:rPr>
      <w:rFonts w:hint="default" w:ascii="Times New Roman" w:hAnsi="Times New Roman" w:cs="Times New Roman"/>
      <w:color w:val="000000"/>
      <w:sz w:val="18"/>
      <w:szCs w:val="18"/>
      <w:u w:val="none"/>
    </w:rPr>
  </w:style>
  <w:style w:type="character" w:customStyle="1" w:styleId="34">
    <w:name w:val="font01"/>
    <w:basedOn w:val="16"/>
    <w:qFormat/>
    <w:uiPriority w:val="0"/>
    <w:rPr>
      <w:rFonts w:hint="eastAsia" w:ascii="宋体" w:hAnsi="宋体" w:eastAsia="宋体" w:cs="宋体"/>
      <w:b/>
      <w:color w:val="000000"/>
      <w:sz w:val="22"/>
      <w:szCs w:val="22"/>
      <w:u w:val="none"/>
    </w:rPr>
  </w:style>
  <w:style w:type="character" w:customStyle="1" w:styleId="35">
    <w:name w:val="font61"/>
    <w:basedOn w:val="16"/>
    <w:qFormat/>
    <w:uiPriority w:val="0"/>
    <w:rPr>
      <w:rFonts w:hint="default" w:ascii="Times New Roman" w:hAnsi="Times New Roman" w:cs="Times New Roman"/>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0" Type="http://schemas.openxmlformats.org/officeDocument/2006/relationships/fontTable" Target="fontTable.xml"/><Relationship Id="rId6" Type="http://schemas.openxmlformats.org/officeDocument/2006/relationships/footer" Target="footer4.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9.pn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jpe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jpe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153</Pages>
  <Words>77811</Words>
  <Characters>101942</Characters>
  <Lines>791</Lines>
  <Paragraphs>222</Paragraphs>
  <TotalTime>21</TotalTime>
  <ScaleCrop>false</ScaleCrop>
  <LinksUpToDate>false</LinksUpToDate>
  <CharactersWithSpaces>102615</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2022-09-25T15:34:00Z</dcterms:created>
  <dc:creator>陈雯铃</dc:creator>
  <cp:lastModifiedBy>叶勇</cp:lastModifiedBy>
  <cp:lastPrinted>2023-04-23T00:22:00Z</cp:lastPrinted>
  <dcterms:modified xsi:type="dcterms:W3CDTF">2023-05-10T02:42:09Z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8D12DED9D3E943A282CD1C600B1C8C94</vt:lpwstr>
  </property>
</Properties>
</file>